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沥青材料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：东莞市石龙镇产业基地配套路网交通综合整治项目-老城商务中心工程</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4"/>
      <w:bookmarkStart w:id="5" w:name="OLE_LINK13"/>
    </w:p>
    <w:p w14:paraId="70442E56">
      <w:pPr>
        <w:pStyle w:val="7"/>
        <w:numPr>
          <w:ilvl w:val="0"/>
          <w:numId w:val="1"/>
        </w:numPr>
        <w:spacing w:before="0" w:beforeAutospacing="0" w:after="0" w:afterAutospacing="0" w:line="360" w:lineRule="auto"/>
        <w:ind w:firstLine="482" w:firstLineChars="200"/>
        <w:rPr>
          <w:rFonts w:hint="eastAsia" w:ascii="仿宋" w:hAnsi="仿宋" w:eastAsia="仿宋" w:cs="仿宋"/>
          <w:lang w:val="en-US" w:eastAsia="zh-CN"/>
        </w:rPr>
      </w:pPr>
      <w:r>
        <w:rPr>
          <w:rFonts w:hint="eastAsia" w:ascii="仿宋" w:hAnsi="仿宋" w:eastAsia="仿宋" w:cs="仿宋"/>
          <w:b/>
          <w:bCs/>
          <w:lang w:val="en-US" w:eastAsia="zh-CN"/>
        </w:rPr>
        <w:t xml:space="preserve">沥青材料: </w:t>
      </w:r>
      <w:r>
        <w:rPr>
          <w:rFonts w:hint="eastAsia" w:ascii="仿宋" w:hAnsi="仿宋" w:eastAsia="仿宋" w:cs="仿宋"/>
          <w:lang w:val="en-US" w:eastAsia="zh-CN"/>
        </w:rPr>
        <w:t xml:space="preserve"> </w:t>
      </w:r>
    </w:p>
    <w:bookmarkEnd w:id="2"/>
    <w:bookmarkEnd w:id="3"/>
    <w:tbl>
      <w:tblPr>
        <w:tblStyle w:val="8"/>
        <w:tblW w:w="83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8"/>
        <w:gridCol w:w="2933"/>
        <w:gridCol w:w="1464"/>
        <w:gridCol w:w="1059"/>
        <w:gridCol w:w="1934"/>
      </w:tblGrid>
      <w:tr w14:paraId="3A427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9" w:hRule="atLeast"/>
        </w:trPr>
        <w:tc>
          <w:tcPr>
            <w:tcW w:w="948" w:type="dxa"/>
            <w:tcBorders>
              <w:top w:val="nil"/>
              <w:left w:val="nil"/>
              <w:bottom w:val="nil"/>
              <w:right w:val="nil"/>
            </w:tcBorders>
            <w:shd w:val="clear" w:color="auto" w:fill="auto"/>
            <w:noWrap/>
            <w:vAlign w:val="center"/>
          </w:tcPr>
          <w:p w14:paraId="41E2C54B">
            <w:pPr>
              <w:jc w:val="center"/>
              <w:rPr>
                <w:rFonts w:hint="eastAsia" w:ascii="Arial" w:hAnsi="Arial" w:eastAsia="宋体" w:cs="Arial"/>
                <w:i w:val="0"/>
                <w:iCs w:val="0"/>
                <w:color w:val="000000"/>
                <w:sz w:val="24"/>
                <w:szCs w:val="24"/>
                <w:u w:val="none"/>
                <w:lang w:val="en-US" w:eastAsia="zh-CN"/>
              </w:rPr>
            </w:pPr>
            <w:r>
              <w:rPr>
                <w:rFonts w:hint="eastAsia" w:ascii="Arial" w:hAnsi="Arial" w:cs="Arial"/>
                <w:i w:val="0"/>
                <w:iCs w:val="0"/>
                <w:color w:val="000000"/>
                <w:sz w:val="24"/>
                <w:szCs w:val="24"/>
                <w:u w:val="none"/>
                <w:lang w:val="en-US" w:eastAsia="zh-CN"/>
              </w:rPr>
              <w:t>序号</w:t>
            </w:r>
          </w:p>
        </w:tc>
        <w:tc>
          <w:tcPr>
            <w:tcW w:w="2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6CAC">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名称</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5C875">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规格型号</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5A3C4">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单位</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4692">
            <w:pPr>
              <w:keepNext w:val="0"/>
              <w:keepLines w:val="0"/>
              <w:widowControl/>
              <w:suppressLineNumbers w:val="0"/>
              <w:jc w:val="center"/>
              <w:textAlignment w:val="center"/>
              <w:rPr>
                <w:rFonts w:hint="eastAsia" w:ascii="宋体" w:hAnsi="宋体" w:eastAsia="宋体" w:cs="宋体"/>
                <w:i w:val="0"/>
                <w:iCs w:val="0"/>
                <w:color w:val="262626"/>
                <w:sz w:val="24"/>
                <w:szCs w:val="24"/>
                <w:u w:val="none"/>
              </w:rPr>
            </w:pPr>
            <w:r>
              <w:rPr>
                <w:rFonts w:hint="eastAsia" w:ascii="宋体" w:hAnsi="宋体" w:eastAsia="宋体" w:cs="宋体"/>
                <w:i w:val="0"/>
                <w:iCs w:val="0"/>
                <w:color w:val="262626"/>
                <w:kern w:val="0"/>
                <w:sz w:val="24"/>
                <w:szCs w:val="24"/>
                <w:u w:val="none"/>
                <w:lang w:val="en-US" w:eastAsia="zh-CN" w:bidi="ar"/>
              </w:rPr>
              <w:t>数量</w:t>
            </w:r>
          </w:p>
        </w:tc>
      </w:tr>
      <w:tr w14:paraId="05440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77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B1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改性乳化沥青粘层</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84BD8">
            <w:pPr>
              <w:keepNext w:val="0"/>
              <w:keepLines w:val="0"/>
              <w:widowControl/>
              <w:suppressLineNumbers w:val="0"/>
              <w:jc w:val="center"/>
              <w:textAlignment w:val="center"/>
              <w:rPr>
                <w:rFonts w:hint="eastAsia" w:ascii="宋体" w:hAnsi="宋体" w:eastAsia="宋体" w:cs="宋体"/>
                <w:i w:val="0"/>
                <w:iCs w:val="0"/>
                <w:color w:val="auto"/>
                <w:sz w:val="28"/>
                <w:szCs w:val="28"/>
                <w:u w:val="none"/>
                <w:lang w:val="en-US" w:eastAsia="zh-CN"/>
              </w:rPr>
            </w:pPr>
            <w:r>
              <w:rPr>
                <w:rFonts w:hint="eastAsia" w:ascii="宋体" w:hAnsi="宋体" w:eastAsia="宋体" w:cs="宋体"/>
                <w:i w:val="0"/>
                <w:iCs w:val="0"/>
                <w:color w:val="000000"/>
                <w:kern w:val="0"/>
                <w:sz w:val="21"/>
                <w:szCs w:val="21"/>
                <w:u w:val="none"/>
                <w:lang w:val="en-US" w:eastAsia="zh-CN" w:bidi="ar"/>
              </w:rPr>
              <w:t>（PCR）</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E09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kg</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7DC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24851.87</w:t>
            </w:r>
          </w:p>
        </w:tc>
      </w:tr>
      <w:tr w14:paraId="069D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0A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26C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乳化沥青粘油层</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148D">
            <w:pPr>
              <w:keepNext w:val="0"/>
              <w:keepLines w:val="0"/>
              <w:widowControl/>
              <w:suppressLineNumbers w:val="0"/>
              <w:jc w:val="center"/>
              <w:textAlignment w:val="center"/>
              <w:rPr>
                <w:rFonts w:hint="eastAsia" w:ascii="宋体" w:hAnsi="宋体" w:eastAsia="宋体" w:cs="宋体"/>
                <w:i w:val="0"/>
                <w:iCs w:val="0"/>
                <w:color w:val="auto"/>
                <w:sz w:val="28"/>
                <w:szCs w:val="28"/>
                <w:u w:val="none"/>
                <w:lang w:val="en-US" w:eastAsia="zh-CN"/>
              </w:rPr>
            </w:pPr>
            <w:r>
              <w:rPr>
                <w:rFonts w:hint="eastAsia" w:ascii="宋体" w:hAnsi="宋体" w:eastAsia="宋体" w:cs="宋体"/>
                <w:i w:val="0"/>
                <w:iCs w:val="0"/>
                <w:color w:val="000000"/>
                <w:kern w:val="0"/>
                <w:sz w:val="21"/>
                <w:szCs w:val="21"/>
                <w:u w:val="none"/>
                <w:lang w:val="en-US" w:eastAsia="zh-CN" w:bidi="ar"/>
              </w:rPr>
              <w:t>(PC-3)</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22BB">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kg</w:t>
            </w:r>
          </w:p>
        </w:tc>
        <w:tc>
          <w:tcPr>
            <w:tcW w:w="1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BF20">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8466.19</w:t>
            </w:r>
          </w:p>
        </w:tc>
      </w:tr>
      <w:tr w14:paraId="0F82C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9"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710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9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1FF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中粒式沥青砼</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A5FD9D">
            <w:pPr>
              <w:keepNext w:val="0"/>
              <w:keepLines w:val="0"/>
              <w:widowControl/>
              <w:suppressLineNumbers w:val="0"/>
              <w:jc w:val="center"/>
              <w:textAlignment w:val="center"/>
              <w:rPr>
                <w:rFonts w:hint="eastAsia" w:ascii="宋体" w:hAnsi="宋体" w:eastAsia="宋体" w:cs="宋体"/>
                <w:i w:val="0"/>
                <w:iCs w:val="0"/>
                <w:color w:val="auto"/>
                <w:sz w:val="28"/>
                <w:szCs w:val="28"/>
                <w:u w:val="none"/>
                <w:lang w:val="en-US" w:eastAsia="zh-CN"/>
              </w:rPr>
            </w:pPr>
            <w:r>
              <w:rPr>
                <w:rFonts w:hint="eastAsia" w:ascii="宋体" w:hAnsi="宋体" w:eastAsia="宋体" w:cs="宋体"/>
                <w:i w:val="0"/>
                <w:iCs w:val="0"/>
                <w:color w:val="000000"/>
                <w:kern w:val="0"/>
                <w:sz w:val="20"/>
                <w:szCs w:val="20"/>
                <w:u w:val="none"/>
                <w:lang w:val="en-US" w:eastAsia="zh-CN" w:bidi="ar"/>
              </w:rPr>
              <w:t>(AC-20C)</w:t>
            </w:r>
          </w:p>
        </w:tc>
        <w:tc>
          <w:tcPr>
            <w:tcW w:w="10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AFC69A">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m3</w:t>
            </w:r>
          </w:p>
        </w:tc>
        <w:tc>
          <w:tcPr>
            <w:tcW w:w="19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525B36">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542.06</w:t>
            </w:r>
          </w:p>
        </w:tc>
      </w:tr>
      <w:tr w14:paraId="2AE25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84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9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CE1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000000"/>
                <w:kern w:val="0"/>
                <w:sz w:val="24"/>
                <w:szCs w:val="24"/>
                <w:u w:val="none"/>
                <w:lang w:val="en-US" w:eastAsia="zh-CN" w:bidi="ar"/>
              </w:rPr>
              <w:t>细粒式沥青混泥土</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E41FF1">
            <w:pPr>
              <w:keepNext w:val="0"/>
              <w:keepLines w:val="0"/>
              <w:widowControl/>
              <w:suppressLineNumbers w:val="0"/>
              <w:jc w:val="center"/>
              <w:textAlignment w:val="center"/>
              <w:rPr>
                <w:rFonts w:hint="eastAsia" w:ascii="宋体" w:hAnsi="宋体" w:eastAsia="宋体" w:cs="宋体"/>
                <w:i w:val="0"/>
                <w:iCs w:val="0"/>
                <w:color w:val="auto"/>
                <w:sz w:val="28"/>
                <w:szCs w:val="28"/>
                <w:u w:val="none"/>
                <w:lang w:val="en-US" w:eastAsia="zh-CN"/>
              </w:rPr>
            </w:pPr>
            <w:r>
              <w:rPr>
                <w:rFonts w:hint="eastAsia" w:ascii="宋体" w:hAnsi="宋体" w:eastAsia="宋体" w:cs="宋体"/>
                <w:i w:val="0"/>
                <w:iCs w:val="0"/>
                <w:color w:val="000000"/>
                <w:kern w:val="0"/>
                <w:sz w:val="20"/>
                <w:szCs w:val="20"/>
                <w:u w:val="none"/>
                <w:lang w:val="en-US" w:eastAsia="zh-CN" w:bidi="ar"/>
              </w:rPr>
              <w:t>（AC-13）</w:t>
            </w:r>
          </w:p>
        </w:tc>
        <w:tc>
          <w:tcPr>
            <w:tcW w:w="10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CBE33">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m3</w:t>
            </w:r>
          </w:p>
        </w:tc>
        <w:tc>
          <w:tcPr>
            <w:tcW w:w="19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25F4B">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000000"/>
                <w:kern w:val="0"/>
                <w:sz w:val="20"/>
                <w:szCs w:val="20"/>
                <w:u w:val="none"/>
                <w:lang w:val="en-US" w:eastAsia="zh-CN" w:bidi="ar"/>
              </w:rPr>
              <w:t>983.51</w:t>
            </w:r>
          </w:p>
        </w:tc>
      </w:tr>
    </w:tbl>
    <w:p w14:paraId="3D604796">
      <w:pPr>
        <w:pStyle w:val="7"/>
        <w:spacing w:before="0" w:beforeAutospacing="0" w:after="0" w:afterAutospacing="0" w:line="360" w:lineRule="auto"/>
        <w:rPr>
          <w:rFonts w:hint="eastAsia" w:ascii="仿宋" w:hAnsi="仿宋" w:eastAsia="仿宋" w:cs="仿宋"/>
          <w:b/>
        </w:rPr>
      </w:pPr>
    </w:p>
    <w:p w14:paraId="0065C89D">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329D4E89">
      <w:pPr>
        <w:pStyle w:val="7"/>
        <w:spacing w:before="0" w:beforeAutospacing="0" w:after="60" w:afterAutospacing="0" w:line="360" w:lineRule="auto"/>
        <w:ind w:left="0" w:leftChars="0" w:hanging="7" w:firstLineChars="0"/>
        <w:rPr>
          <w:rFonts w:hint="eastAsia" w:ascii="仿宋" w:hAnsi="仿宋" w:eastAsia="仿宋" w:cs="仿宋"/>
        </w:rPr>
      </w:pPr>
      <w:r>
        <w:rPr>
          <w:rStyle w:val="11"/>
          <w:rFonts w:hint="eastAsia" w:ascii="仿宋" w:hAnsi="仿宋" w:eastAsia="仿宋" w:cs="仿宋"/>
          <w:lang w:val="en-US" w:eastAsia="zh-CN"/>
        </w:rPr>
        <w:t>供货周期</w:t>
      </w:r>
      <w:r>
        <w:rPr>
          <w:rFonts w:hint="eastAsia" w:ascii="仿宋" w:hAnsi="仿宋" w:eastAsia="仿宋" w:cs="仿宋"/>
        </w:rPr>
        <w:t>：</w:t>
      </w:r>
      <w:r>
        <w:rPr>
          <w:rFonts w:hint="eastAsia" w:ascii="宋体" w:hAnsi="宋体" w:eastAsia="宋体" w:cs="宋体"/>
          <w:color w:val="auto"/>
          <w:kern w:val="0"/>
          <w:sz w:val="24"/>
          <w:szCs w:val="24"/>
          <w:highlight w:val="none"/>
        </w:rPr>
        <w:t>所有产品</w:t>
      </w:r>
      <w:r>
        <w:rPr>
          <w:rFonts w:hint="eastAsia" w:ascii="宋体" w:hAnsi="宋体" w:eastAsia="宋体" w:cs="宋体"/>
          <w:color w:val="auto"/>
          <w:kern w:val="0"/>
          <w:sz w:val="24"/>
          <w:szCs w:val="24"/>
          <w:highlight w:val="none"/>
          <w:lang w:val="en-US" w:eastAsia="zh-CN"/>
        </w:rPr>
        <w:t>暂定</w:t>
      </w:r>
      <w:r>
        <w:rPr>
          <w:rFonts w:hint="eastAsia" w:ascii="宋体" w:hAnsi="宋体" w:eastAsia="宋体" w:cs="宋体"/>
          <w:color w:val="auto"/>
          <w:kern w:val="0"/>
          <w:sz w:val="24"/>
          <w:szCs w:val="24"/>
          <w:highlight w:val="none"/>
        </w:rPr>
        <w:t>供货期为</w:t>
      </w:r>
      <w:r>
        <w:rPr>
          <w:rFonts w:hint="eastAsia" w:ascii="宋体" w:hAnsi="宋体" w:eastAsia="宋体" w:cs="宋体"/>
          <w:color w:val="auto"/>
          <w:kern w:val="0"/>
          <w:sz w:val="24"/>
          <w:szCs w:val="24"/>
          <w:highlight w:val="none"/>
          <w:u w:val="single"/>
          <w:lang w:val="en-US" w:eastAsia="zh-CN"/>
        </w:rPr>
        <w:t>145</w:t>
      </w:r>
      <w:r>
        <w:rPr>
          <w:rFonts w:hint="eastAsia" w:ascii="宋体" w:hAnsi="宋体" w:eastAsia="宋体" w:cs="宋体"/>
          <w:color w:val="auto"/>
          <w:kern w:val="0"/>
          <w:sz w:val="24"/>
          <w:szCs w:val="24"/>
          <w:highlight w:val="none"/>
        </w:rPr>
        <w:t>个日历天</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lang w:val="en-US" w:eastAsia="zh-CN"/>
        </w:rPr>
        <w:t>具体送货、备货时间以项目部正式通知为准，乙方承诺无条件配合甲方项目部根据施工进度安排对产品供货期的调整</w:t>
      </w:r>
      <w:r>
        <w:rPr>
          <w:rFonts w:hint="eastAsia" w:ascii="宋体" w:hAnsi="宋体" w:eastAsia="宋体" w:cs="宋体"/>
          <w:color w:val="auto"/>
          <w:kern w:val="0"/>
          <w:sz w:val="24"/>
          <w:szCs w:val="24"/>
        </w:rPr>
        <w:t>。</w:t>
      </w:r>
      <w:bookmarkStart w:id="6" w:name="_GoBack"/>
      <w:bookmarkEnd w:id="6"/>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4EBBBF67">
      <w:pPr>
        <w:spacing w:line="360" w:lineRule="auto"/>
        <w:rPr>
          <w:rFonts w:hint="eastAsia" w:ascii="仿宋" w:hAnsi="仿宋" w:eastAsia="仿宋"/>
          <w:sz w:val="24"/>
          <w:lang w:val="en-US" w:eastAsia="zh-CN"/>
        </w:rPr>
      </w:pPr>
      <w:r>
        <w:rPr>
          <w:rFonts w:hint="eastAsia" w:ascii="仿宋" w:hAnsi="仿宋" w:eastAsia="仿宋"/>
          <w:b/>
          <w:bCs/>
          <w:sz w:val="24"/>
          <w:lang w:val="en-US" w:eastAsia="zh-CN"/>
        </w:rPr>
        <w:t>1）基础性能:</w:t>
      </w:r>
      <w:r>
        <w:rPr>
          <w:rFonts w:hint="eastAsia" w:ascii="仿宋" w:hAnsi="仿宋" w:eastAsia="仿宋"/>
          <w:sz w:val="24"/>
          <w:lang w:val="en-US" w:eastAsia="zh-CN"/>
        </w:rPr>
        <w:t>‌</w:t>
      </w:r>
    </w:p>
    <w:p w14:paraId="6F97BB63">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针入度（25℃）：60～80 (0.1mm)</w:t>
      </w:r>
    </w:p>
    <w:p w14:paraId="6E19A757">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软化点（TR&amp;B）：≥55℃（高温地区优先选用高软化点沥青）</w:t>
      </w:r>
    </w:p>
    <w:p w14:paraId="4F3DD1D3">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延度（5℃）：≥30cm（低温抗裂性关键指标）</w:t>
      </w:r>
    </w:p>
    <w:p w14:paraId="7FED7708">
      <w:pPr>
        <w:numPr>
          <w:ilvl w:val="0"/>
          <w:numId w:val="2"/>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溶解度：≥99.5%，闪点≥260℃（安全要求）</w:t>
      </w:r>
    </w:p>
    <w:p w14:paraId="63CFE5AB">
      <w:pPr>
        <w:numPr>
          <w:ilvl w:val="0"/>
          <w:numId w:val="3"/>
        </w:numPr>
        <w:spacing w:line="360" w:lineRule="auto"/>
        <w:rPr>
          <w:rFonts w:hint="eastAsia" w:ascii="仿宋" w:hAnsi="仿宋" w:eastAsia="仿宋"/>
          <w:sz w:val="24"/>
          <w:lang w:val="en-US" w:eastAsia="zh-CN"/>
        </w:rPr>
      </w:pPr>
      <w:r>
        <w:rPr>
          <w:rFonts w:hint="eastAsia" w:ascii="仿宋" w:hAnsi="仿宋" w:eastAsia="仿宋"/>
          <w:b/>
          <w:bCs/>
          <w:sz w:val="24"/>
          <w:lang w:val="en-US" w:eastAsia="zh-CN"/>
        </w:rPr>
        <w:t>改性沥青补充要求‌:</w:t>
      </w:r>
    </w:p>
    <w:p w14:paraId="76976F8F">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弹性恢复率≥65%（提升抗变形能力）</w:t>
      </w:r>
    </w:p>
    <w:p w14:paraId="31299639">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离析软化点差≤2.5℃（保证均匀性）‌</w:t>
      </w:r>
    </w:p>
    <w:p w14:paraId="7584D51D">
      <w:pPr>
        <w:spacing w:line="360" w:lineRule="auto"/>
        <w:rPr>
          <w:rFonts w:hint="eastAsia" w:ascii="仿宋" w:hAnsi="仿宋" w:eastAsia="仿宋"/>
          <w:sz w:val="24"/>
          <w:lang w:val="en-US" w:eastAsia="zh-CN"/>
        </w:rPr>
      </w:pPr>
      <w:r>
        <w:rPr>
          <w:rFonts w:hint="eastAsia" w:ascii="仿宋" w:hAnsi="仿宋" w:eastAsia="仿宋"/>
          <w:b/>
          <w:bCs/>
          <w:sz w:val="24"/>
          <w:lang w:val="en-US" w:eastAsia="zh-CN"/>
        </w:rPr>
        <w:t>3）集料技术要求‌：</w:t>
      </w:r>
      <w:r>
        <w:rPr>
          <w:rFonts w:hint="eastAsia" w:ascii="仿宋" w:hAnsi="仿宋" w:eastAsia="仿宋"/>
          <w:sz w:val="24"/>
          <w:lang w:val="en-US" w:eastAsia="zh-CN"/>
        </w:rPr>
        <w:t>‌</w:t>
      </w:r>
    </w:p>
    <w:p w14:paraId="052608FE">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sz w:val="24"/>
          <w:lang w:val="en-US" w:eastAsia="zh-CN"/>
        </w:rPr>
        <w:t>a.‌粗集料‌（碎石、破碎砾石）</w:t>
      </w:r>
    </w:p>
    <w:p w14:paraId="3F7D75A7">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‌物理性能‌：压碎值≤30%，磨耗损失≤28%（洛杉矶法），表观密度≥2.45t/m³，吸水率≤3%；</w:t>
      </w:r>
    </w:p>
    <w:p w14:paraId="0E9AF90A">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‌形态要求‌：破碎面比例：1个破碎面＞90%，2个及以上＞80%</w:t>
      </w:r>
    </w:p>
    <w:p w14:paraId="10A97EAD">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‌粘附性‌：与沥青粘附性≥4级。</w:t>
      </w:r>
    </w:p>
    <w:p w14:paraId="0B0C04B2">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sz w:val="24"/>
          <w:lang w:val="en-US" w:eastAsia="zh-CN"/>
        </w:rPr>
        <w:t>b.‌细集料‌（机制砂、天然砂）</w:t>
      </w:r>
    </w:p>
    <w:p w14:paraId="51A5488D">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‌洁净度‌：含泥量≤3%；</w:t>
      </w:r>
    </w:p>
    <w:p w14:paraId="21FDD784">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‌级配控制‌：0.075mm通过率需符合目标配合比设计。</w:t>
      </w:r>
    </w:p>
    <w:p w14:paraId="056A6611">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sz w:val="24"/>
          <w:lang w:val="en-US" w:eastAsia="zh-CN"/>
        </w:rPr>
        <w:t>c.‌矿粉填料‌</w:t>
      </w:r>
    </w:p>
    <w:p w14:paraId="6B336DAD">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细度：0.075mm筛孔通过率≥80%</w:t>
      </w:r>
    </w:p>
    <w:p w14:paraId="6D978E06">
      <w:pPr>
        <w:numPr>
          <w:ilvl w:val="0"/>
          <w:numId w:val="4"/>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sz w:val="24"/>
          <w:lang w:val="en-US" w:eastAsia="zh-CN"/>
        </w:rPr>
        <w:t>原料：石灰岩等碱性石料磨制，增强沥青粘附性。</w:t>
      </w:r>
    </w:p>
    <w:p w14:paraId="5B35803A">
      <w:pPr>
        <w:numPr>
          <w:ilvl w:val="0"/>
          <w:numId w:val="0"/>
        </w:numPr>
        <w:spacing w:line="360" w:lineRule="auto"/>
        <w:ind w:leftChars="0"/>
        <w:rPr>
          <w:rFonts w:hint="eastAsia" w:ascii="仿宋" w:hAnsi="仿宋" w:eastAsia="仿宋"/>
          <w:sz w:val="24"/>
          <w:lang w:val="en-US" w:eastAsia="zh-CN"/>
        </w:rPr>
      </w:pPr>
      <w:r>
        <w:rPr>
          <w:rFonts w:hint="eastAsia" w:ascii="仿宋" w:hAnsi="仿宋" w:eastAsia="仿宋"/>
          <w:b/>
          <w:bCs/>
          <w:sz w:val="24"/>
          <w:lang w:val="en-US" w:eastAsia="zh-CN"/>
        </w:rPr>
        <w:t>4）添加剂与辅助材料：</w:t>
      </w:r>
      <w:r>
        <w:rPr>
          <w:rFonts w:hint="eastAsia" w:ascii="仿宋" w:hAnsi="仿宋" w:eastAsia="仿宋"/>
          <w:sz w:val="24"/>
          <w:lang w:val="en-US" w:eastAsia="zh-CN"/>
        </w:rPr>
        <w:t>‌</w:t>
      </w:r>
    </w:p>
    <w:p w14:paraId="4475D434">
      <w:pPr>
        <w:numPr>
          <w:ilvl w:val="0"/>
          <w:numId w:val="0"/>
        </w:numPr>
        <w:spacing w:line="360" w:lineRule="auto"/>
        <w:ind w:leftChars="0"/>
        <w:rPr>
          <w:rFonts w:hint="default" w:ascii="仿宋" w:hAnsi="仿宋" w:eastAsia="仿宋"/>
          <w:sz w:val="24"/>
          <w:lang w:val="en-US" w:eastAsia="zh-CN"/>
        </w:rPr>
      </w:pPr>
      <w:r>
        <w:rPr>
          <w:rFonts w:hint="eastAsia" w:ascii="仿宋" w:hAnsi="仿宋" w:eastAsia="仿宋"/>
          <w:sz w:val="24"/>
          <w:lang w:val="en-US" w:eastAsia="zh-CN"/>
        </w:rPr>
        <w:t>a.</w:t>
      </w:r>
      <w:r>
        <w:rPr>
          <w:rFonts w:hint="default" w:ascii="仿宋" w:hAnsi="仿宋" w:eastAsia="仿宋"/>
          <w:sz w:val="24"/>
          <w:lang w:val="en-US" w:eastAsia="zh-CN"/>
        </w:rPr>
        <w:t>抗剥落剂‌：用于改善集料与沥青粘附性（粘附性不足时强制添加）；</w:t>
      </w:r>
    </w:p>
    <w:p w14:paraId="6F6E6967">
      <w:pPr>
        <w:numPr>
          <w:ilvl w:val="0"/>
          <w:numId w:val="0"/>
        </w:numPr>
        <w:spacing w:line="360" w:lineRule="auto"/>
        <w:ind w:leftChars="0"/>
        <w:rPr>
          <w:rFonts w:hint="default" w:ascii="仿宋" w:hAnsi="仿宋" w:eastAsia="仿宋"/>
          <w:sz w:val="24"/>
          <w:lang w:val="en-US" w:eastAsia="zh-CN"/>
        </w:rPr>
      </w:pPr>
      <w:r>
        <w:rPr>
          <w:rFonts w:hint="eastAsia" w:ascii="仿宋" w:hAnsi="仿宋" w:eastAsia="仿宋"/>
          <w:sz w:val="24"/>
          <w:lang w:val="en-US" w:eastAsia="zh-CN"/>
        </w:rPr>
        <w:t>b.</w:t>
      </w:r>
      <w:r>
        <w:rPr>
          <w:rFonts w:hint="default" w:ascii="仿宋" w:hAnsi="仿宋" w:eastAsia="仿宋"/>
          <w:sz w:val="24"/>
          <w:lang w:val="en-US" w:eastAsia="zh-CN"/>
        </w:rPr>
        <w:t>‌纤维稳定剂‌：提高混合料抗裂性及耐久性；</w:t>
      </w:r>
    </w:p>
    <w:p w14:paraId="4DD79985">
      <w:pPr>
        <w:numPr>
          <w:ilvl w:val="0"/>
          <w:numId w:val="0"/>
        </w:numPr>
        <w:spacing w:line="360" w:lineRule="auto"/>
        <w:ind w:leftChars="0"/>
        <w:rPr>
          <w:rFonts w:hint="default" w:ascii="仿宋" w:hAnsi="仿宋" w:eastAsia="仿宋"/>
          <w:sz w:val="24"/>
          <w:lang w:val="en-US" w:eastAsia="zh-CN"/>
        </w:rPr>
      </w:pPr>
      <w:r>
        <w:rPr>
          <w:rFonts w:hint="eastAsia" w:ascii="仿宋" w:hAnsi="仿宋" w:eastAsia="仿宋"/>
          <w:sz w:val="24"/>
          <w:lang w:val="en-US" w:eastAsia="zh-CN"/>
        </w:rPr>
        <w:t>c.</w:t>
      </w:r>
      <w:r>
        <w:rPr>
          <w:rFonts w:hint="default" w:ascii="仿宋" w:hAnsi="仿宋" w:eastAsia="仿宋"/>
          <w:sz w:val="24"/>
          <w:lang w:val="en-US" w:eastAsia="zh-CN"/>
        </w:rPr>
        <w:t>‌温拌添加剂‌：降低拌和温度至120～140℃，减少能耗与排放</w:t>
      </w:r>
      <w:r>
        <w:rPr>
          <w:rFonts w:hint="eastAsia" w:ascii="仿宋" w:hAnsi="仿宋" w:eastAsia="仿宋"/>
          <w:sz w:val="24"/>
          <w:lang w:val="en-US" w:eastAsia="zh-CN"/>
        </w:rPr>
        <w:t>。</w:t>
      </w:r>
    </w:p>
    <w:p w14:paraId="377578BA">
      <w:pPr>
        <w:numPr>
          <w:ilvl w:val="0"/>
          <w:numId w:val="0"/>
        </w:numPr>
        <w:spacing w:line="360" w:lineRule="auto"/>
        <w:ind w:leftChars="0" w:firstLine="480" w:firstLineChars="200"/>
        <w:rPr>
          <w:rFonts w:hint="eastAsia" w:ascii="仿宋" w:hAnsi="仿宋" w:eastAsia="仿宋"/>
          <w:sz w:val="24"/>
          <w:lang w:val="en-US" w:eastAsia="zh-CN"/>
        </w:rPr>
      </w:pPr>
      <w:r>
        <w:rPr>
          <w:rFonts w:hint="eastAsia" w:ascii="仿宋" w:hAnsi="仿宋" w:eastAsia="仿宋"/>
          <w:sz w:val="24"/>
          <w:lang w:val="en-US" w:eastAsia="zh-CN"/>
        </w:rPr>
        <w:t>‌可追溯性：‌确保每批次沥青的生产时间、使用原材料（品牌、批次）、配合比、检验数据等信息完整可追溯。</w:t>
      </w:r>
    </w:p>
    <w:p w14:paraId="6170E0A3">
      <w:pPr>
        <w:numPr>
          <w:ilvl w:val="0"/>
          <w:numId w:val="0"/>
        </w:numPr>
        <w:spacing w:line="360" w:lineRule="auto"/>
        <w:rPr>
          <w:rFonts w:hint="eastAsia" w:ascii="仿宋" w:hAnsi="仿宋" w:eastAsia="仿宋"/>
          <w:b w:val="0"/>
          <w:bCs w:val="0"/>
          <w:sz w:val="24"/>
          <w:lang w:val="en-US" w:eastAsia="zh-CN"/>
        </w:rPr>
      </w:pP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w:t>
      </w:r>
      <w:r>
        <w:rPr>
          <w:rStyle w:val="11"/>
          <w:rFonts w:hint="eastAsia" w:ascii="仿宋" w:hAnsi="仿宋" w:eastAsia="仿宋" w:cs="仿宋"/>
          <w:b/>
          <w:bCs/>
          <w:sz w:val="28"/>
          <w:szCs w:val="28"/>
          <w:lang w:val="en-US" w:eastAsia="zh-CN"/>
        </w:rPr>
        <w:t>质量文件</w:t>
      </w:r>
      <w:r>
        <w:rPr>
          <w:rStyle w:val="11"/>
          <w:rFonts w:hint="eastAsia" w:ascii="仿宋" w:hAnsi="仿宋" w:eastAsia="仿宋" w:cs="仿宋"/>
          <w:b/>
          <w:bCs/>
          <w:sz w:val="28"/>
          <w:szCs w:val="28"/>
        </w:rPr>
        <w:t>与验收标准</w:t>
      </w:r>
    </w:p>
    <w:p w14:paraId="796304D6">
      <w:pPr>
        <w:pStyle w:val="7"/>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lang w:val="en-US" w:eastAsia="zh-CN"/>
        </w:rPr>
        <w:t>1、</w:t>
      </w:r>
      <w:r>
        <w:rPr>
          <w:rStyle w:val="11"/>
          <w:rFonts w:hint="eastAsia" w:ascii="仿宋" w:hAnsi="仿宋" w:eastAsia="仿宋" w:cs="仿宋"/>
          <w:b w:val="0"/>
          <w:bCs w:val="0"/>
        </w:rPr>
        <w:t>原材料出厂合格证及检测报告（按批）</w:t>
      </w:r>
      <w:r>
        <w:rPr>
          <w:rStyle w:val="11"/>
          <w:rFonts w:hint="eastAsia" w:ascii="仿宋" w:hAnsi="仿宋" w:eastAsia="仿宋" w:cs="仿宋"/>
          <w:b w:val="0"/>
          <w:bCs w:val="0"/>
          <w:lang w:eastAsia="zh-CN"/>
        </w:rPr>
        <w:t>；</w:t>
      </w:r>
    </w:p>
    <w:p w14:paraId="7842747B">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2、沥青</w:t>
      </w:r>
      <w:r>
        <w:rPr>
          <w:rStyle w:val="11"/>
          <w:rFonts w:hint="eastAsia" w:ascii="仿宋" w:hAnsi="仿宋" w:eastAsia="仿宋" w:cs="仿宋"/>
          <w:b w:val="0"/>
          <w:bCs w:val="0"/>
        </w:rPr>
        <w:t>配合比</w:t>
      </w:r>
      <w:r>
        <w:rPr>
          <w:rStyle w:val="11"/>
          <w:rFonts w:hint="eastAsia" w:ascii="仿宋" w:hAnsi="仿宋" w:eastAsia="仿宋" w:cs="仿宋"/>
          <w:b w:val="0"/>
          <w:bCs w:val="0"/>
          <w:lang w:eastAsia="zh-CN"/>
        </w:rPr>
        <w:t>、</w:t>
      </w:r>
      <w:r>
        <w:rPr>
          <w:rStyle w:val="11"/>
          <w:rFonts w:hint="eastAsia" w:ascii="仿宋" w:hAnsi="仿宋" w:eastAsia="仿宋" w:cs="仿宋"/>
          <w:b w:val="0"/>
          <w:bCs w:val="0"/>
          <w:lang w:val="en-US" w:eastAsia="zh-CN"/>
        </w:rPr>
        <w:t>油水比</w:t>
      </w:r>
      <w:r>
        <w:rPr>
          <w:rStyle w:val="11"/>
          <w:rFonts w:hint="eastAsia" w:ascii="仿宋" w:hAnsi="仿宋" w:eastAsia="仿宋" w:cs="仿宋"/>
          <w:b w:val="0"/>
          <w:bCs w:val="0"/>
        </w:rPr>
        <w:t>设计报告及批准文件。‌</w:t>
      </w:r>
    </w:p>
    <w:p w14:paraId="52C5938A">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3、沥青</w:t>
      </w:r>
      <w:r>
        <w:rPr>
          <w:rStyle w:val="11"/>
          <w:rFonts w:hint="eastAsia" w:ascii="仿宋" w:hAnsi="仿宋" w:eastAsia="仿宋" w:cs="仿宋"/>
          <w:b w:val="0"/>
          <w:bCs w:val="0"/>
        </w:rPr>
        <w:t>出厂质量证明书（或出厂检验报告单）‌：‌质量检验报告（含针入度、软化点、延度等指标）是否齐全；查验进口沥青的进口许可证、原产地证明（若适用）；确认采购合同、发票、装箱单信息一致等。</w:t>
      </w:r>
    </w:p>
    <w:p w14:paraId="2F5D7B7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4</w:t>
      </w:r>
      <w:r>
        <w:rPr>
          <w:rStyle w:val="11"/>
          <w:rFonts w:hint="eastAsia" w:ascii="仿宋" w:hAnsi="仿宋" w:eastAsia="仿宋" w:cs="仿宋"/>
          <w:b w:val="0"/>
          <w:bCs w:val="0"/>
        </w:rPr>
        <w:t>、常见不合格项处理</w:t>
      </w:r>
    </w:p>
    <w:p w14:paraId="430AC95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现场验收不符合质量要求的，现场拒收</w:t>
      </w:r>
      <w:r>
        <w:rPr>
          <w:rStyle w:val="11"/>
          <w:rFonts w:hint="eastAsia" w:ascii="仿宋" w:hAnsi="仿宋" w:eastAsia="仿宋" w:cs="仿宋"/>
          <w:b w:val="0"/>
          <w:bCs w:val="0"/>
        </w:rPr>
        <w:t>返厂</w:t>
      </w:r>
      <w:r>
        <w:rPr>
          <w:rStyle w:val="11"/>
          <w:rFonts w:hint="eastAsia" w:ascii="仿宋" w:hAnsi="仿宋" w:eastAsia="仿宋" w:cs="仿宋"/>
          <w:b w:val="0"/>
          <w:bCs w:val="0"/>
          <w:lang w:val="en-US" w:eastAsia="zh-CN"/>
        </w:rPr>
        <w:t>处理</w:t>
      </w:r>
      <w:r>
        <w:rPr>
          <w:rStyle w:val="11"/>
          <w:rFonts w:hint="eastAsia" w:ascii="仿宋" w:hAnsi="仿宋" w:eastAsia="仿宋" w:cs="仿宋"/>
          <w:b w:val="0"/>
          <w:bCs w:val="0"/>
        </w:rPr>
        <w:t>；</w:t>
      </w:r>
    </w:p>
    <w:p w14:paraId="76DEA089">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5</w:t>
      </w:r>
      <w:r>
        <w:rPr>
          <w:rStyle w:val="11"/>
          <w:rFonts w:hint="eastAsia" w:ascii="仿宋" w:hAnsi="仿宋" w:eastAsia="仿宋" w:cs="仿宋"/>
          <w:b w:val="0"/>
          <w:bCs w:val="0"/>
        </w:rPr>
        <w:t>、国家、行业和地方标准</w:t>
      </w:r>
      <w:r>
        <w:rPr>
          <w:rStyle w:val="11"/>
          <w:rFonts w:hint="eastAsia" w:ascii="仿宋" w:hAnsi="仿宋" w:eastAsia="仿宋" w:cs="仿宋"/>
          <w:b w:val="0"/>
          <w:bCs w:val="0"/>
          <w:lang w:val="en-US" w:eastAsia="zh-CN"/>
        </w:rPr>
        <w:t>和规范要求</w:t>
      </w:r>
      <w:r>
        <w:rPr>
          <w:rStyle w:val="11"/>
          <w:rFonts w:hint="eastAsia" w:ascii="仿宋" w:hAnsi="仿宋" w:eastAsia="仿宋" w:cs="仿宋"/>
          <w:b w:val="0"/>
          <w:bCs w:val="0"/>
        </w:rPr>
        <w:t>：</w:t>
      </w:r>
    </w:p>
    <w:p w14:paraId="48B7387E">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《公路沥青路面施工技术规范》（JTGF40-2004）</w:t>
      </w:r>
    </w:p>
    <w:p w14:paraId="24C35546">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《低温改性沥青》（JT/T 1540—2025）</w:t>
      </w:r>
    </w:p>
    <w:p w14:paraId="56C2B8BD">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《沥青混凝土再生剂》（CJ/T554-2024）</w:t>
      </w:r>
    </w:p>
    <w:p w14:paraId="1716204F">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《公路沥青路面设计规范》（JTGD50-2017）‌</w:t>
      </w:r>
    </w:p>
    <w:p w14:paraId="382F134C">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rPr>
        <w:t>‌其他</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本项目特定的设计</w:t>
      </w:r>
      <w:r>
        <w:rPr>
          <w:rStyle w:val="11"/>
          <w:rFonts w:hint="eastAsia" w:ascii="仿宋" w:hAnsi="仿宋" w:eastAsia="仿宋" w:cs="仿宋"/>
          <w:b w:val="0"/>
          <w:bCs w:val="0"/>
          <w:lang w:val="en-US" w:eastAsia="zh-CN"/>
        </w:rPr>
        <w:t>图纸和合同</w:t>
      </w:r>
      <w:r>
        <w:rPr>
          <w:rStyle w:val="11"/>
          <w:rFonts w:hint="eastAsia" w:ascii="仿宋" w:hAnsi="仿宋" w:eastAsia="仿宋" w:cs="仿宋"/>
          <w:b w:val="0"/>
          <w:bCs w:val="0"/>
        </w:rPr>
        <w:t>文件</w:t>
      </w:r>
      <w:r>
        <w:rPr>
          <w:rStyle w:val="11"/>
          <w:rFonts w:hint="eastAsia" w:ascii="仿宋" w:hAnsi="仿宋" w:eastAsia="仿宋" w:cs="仿宋"/>
          <w:b w:val="0"/>
          <w:bCs w:val="0"/>
          <w:lang w:eastAsia="zh-CN"/>
        </w:rPr>
        <w:t>。</w:t>
      </w: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、起重机等设备操作人员）必须持有效证件，人证合一。机械操作人员必须身体健康，无妨碍安全操作的疾病（如心脏病、癫痫、色盲等）。严禁疲劳驾驶、酒后驾驶。安排专职现场调度/协调员，</w:t>
      </w:r>
      <w:r>
        <w:rPr>
          <w:rStyle w:val="11"/>
          <w:rFonts w:hint="eastAsia" w:ascii="仿宋" w:hAnsi="仿宋" w:eastAsia="仿宋" w:cs="仿宋"/>
          <w:b w:val="0"/>
          <w:bCs w:val="0"/>
          <w:lang w:val="en-US" w:eastAsia="zh-CN"/>
        </w:rPr>
        <w:t>且</w:t>
      </w:r>
      <w:r>
        <w:rPr>
          <w:rStyle w:val="11"/>
          <w:rFonts w:hint="eastAsia" w:ascii="仿宋" w:hAnsi="仿宋" w:eastAsia="仿宋" w:cs="仿宋"/>
          <w:b w:val="0"/>
          <w:bCs w:val="0"/>
        </w:rPr>
        <w:t>必须严格遵守甲方安全管理要求</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。剩余料处理原则上供应商负责回收，或就地合规处理</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w:t>
      </w:r>
      <w:r>
        <w:rPr>
          <w:rFonts w:hint="eastAsia" w:ascii="仿宋" w:hAnsi="仿宋" w:eastAsia="仿宋"/>
          <w:lang w:val="en-US" w:eastAsia="zh-CN"/>
        </w:rPr>
        <w:t>24小时</w:t>
      </w:r>
      <w:r>
        <w:rPr>
          <w:rFonts w:hint="eastAsia" w:ascii="仿宋" w:hAnsi="仿宋" w:eastAsia="仿宋"/>
        </w:rPr>
        <w:t>内到场，特殊情况需</w:t>
      </w:r>
      <w:r>
        <w:rPr>
          <w:rFonts w:hint="eastAsia" w:ascii="仿宋" w:hAnsi="仿宋" w:eastAsia="仿宋"/>
          <w:lang w:val="en-US" w:eastAsia="zh-CN"/>
        </w:rPr>
        <w:t>8小时</w:t>
      </w:r>
      <w:r>
        <w:rPr>
          <w:rFonts w:hint="eastAsia" w:ascii="仿宋" w:hAnsi="仿宋" w:eastAsia="仿宋"/>
        </w:rPr>
        <w:t>内进场；</w:t>
      </w:r>
    </w:p>
    <w:p w14:paraId="78592468">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2、运输与交货：从搅拌站到工地最远点运输时间限制（≤90分钟），沥青罐车需配备实时温度监控装置，确保全程135~165℃恒温运输，需严格控温确保沥青材料，避免因温度变化影响材料性能。现场交货时，司机必须提供完整、清晰、签章齐全的出厂单据（发货单/运输单），</w:t>
      </w:r>
      <w:r>
        <w:rPr>
          <w:rFonts w:ascii="仿宋" w:hAnsi="仿宋" w:eastAsia="仿宋"/>
        </w:rPr>
        <w:t>不符合要求有权拒收</w:t>
      </w:r>
      <w:r>
        <w:rPr>
          <w:rFonts w:hint="eastAsia" w:ascii="仿宋" w:hAnsi="仿宋" w:eastAsia="仿宋"/>
          <w:lang w:eastAsia="zh-CN"/>
        </w:rPr>
        <w:t>。</w:t>
      </w:r>
    </w:p>
    <w:p w14:paraId="0118A22C">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现场配合：</w:t>
      </w:r>
      <w:r>
        <w:rPr>
          <w:rFonts w:hint="eastAsia" w:ascii="仿宋" w:hAnsi="仿宋" w:eastAsia="仿宋"/>
        </w:rPr>
        <w:t>供应商无条件配合现场施工进度要求</w:t>
      </w:r>
      <w:r>
        <w:rPr>
          <w:rFonts w:hint="eastAsia" w:ascii="仿宋" w:hAnsi="仿宋" w:eastAsia="仿宋"/>
          <w:lang w:eastAsia="zh-CN"/>
        </w:rPr>
        <w:t>，具备应对突发需求（如应急补方、计划变更）的快速响应能力和资源调配能力，保证24小时连续供应的能力（按需）。</w:t>
      </w:r>
    </w:p>
    <w:p w14:paraId="4DE056D1">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rPr>
        <w:t>4、</w:t>
      </w:r>
      <w:r>
        <w:rPr>
          <w:rFonts w:ascii="仿宋" w:hAnsi="仿宋" w:eastAsia="仿宋"/>
        </w:rPr>
        <w:t>质量异常：</w:t>
      </w:r>
      <w:r>
        <w:rPr>
          <w:rFonts w:hint="eastAsia" w:ascii="仿宋" w:hAnsi="仿宋" w:eastAsia="仿宋"/>
          <w:lang w:val="en-US" w:eastAsia="zh-CN"/>
        </w:rPr>
        <w:t>1）包装完整性：检查沥青罐车或包装袋有无破损、泄漏，确保密封完好；观察袋装沥青封口状态，破损包装需单独记录并退换。2）表观质量：</w:t>
      </w:r>
    </w:p>
    <w:p w14:paraId="1F610CF5">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目测沥青颜色均一性，无杂质、分层或异常结块；嗅辨有无刺激性异味，</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3）温度监控‌：罐车运输时需检测沥青温度（135~165℃为合规范围）；查验车载温度记录仪数据是否完整，如有异常</w:t>
      </w:r>
      <w:r>
        <w:rPr>
          <w:rFonts w:ascii="仿宋" w:hAnsi="仿宋" w:eastAsia="仿宋"/>
        </w:rPr>
        <w:t>有权拒收</w:t>
      </w:r>
      <w:r>
        <w:rPr>
          <w:rFonts w:hint="eastAsia" w:ascii="仿宋" w:hAnsi="仿宋" w:eastAsia="仿宋"/>
          <w:lang w:eastAsia="zh-CN"/>
        </w:rPr>
        <w:t>。</w:t>
      </w:r>
    </w:p>
    <w:p w14:paraId="0F42888F">
      <w:pPr>
        <w:pStyle w:val="7"/>
        <w:spacing w:before="0" w:beforeAutospacing="0" w:after="0" w:afterAutospacing="0" w:line="360" w:lineRule="auto"/>
        <w:rPr>
          <w:rFonts w:ascii="仿宋" w:hAnsi="仿宋" w:eastAsia="仿宋"/>
        </w:rPr>
      </w:pPr>
      <w:r>
        <w:rPr>
          <w:rFonts w:hint="eastAsia" w:ascii="仿宋" w:hAnsi="仿宋" w:eastAsia="仿宋"/>
        </w:rPr>
        <w:t>5、</w:t>
      </w:r>
      <w:r>
        <w:rPr>
          <w:rFonts w:ascii="仿宋" w:hAnsi="仿宋" w:eastAsia="仿宋"/>
        </w:rPr>
        <w:t>供应商延迟到货：按合同价0.1%/天扣款，超3天启动应急采购；</w:t>
      </w:r>
    </w:p>
    <w:p w14:paraId="65FD33AE">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rPr>
        <w:t>6、</w:t>
      </w:r>
      <w:r>
        <w:rPr>
          <w:rFonts w:ascii="仿宋" w:hAnsi="仿宋" w:eastAsia="仿宋"/>
        </w:rPr>
        <w:t>路线规划：提前勘察道路限高/限宽，夜间运输避开市区高峰</w:t>
      </w:r>
      <w:r>
        <w:rPr>
          <w:rFonts w:hint="eastAsia" w:ascii="仿宋" w:hAnsi="仿宋" w:eastAsia="仿宋"/>
          <w:lang w:eastAsia="zh-CN"/>
        </w:rPr>
        <w:t>。车辆需配备GPS定位系统，接受</w:t>
      </w:r>
      <w:r>
        <w:rPr>
          <w:rFonts w:hint="eastAsia" w:ascii="仿宋" w:hAnsi="仿宋" w:eastAsia="仿宋"/>
          <w:lang w:val="en-US" w:eastAsia="zh-CN"/>
        </w:rPr>
        <w:t>采购人</w:t>
      </w:r>
      <w:r>
        <w:rPr>
          <w:rFonts w:hint="eastAsia" w:ascii="仿宋" w:hAnsi="仿宋" w:eastAsia="仿宋"/>
          <w:lang w:eastAsia="zh-CN"/>
        </w:rPr>
        <w:t>调度，进入施工现场服从调度指挥，按规定路线行驶、指定地点卸料。</w:t>
      </w:r>
    </w:p>
    <w:p w14:paraId="7D9B6379">
      <w:pPr>
        <w:pStyle w:val="7"/>
        <w:spacing w:before="0" w:beforeAutospacing="0" w:after="0" w:afterAutospacing="0" w:line="360" w:lineRule="auto"/>
        <w:rPr>
          <w:rFonts w:ascii="仿宋" w:hAnsi="仿宋" w:eastAsia="仿宋"/>
        </w:rPr>
      </w:pPr>
      <w:r>
        <w:rPr>
          <w:rFonts w:hint="eastAsia" w:ascii="仿宋" w:hAnsi="仿宋" w:eastAsia="仿宋"/>
        </w:rPr>
        <w:t>7、</w:t>
      </w:r>
      <w:r>
        <w:rPr>
          <w:rFonts w:ascii="仿宋" w:hAnsi="仿宋" w:eastAsia="仿宋"/>
        </w:rPr>
        <w:t>到货通知：</w:t>
      </w:r>
      <w:r>
        <w:rPr>
          <w:rFonts w:hint="eastAsia" w:ascii="仿宋" w:hAnsi="仿宋" w:eastAsia="仿宋"/>
          <w:lang w:val="en-US" w:eastAsia="zh-CN"/>
        </w:rPr>
        <w:t>出发前</w:t>
      </w:r>
      <w:r>
        <w:rPr>
          <w:rFonts w:ascii="仿宋" w:hAnsi="仿宋" w:eastAsia="仿宋"/>
        </w:rPr>
        <w:t>发送货车车牌号、司机电话、预计抵达时间、货物清单及发货照片。</w:t>
      </w:r>
    </w:p>
    <w:p w14:paraId="34E91A76">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8、材料运输及照管：在货物移交给采购人并经采购人验收合格前，货物的损耗、毁损、灭失的风险和责任均由供应商自行承担。材料到场后及时通知采购人进行材料验收，验收合格后安排人员、机械将材料进行卸货转运至指定地点。</w:t>
      </w:r>
    </w:p>
    <w:p w14:paraId="216453DB">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9、技术指导：配合施工方解决摊铺过程中遇到的与材料相关的技术问题。</w:t>
      </w:r>
    </w:p>
    <w:p w14:paraId="1847302E">
      <w:pPr>
        <w:pStyle w:val="7"/>
        <w:spacing w:before="0" w:beforeAutospacing="0" w:after="0" w:afterAutospacing="0" w:line="360" w:lineRule="auto"/>
        <w:rPr>
          <w:rFonts w:hint="default" w:ascii="仿宋" w:hAnsi="仿宋" w:eastAsia="仿宋"/>
          <w:lang w:val="en-US" w:eastAsia="zh-CN"/>
        </w:rPr>
      </w:pPr>
      <w:r>
        <w:rPr>
          <w:rFonts w:hint="eastAsia" w:ascii="仿宋" w:hAnsi="仿宋" w:eastAsia="仿宋"/>
          <w:lang w:val="en-US" w:eastAsia="zh-CN"/>
        </w:rPr>
        <w:t>10、材料检测：合同执行过程中供应商必须根据项目的检测方案无条件配合材料送检并保证合格。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60E0C"/>
    <w:multiLevelType w:val="singleLevel"/>
    <w:tmpl w:val="03560E0C"/>
    <w:lvl w:ilvl="0" w:tentative="0">
      <w:start w:val="1"/>
      <w:numFmt w:val="bullet"/>
      <w:lvlText w:val=""/>
      <w:lvlJc w:val="left"/>
      <w:pPr>
        <w:ind w:left="420" w:hanging="420"/>
      </w:pPr>
      <w:rPr>
        <w:rFonts w:hint="default" w:ascii="Wingdings" w:hAnsi="Wingdings"/>
      </w:rPr>
    </w:lvl>
  </w:abstractNum>
  <w:abstractNum w:abstractNumId="1">
    <w:nsid w:val="0937007E"/>
    <w:multiLevelType w:val="singleLevel"/>
    <w:tmpl w:val="0937007E"/>
    <w:lvl w:ilvl="0" w:tentative="0">
      <w:start w:val="1"/>
      <w:numFmt w:val="bullet"/>
      <w:lvlText w:val=""/>
      <w:lvlJc w:val="left"/>
      <w:pPr>
        <w:ind w:left="420" w:hanging="420"/>
      </w:pPr>
      <w:rPr>
        <w:rFonts w:hint="default" w:ascii="Wingdings" w:hAnsi="Wingdings"/>
      </w:rPr>
    </w:lvl>
  </w:abstractNum>
  <w:abstractNum w:abstractNumId="2">
    <w:nsid w:val="3800D25E"/>
    <w:multiLevelType w:val="singleLevel"/>
    <w:tmpl w:val="3800D25E"/>
    <w:lvl w:ilvl="0" w:tentative="0">
      <w:start w:val="1"/>
      <w:numFmt w:val="decimal"/>
      <w:suff w:val="nothing"/>
      <w:lvlText w:val="%1、"/>
      <w:lvlJc w:val="left"/>
    </w:lvl>
  </w:abstractNum>
  <w:abstractNum w:abstractNumId="3">
    <w:nsid w:val="455CD118"/>
    <w:multiLevelType w:val="singleLevel"/>
    <w:tmpl w:val="455CD118"/>
    <w:lvl w:ilvl="0" w:tentative="0">
      <w:start w:val="2"/>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99B1398"/>
    <w:rsid w:val="0C290216"/>
    <w:rsid w:val="0DF239EF"/>
    <w:rsid w:val="12A45F39"/>
    <w:rsid w:val="1330149C"/>
    <w:rsid w:val="14A22215"/>
    <w:rsid w:val="210F0506"/>
    <w:rsid w:val="2EA20D1C"/>
    <w:rsid w:val="3C082611"/>
    <w:rsid w:val="3E75078E"/>
    <w:rsid w:val="454750F0"/>
    <w:rsid w:val="49EA2D27"/>
    <w:rsid w:val="5295297C"/>
    <w:rsid w:val="550959D8"/>
    <w:rsid w:val="63D76E38"/>
    <w:rsid w:val="6A7735E7"/>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4</Pages>
  <Words>2259</Words>
  <Characters>2507</Characters>
  <Lines>37</Lines>
  <Paragraphs>10</Paragraphs>
  <TotalTime>0</TotalTime>
  <ScaleCrop>false</ScaleCrop>
  <LinksUpToDate>false</LinksUpToDate>
  <CharactersWithSpaces>2531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2026-01-05T12:04:37Z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2052-12.1.0.24034</vt:lpwstr>
  </property>
  <property fmtid="{D5CDD505-2E9C-101B-9397-08002B2CF9AE}" pid="4" name="ICV">
    <vt:lpwstr>FA5F7FA5B74F422E885C941BF1D36B5D_13</vt:lpwstr>
  </property>
</Properties>
</file>