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6CBE0">
      <w:pPr>
        <w:spacing w:line="360" w:lineRule="auto"/>
        <w:jc w:val="center"/>
        <w:rPr>
          <w:rFonts w:hint="eastAsia" w:ascii="宋体" w:hAnsi="宋体" w:eastAsia="宋体" w:cs="宋体"/>
          <w:color w:val="auto"/>
          <w:sz w:val="84"/>
          <w:highlight w:val="none"/>
        </w:rPr>
      </w:pPr>
    </w:p>
    <w:p w14:paraId="282697FE">
      <w:pPr>
        <w:spacing w:line="360" w:lineRule="auto"/>
        <w:jc w:val="center"/>
        <w:rPr>
          <w:rFonts w:hint="eastAsia" w:ascii="宋体" w:hAnsi="宋体" w:eastAsia="宋体" w:cs="宋体"/>
          <w:b/>
          <w:bCs/>
          <w:color w:val="auto"/>
          <w:sz w:val="84"/>
          <w:highlight w:val="none"/>
        </w:rPr>
      </w:pPr>
      <w:r>
        <w:rPr>
          <w:rFonts w:hint="eastAsia" w:ascii="宋体" w:hAnsi="宋体" w:eastAsia="宋体" w:cs="宋体"/>
          <w:color w:val="auto"/>
          <w:sz w:val="84"/>
          <w:highlight w:val="none"/>
        </w:rPr>
        <w:t>采  购  文  件</w:t>
      </w:r>
    </w:p>
    <w:p w14:paraId="730FFE63">
      <w:pPr>
        <w:rPr>
          <w:rFonts w:hint="eastAsia" w:ascii="宋体" w:hAnsi="宋体" w:eastAsia="宋体" w:cs="宋体"/>
          <w:color w:val="auto"/>
          <w:sz w:val="52"/>
          <w:szCs w:val="52"/>
          <w:highlight w:val="none"/>
        </w:rPr>
      </w:pPr>
    </w:p>
    <w:p w14:paraId="3D2B30C2">
      <w:pPr>
        <w:rPr>
          <w:rFonts w:hint="eastAsia" w:ascii="宋体" w:hAnsi="宋体" w:eastAsia="宋体" w:cs="宋体"/>
          <w:color w:val="auto"/>
          <w:sz w:val="52"/>
          <w:szCs w:val="52"/>
          <w:highlight w:val="none"/>
        </w:rPr>
      </w:pPr>
    </w:p>
    <w:p w14:paraId="7782E756">
      <w:pPr>
        <w:rPr>
          <w:rFonts w:hint="eastAsia" w:ascii="宋体" w:hAnsi="宋体" w:eastAsia="宋体" w:cs="宋体"/>
          <w:color w:val="auto"/>
          <w:sz w:val="52"/>
          <w:szCs w:val="52"/>
          <w:highlight w:val="none"/>
        </w:rPr>
      </w:pPr>
    </w:p>
    <w:p w14:paraId="0DF07F5A">
      <w:pPr>
        <w:jc w:val="center"/>
        <w:rPr>
          <w:rFonts w:hint="eastAsia" w:ascii="宋体" w:hAnsi="宋体" w:eastAsia="宋体" w:cs="宋体"/>
          <w:b/>
          <w:bCs w:val="0"/>
          <w:color w:val="auto"/>
          <w:kern w:val="2"/>
          <w:sz w:val="32"/>
          <w:szCs w:val="24"/>
          <w:highlight w:val="none"/>
          <w:u w:val="none"/>
          <w:lang w:val="en-US" w:eastAsia="zh-CN"/>
        </w:rPr>
      </w:pPr>
      <w:r>
        <w:rPr>
          <w:rFonts w:hint="eastAsia" w:ascii="宋体" w:hAnsi="宋体" w:eastAsia="宋体" w:cs="宋体"/>
          <w:b/>
          <w:bCs w:val="0"/>
          <w:color w:val="auto"/>
          <w:kern w:val="2"/>
          <w:sz w:val="32"/>
          <w:szCs w:val="24"/>
          <w:highlight w:val="none"/>
          <w:u w:val="none"/>
          <w:lang w:val="en-US" w:eastAsia="zh-CN"/>
        </w:rPr>
        <w:t>城工集团照明工程</w:t>
      </w:r>
      <w:r>
        <w:rPr>
          <w:rFonts w:hint="eastAsia" w:ascii="宋体" w:hAnsi="宋体" w:cs="宋体"/>
          <w:b/>
          <w:bCs w:val="0"/>
          <w:color w:val="auto"/>
          <w:kern w:val="2"/>
          <w:sz w:val="32"/>
          <w:szCs w:val="24"/>
          <w:highlight w:val="none"/>
          <w:u w:val="none"/>
          <w:lang w:val="en-US" w:eastAsia="zh-CN"/>
        </w:rPr>
        <w:t>劳务分包</w:t>
      </w:r>
      <w:r>
        <w:rPr>
          <w:rFonts w:hint="eastAsia" w:ascii="宋体" w:hAnsi="宋体" w:eastAsia="宋体" w:cs="宋体"/>
          <w:b/>
          <w:bCs w:val="0"/>
          <w:color w:val="auto"/>
          <w:kern w:val="2"/>
          <w:sz w:val="32"/>
          <w:szCs w:val="24"/>
          <w:highlight w:val="none"/>
          <w:u w:val="none"/>
          <w:lang w:val="en-US" w:eastAsia="zh-CN"/>
        </w:rPr>
        <w:t>—</w:t>
      </w:r>
    </w:p>
    <w:p w14:paraId="69B2E2EE">
      <w:pPr>
        <w:jc w:val="center"/>
        <w:rPr>
          <w:rFonts w:hint="default" w:ascii="宋体" w:hAnsi="宋体" w:eastAsia="宋体" w:cs="宋体"/>
          <w:bCs/>
          <w:color w:val="auto"/>
          <w:kern w:val="2"/>
          <w:sz w:val="32"/>
          <w:szCs w:val="24"/>
          <w:highlight w:val="none"/>
          <w:u w:val="none"/>
          <w:lang w:val="en-US" w:eastAsia="zh-CN"/>
        </w:rPr>
      </w:pPr>
      <w:r>
        <w:rPr>
          <w:rFonts w:hint="eastAsia" w:ascii="宋体" w:hAnsi="宋体" w:eastAsia="宋体" w:cs="宋体"/>
          <w:b/>
          <w:bCs w:val="0"/>
          <w:color w:val="auto"/>
          <w:kern w:val="2"/>
          <w:sz w:val="32"/>
          <w:szCs w:val="24"/>
          <w:highlight w:val="none"/>
          <w:u w:val="none"/>
          <w:lang w:val="en-US" w:eastAsia="zh-CN"/>
        </w:rPr>
        <w:t>（沙田中学、应急消防基地、生物技术产业园）</w:t>
      </w:r>
    </w:p>
    <w:p w14:paraId="5B800844">
      <w:pPr>
        <w:jc w:val="both"/>
        <w:rPr>
          <w:rFonts w:hint="eastAsia" w:ascii="宋体" w:hAnsi="宋体" w:eastAsia="宋体" w:cs="宋体"/>
          <w:bCs/>
          <w:color w:val="auto"/>
          <w:sz w:val="32"/>
          <w:highlight w:val="none"/>
        </w:rPr>
      </w:pPr>
    </w:p>
    <w:p w14:paraId="2156C9FA">
      <w:pPr>
        <w:jc w:val="center"/>
        <w:rPr>
          <w:rFonts w:hint="eastAsia" w:ascii="宋体" w:hAnsi="宋体" w:eastAsia="宋体" w:cs="宋体"/>
          <w:bCs/>
          <w:color w:val="auto"/>
          <w:sz w:val="32"/>
          <w:highlight w:val="none"/>
          <w:u w:val="single"/>
        </w:rPr>
      </w:pPr>
      <w:r>
        <w:rPr>
          <w:rFonts w:hint="eastAsia" w:ascii="宋体" w:hAnsi="宋体" w:eastAsia="宋体" w:cs="宋体"/>
          <w:bCs/>
          <w:color w:val="auto"/>
          <w:sz w:val="32"/>
          <w:highlight w:val="none"/>
        </w:rPr>
        <w:t>项目编号：</w:t>
      </w:r>
      <w:r>
        <w:rPr>
          <w:rFonts w:hint="eastAsia" w:ascii="宋体" w:hAnsi="宋体" w:eastAsia="宋体" w:cs="宋体"/>
          <w:bCs/>
          <w:color w:val="auto"/>
          <w:sz w:val="32"/>
          <w:highlight w:val="none"/>
          <w:u w:val="single"/>
        </w:rPr>
        <w:t xml:space="preserve"> </w:t>
      </w:r>
      <w:r>
        <w:rPr>
          <w:rFonts w:hint="eastAsia" w:ascii="宋体" w:hAnsi="宋体" w:eastAsia="宋体" w:cs="宋体"/>
          <w:bCs/>
          <w:color w:val="auto"/>
          <w:sz w:val="32"/>
          <w:highlight w:val="none"/>
          <w:u w:val="single"/>
          <w:lang w:val="en-US" w:eastAsia="zh-CN"/>
        </w:rPr>
        <w:t>CGZM</w:t>
      </w:r>
      <w:r>
        <w:rPr>
          <w:rFonts w:hint="eastAsia" w:ascii="宋体" w:hAnsi="宋体" w:eastAsia="宋体" w:cs="宋体"/>
          <w:bCs/>
          <w:color w:val="auto"/>
          <w:sz w:val="32"/>
          <w:highlight w:val="none"/>
          <w:u w:val="single"/>
        </w:rPr>
        <w:t>-2025-</w:t>
      </w:r>
      <w:r>
        <w:rPr>
          <w:rFonts w:hint="eastAsia" w:ascii="宋体" w:hAnsi="宋体" w:eastAsia="宋体" w:cs="宋体"/>
          <w:bCs/>
          <w:color w:val="auto"/>
          <w:sz w:val="32"/>
          <w:highlight w:val="none"/>
          <w:u w:val="single"/>
          <w:lang w:val="en-US" w:eastAsia="zh-CN"/>
        </w:rPr>
        <w:t>002</w:t>
      </w:r>
      <w:r>
        <w:rPr>
          <w:rFonts w:hint="eastAsia" w:ascii="宋体" w:hAnsi="宋体" w:eastAsia="宋体" w:cs="宋体"/>
          <w:bCs/>
          <w:color w:val="auto"/>
          <w:sz w:val="32"/>
          <w:highlight w:val="none"/>
          <w:u w:val="single"/>
        </w:rPr>
        <w:t xml:space="preserve">  </w:t>
      </w:r>
    </w:p>
    <w:p w14:paraId="03B2B501">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 xml:space="preserve"> </w:t>
      </w:r>
    </w:p>
    <w:p w14:paraId="78DF8751">
      <w:pPr>
        <w:spacing w:line="360" w:lineRule="auto"/>
        <w:jc w:val="center"/>
        <w:rPr>
          <w:rFonts w:hint="eastAsia" w:ascii="宋体" w:hAnsi="宋体" w:eastAsia="宋体" w:cs="宋体"/>
          <w:color w:val="auto"/>
          <w:highlight w:val="none"/>
        </w:rPr>
      </w:pPr>
    </w:p>
    <w:p w14:paraId="6A4ED080">
      <w:pPr>
        <w:spacing w:line="360" w:lineRule="auto"/>
        <w:rPr>
          <w:rFonts w:hint="eastAsia" w:ascii="宋体" w:hAnsi="宋体" w:eastAsia="宋体" w:cs="宋体"/>
          <w:bCs/>
          <w:color w:val="auto"/>
          <w:sz w:val="32"/>
          <w:highlight w:val="none"/>
        </w:rPr>
      </w:pPr>
    </w:p>
    <w:p w14:paraId="4F7D8027">
      <w:pPr>
        <w:spacing w:line="360" w:lineRule="auto"/>
        <w:rPr>
          <w:rFonts w:hint="eastAsia" w:ascii="宋体" w:hAnsi="宋体" w:eastAsia="宋体" w:cs="宋体"/>
          <w:bCs/>
          <w:color w:val="auto"/>
          <w:sz w:val="32"/>
          <w:highlight w:val="none"/>
        </w:rPr>
      </w:pPr>
    </w:p>
    <w:p w14:paraId="129B0D3D">
      <w:pPr>
        <w:spacing w:line="360" w:lineRule="auto"/>
        <w:rPr>
          <w:rFonts w:hint="eastAsia" w:ascii="宋体" w:hAnsi="宋体" w:eastAsia="宋体" w:cs="宋体"/>
          <w:bCs/>
          <w:color w:val="auto"/>
          <w:sz w:val="32"/>
          <w:highlight w:val="none"/>
        </w:rPr>
      </w:pPr>
    </w:p>
    <w:p w14:paraId="3C258640">
      <w:pPr>
        <w:spacing w:line="360" w:lineRule="auto"/>
        <w:jc w:val="center"/>
        <w:rPr>
          <w:rFonts w:hint="eastAsia" w:ascii="宋体" w:hAnsi="宋体" w:eastAsia="宋体" w:cs="宋体"/>
          <w:bCs/>
          <w:color w:val="auto"/>
          <w:sz w:val="32"/>
          <w:highlight w:val="none"/>
        </w:rPr>
      </w:pPr>
      <w:r>
        <w:rPr>
          <w:rFonts w:hint="eastAsia" w:ascii="宋体" w:hAnsi="宋体" w:eastAsia="宋体" w:cs="宋体"/>
          <w:bCs/>
          <w:color w:val="auto"/>
          <w:sz w:val="32"/>
          <w:highlight w:val="none"/>
        </w:rPr>
        <w:t>东莞</w:t>
      </w:r>
      <w:r>
        <w:rPr>
          <w:rFonts w:hint="eastAsia" w:ascii="宋体" w:hAnsi="宋体" w:eastAsia="宋体" w:cs="宋体"/>
          <w:bCs/>
          <w:color w:val="auto"/>
          <w:sz w:val="32"/>
          <w:highlight w:val="none"/>
          <w:lang w:val="en-US" w:eastAsia="zh-CN"/>
        </w:rPr>
        <w:t>城工集团照明工程</w:t>
      </w:r>
      <w:r>
        <w:rPr>
          <w:rFonts w:hint="eastAsia" w:ascii="宋体" w:hAnsi="宋体" w:eastAsia="宋体" w:cs="宋体"/>
          <w:bCs/>
          <w:color w:val="auto"/>
          <w:sz w:val="32"/>
          <w:highlight w:val="none"/>
        </w:rPr>
        <w:t>有限公司</w:t>
      </w:r>
    </w:p>
    <w:p w14:paraId="5EF89A41">
      <w:pPr>
        <w:spacing w:line="360" w:lineRule="auto"/>
        <w:ind w:left="538"/>
        <w:jc w:val="center"/>
        <w:rPr>
          <w:rFonts w:hint="eastAsia" w:ascii="宋体" w:hAnsi="宋体" w:eastAsia="宋体" w:cs="宋体"/>
          <w:b/>
          <w:bCs/>
          <w:color w:val="auto"/>
          <w:sz w:val="32"/>
          <w:highlight w:val="none"/>
        </w:rPr>
      </w:pPr>
      <w:r>
        <w:rPr>
          <w:rFonts w:hint="eastAsia" w:ascii="宋体" w:hAnsi="宋体" w:eastAsia="宋体" w:cs="宋体"/>
          <w:bCs/>
          <w:color w:val="auto"/>
          <w:sz w:val="32"/>
          <w:highlight w:val="none"/>
          <w:lang w:eastAsia="zh-CN"/>
        </w:rPr>
        <w:t>2025</w:t>
      </w:r>
      <w:r>
        <w:rPr>
          <w:rFonts w:hint="eastAsia" w:ascii="宋体" w:hAnsi="宋体" w:eastAsia="宋体" w:cs="宋体"/>
          <w:bCs/>
          <w:color w:val="auto"/>
          <w:sz w:val="32"/>
          <w:highlight w:val="none"/>
        </w:rPr>
        <w:t>年</w:t>
      </w:r>
      <w:r>
        <w:rPr>
          <w:rFonts w:hint="eastAsia" w:ascii="宋体" w:hAnsi="宋体" w:eastAsia="宋体" w:cs="宋体"/>
          <w:bCs/>
          <w:color w:val="auto"/>
          <w:sz w:val="32"/>
          <w:highlight w:val="none"/>
          <w:lang w:val="en-US" w:eastAsia="zh-CN"/>
        </w:rPr>
        <w:t>1</w:t>
      </w:r>
      <w:r>
        <w:rPr>
          <w:rFonts w:hint="eastAsia" w:ascii="宋体" w:hAnsi="宋体" w:cs="宋体"/>
          <w:bCs/>
          <w:color w:val="auto"/>
          <w:sz w:val="32"/>
          <w:highlight w:val="none"/>
          <w:lang w:val="en-US" w:eastAsia="zh-CN"/>
        </w:rPr>
        <w:t>2</w:t>
      </w:r>
      <w:r>
        <w:rPr>
          <w:rFonts w:hint="eastAsia" w:ascii="宋体" w:hAnsi="宋体" w:eastAsia="宋体" w:cs="宋体"/>
          <w:bCs/>
          <w:color w:val="auto"/>
          <w:sz w:val="32"/>
          <w:highlight w:val="none"/>
        </w:rPr>
        <w:t>月</w:t>
      </w:r>
    </w:p>
    <w:p w14:paraId="573DCDFD">
      <w:pPr>
        <w:jc w:val="center"/>
        <w:rPr>
          <w:rFonts w:hint="eastAsia" w:ascii="宋体" w:hAnsi="宋体" w:eastAsia="宋体" w:cs="宋体"/>
          <w:b/>
          <w:bCs/>
          <w:color w:val="auto"/>
          <w:sz w:val="32"/>
          <w:highlight w:val="none"/>
        </w:rPr>
        <w:sectPr>
          <w:footerReference r:id="rId3" w:type="default"/>
          <w:pgSz w:w="11906" w:h="16838"/>
          <w:pgMar w:top="1440" w:right="1797" w:bottom="1440" w:left="1797" w:header="851" w:footer="992" w:gutter="0"/>
          <w:cols w:space="720" w:num="1"/>
          <w:docGrid w:type="lines" w:linePitch="312" w:charSpace="0"/>
        </w:sectPr>
      </w:pPr>
    </w:p>
    <w:p w14:paraId="4B0AC36D">
      <w:pPr>
        <w:jc w:val="center"/>
        <w:rPr>
          <w:rFonts w:hint="eastAsia" w:ascii="宋体" w:hAnsi="宋体" w:eastAsia="宋体" w:cs="宋体"/>
          <w:color w:val="auto"/>
          <w:sz w:val="32"/>
          <w:highlight w:val="none"/>
        </w:rPr>
      </w:pPr>
      <w:r>
        <w:rPr>
          <w:rFonts w:hint="eastAsia" w:ascii="宋体" w:hAnsi="宋体" w:eastAsia="宋体" w:cs="宋体"/>
          <w:b/>
          <w:bCs/>
          <w:color w:val="auto"/>
          <w:sz w:val="32"/>
          <w:highlight w:val="none"/>
        </w:rPr>
        <w:t>第一部分 采购公告</w:t>
      </w:r>
    </w:p>
    <w:p w14:paraId="0D211A2E">
      <w:pPr>
        <w:widowControl/>
        <w:snapToGrid w:val="0"/>
        <w:spacing w:line="360" w:lineRule="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至：投标人</w:t>
      </w:r>
    </w:p>
    <w:p w14:paraId="25C9CC26">
      <w:pPr>
        <w:widowControl/>
        <w:snapToGrid w:val="0"/>
        <w:spacing w:line="360" w:lineRule="auto"/>
        <w:ind w:firstLine="525" w:firstLineChars="250"/>
        <w:rPr>
          <w:rFonts w:hint="eastAsia"/>
        </w:rPr>
      </w:pPr>
      <w:r>
        <w:rPr>
          <w:rFonts w:hint="eastAsia" w:ascii="宋体" w:hAnsi="宋体" w:eastAsia="宋体" w:cs="宋体"/>
          <w:color w:val="auto"/>
          <w:kern w:val="0"/>
          <w:szCs w:val="21"/>
          <w:highlight w:val="none"/>
        </w:rPr>
        <w:t>东莞</w:t>
      </w:r>
      <w:r>
        <w:rPr>
          <w:rFonts w:hint="eastAsia" w:ascii="宋体" w:hAnsi="宋体" w:eastAsia="宋体" w:cs="宋体"/>
          <w:color w:val="auto"/>
          <w:kern w:val="0"/>
          <w:szCs w:val="21"/>
          <w:highlight w:val="none"/>
          <w:lang w:val="en-US" w:eastAsia="zh-CN"/>
        </w:rPr>
        <w:t>城工集团照明工程</w:t>
      </w:r>
      <w:r>
        <w:rPr>
          <w:rFonts w:hint="eastAsia" w:ascii="宋体" w:hAnsi="宋体" w:eastAsia="宋体" w:cs="宋体"/>
          <w:color w:val="auto"/>
          <w:kern w:val="0"/>
          <w:szCs w:val="21"/>
          <w:highlight w:val="none"/>
        </w:rPr>
        <w:t>有限公司就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城工集团照明工程劳务分包—（沙田中学、应急消防基地、生物技术产业园）</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进行</w:t>
      </w:r>
      <w:r>
        <w:rPr>
          <w:rFonts w:hint="eastAsia" w:ascii="宋体" w:hAnsi="宋体" w:eastAsia="宋体" w:cs="宋体"/>
          <w:color w:val="auto"/>
          <w:kern w:val="0"/>
          <w:szCs w:val="21"/>
          <w:highlight w:val="none"/>
          <w:u w:val="single"/>
        </w:rPr>
        <w:t xml:space="preserve"> 公开采购 </w:t>
      </w:r>
      <w:r>
        <w:rPr>
          <w:rFonts w:hint="eastAsia" w:ascii="宋体" w:hAnsi="宋体" w:eastAsia="宋体" w:cs="宋体"/>
          <w:color w:val="auto"/>
          <w:kern w:val="0"/>
          <w:szCs w:val="21"/>
          <w:highlight w:val="none"/>
        </w:rPr>
        <w:t>现将有关事项说明如下：</w:t>
      </w:r>
    </w:p>
    <w:p w14:paraId="6A889C27">
      <w:pPr>
        <w:widowControl/>
        <w:numPr>
          <w:ilvl w:val="0"/>
          <w:numId w:val="0"/>
        </w:numPr>
        <w:snapToGrid w:val="0"/>
        <w:spacing w:line="360" w:lineRule="auto"/>
        <w:ind w:left="420" w:leftChars="0"/>
        <w:rPr>
          <w:rFonts w:hint="eastAsia" w:ascii="宋体" w:hAnsi="宋体" w:eastAsia="宋体" w:cs="宋体"/>
          <w:color w:val="auto"/>
          <w:kern w:val="0"/>
          <w:szCs w:val="21"/>
          <w:highlight w:val="none"/>
        </w:rPr>
      </w:pPr>
      <w:r>
        <w:rPr>
          <w:rFonts w:hint="eastAsia" w:ascii="宋体" w:hAnsi="宋体" w:cs="宋体"/>
          <w:b/>
          <w:bCs/>
          <w:color w:val="auto"/>
          <w:kern w:val="0"/>
          <w:szCs w:val="21"/>
          <w:highlight w:val="none"/>
          <w:lang w:val="en-US" w:eastAsia="zh-CN"/>
        </w:rPr>
        <w:t>一、</w:t>
      </w:r>
      <w:r>
        <w:rPr>
          <w:rFonts w:hint="eastAsia" w:ascii="宋体" w:hAnsi="宋体" w:eastAsia="宋体" w:cs="宋体"/>
          <w:b/>
          <w:bCs/>
          <w:color w:val="auto"/>
          <w:kern w:val="0"/>
          <w:szCs w:val="21"/>
          <w:highlight w:val="none"/>
        </w:rPr>
        <w:t>项目名称：</w:t>
      </w:r>
      <w:r>
        <w:rPr>
          <w:rFonts w:hint="eastAsia" w:ascii="宋体" w:hAnsi="宋体" w:eastAsia="宋体" w:cs="宋体"/>
          <w:color w:val="auto"/>
          <w:kern w:val="0"/>
          <w:szCs w:val="21"/>
          <w:highlight w:val="none"/>
          <w:u w:val="single"/>
          <w:lang w:val="en-US" w:eastAsia="zh-CN"/>
        </w:rPr>
        <w:t>城工集团照明工程劳务分包—（沙田中学、应急消防基地、生物技术产业园）</w:t>
      </w:r>
    </w:p>
    <w:p w14:paraId="2D5062F8">
      <w:pPr>
        <w:widowControl/>
        <w:numPr>
          <w:ilvl w:val="0"/>
          <w:numId w:val="0"/>
        </w:numPr>
        <w:snapToGrid w:val="0"/>
        <w:spacing w:line="360" w:lineRule="auto"/>
        <w:ind w:left="420" w:leftChars="0"/>
        <w:rPr>
          <w:rFonts w:hint="eastAsia" w:ascii="宋体" w:hAnsi="宋体" w:eastAsia="宋体" w:cs="宋体"/>
          <w:color w:val="auto"/>
          <w:kern w:val="0"/>
          <w:szCs w:val="21"/>
          <w:highlight w:val="none"/>
        </w:rPr>
      </w:pPr>
      <w:r>
        <w:rPr>
          <w:rFonts w:hint="eastAsia" w:ascii="宋体" w:hAnsi="宋体" w:cs="宋体"/>
          <w:b/>
          <w:bCs/>
          <w:color w:val="auto"/>
          <w:kern w:val="0"/>
          <w:szCs w:val="21"/>
          <w:highlight w:val="none"/>
          <w:lang w:val="en-US" w:eastAsia="zh-CN"/>
        </w:rPr>
        <w:t>二、</w:t>
      </w:r>
      <w:r>
        <w:rPr>
          <w:rFonts w:hint="eastAsia" w:ascii="宋体" w:hAnsi="宋体" w:eastAsia="宋体" w:cs="宋体"/>
          <w:b/>
          <w:bCs/>
          <w:color w:val="auto"/>
          <w:kern w:val="0"/>
          <w:szCs w:val="21"/>
          <w:highlight w:val="none"/>
        </w:rPr>
        <w:t>项目编号：</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CGZM</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u w:val="single"/>
          <w:lang w:eastAsia="zh-CN"/>
        </w:rPr>
        <w:t>2025</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u w:val="single"/>
          <w:lang w:val="en-US" w:eastAsia="zh-CN"/>
        </w:rPr>
        <w:t xml:space="preserve">002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0EA5F313">
      <w:pPr>
        <w:widowControl/>
        <w:snapToGrid w:val="0"/>
        <w:spacing w:line="360" w:lineRule="auto"/>
        <w:ind w:left="420"/>
        <w:rPr>
          <w:rFonts w:hint="eastAsia" w:ascii="宋体" w:hAnsi="宋体" w:eastAsia="宋体" w:cs="宋体"/>
          <w:color w:val="auto"/>
          <w:kern w:val="0"/>
          <w:szCs w:val="21"/>
          <w:highlight w:val="none"/>
        </w:rPr>
      </w:pPr>
      <w:r>
        <w:rPr>
          <w:rFonts w:hint="eastAsia" w:ascii="宋体" w:hAnsi="宋体" w:cs="宋体"/>
          <w:b/>
          <w:bCs/>
          <w:color w:val="auto"/>
          <w:kern w:val="0"/>
          <w:szCs w:val="21"/>
          <w:highlight w:val="none"/>
          <w:lang w:val="en-US" w:eastAsia="zh-CN"/>
        </w:rPr>
        <w:t>三、</w:t>
      </w:r>
      <w:r>
        <w:rPr>
          <w:rFonts w:hint="eastAsia" w:ascii="宋体" w:hAnsi="宋体" w:eastAsia="宋体" w:cs="宋体"/>
          <w:b/>
          <w:bCs/>
          <w:color w:val="auto"/>
          <w:kern w:val="0"/>
          <w:szCs w:val="21"/>
          <w:highlight w:val="none"/>
        </w:rPr>
        <w:t>工程地点：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东莞市沙田镇</w:t>
      </w:r>
      <w:r>
        <w:rPr>
          <w:rFonts w:hint="eastAsia" w:ascii="宋体" w:hAnsi="宋体" w:cs="宋体"/>
          <w:color w:val="auto"/>
          <w:kern w:val="0"/>
          <w:szCs w:val="21"/>
          <w:highlight w:val="none"/>
          <w:u w:val="single"/>
          <w:lang w:val="en-US" w:eastAsia="zh-CN"/>
        </w:rPr>
        <w:t>、</w:t>
      </w:r>
      <w:r>
        <w:rPr>
          <w:rFonts w:hint="eastAsia" w:ascii="宋体" w:hAnsi="宋体" w:cs="宋体"/>
          <w:color w:val="auto"/>
          <w:kern w:val="0"/>
          <w:szCs w:val="21"/>
          <w:highlight w:val="none"/>
          <w:u w:val="single"/>
          <w:lang w:val="en-US" w:eastAsia="zh-CN" w:bidi="ar"/>
        </w:rPr>
        <w:t>东莞市</w:t>
      </w:r>
      <w:r>
        <w:rPr>
          <w:rFonts w:hint="eastAsia" w:ascii="宋体" w:hAnsi="宋体" w:eastAsia="宋体" w:cs="宋体"/>
          <w:color w:val="000000"/>
          <w:kern w:val="0"/>
          <w:szCs w:val="21"/>
          <w:u w:val="single"/>
          <w:lang w:val="en-US" w:eastAsia="zh-CN"/>
        </w:rPr>
        <w:t>万江街道</w:t>
      </w:r>
      <w:r>
        <w:rPr>
          <w:rFonts w:hint="eastAsia" w:ascii="宋体" w:hAnsi="宋体" w:cs="宋体"/>
          <w:color w:val="000000"/>
          <w:kern w:val="0"/>
          <w:szCs w:val="21"/>
          <w:u w:val="single"/>
          <w:lang w:val="en-US" w:eastAsia="zh-CN"/>
        </w:rPr>
        <w:t>、</w:t>
      </w:r>
      <w:r>
        <w:rPr>
          <w:rFonts w:hint="eastAsia" w:ascii="宋体" w:hAnsi="宋体" w:eastAsia="宋体" w:cs="宋体"/>
          <w:color w:val="000000"/>
          <w:kern w:val="0"/>
          <w:szCs w:val="21"/>
          <w:u w:val="single"/>
          <w:lang w:val="en-US" w:eastAsia="zh-CN"/>
        </w:rPr>
        <w:t>东莞市松山湖</w:t>
      </w:r>
      <w:r>
        <w:rPr>
          <w:rFonts w:hint="eastAsia" w:ascii="宋体" w:hAnsi="宋体" w:eastAsia="宋体" w:cs="宋体"/>
          <w:color w:val="auto"/>
          <w:kern w:val="0"/>
          <w:szCs w:val="21"/>
          <w:highlight w:val="none"/>
          <w:u w:val="single"/>
        </w:rPr>
        <w:t xml:space="preserve">    </w:t>
      </w:r>
    </w:p>
    <w:p w14:paraId="4E603295">
      <w:pPr>
        <w:widowControl/>
        <w:snapToGrid w:val="0"/>
        <w:spacing w:line="360" w:lineRule="auto"/>
        <w:ind w:firstLine="369" w:firstLineChars="175"/>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四、采购限价：</w:t>
      </w:r>
    </w:p>
    <w:p w14:paraId="21DD41FF">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本项目采购控制价为</w:t>
      </w:r>
      <w:r>
        <w:rPr>
          <w:rFonts w:hint="eastAsia" w:ascii="宋体" w:hAnsi="宋体" w:eastAsia="宋体" w:cs="宋体"/>
          <w:color w:val="auto"/>
          <w:kern w:val="0"/>
          <w:szCs w:val="21"/>
          <w:highlight w:val="none"/>
          <w:u w:val="single"/>
        </w:rPr>
        <w:t>¥</w:t>
      </w:r>
      <w:r>
        <w:rPr>
          <w:rFonts w:hint="eastAsia" w:ascii="宋体" w:hAnsi="宋体" w:cs="宋体"/>
          <w:color w:val="auto"/>
          <w:kern w:val="0"/>
          <w:szCs w:val="21"/>
          <w:highlight w:val="none"/>
          <w:u w:val="single"/>
          <w:lang w:val="en-US" w:eastAsia="zh-CN"/>
        </w:rPr>
        <w:t xml:space="preserve">1429817.50 </w:t>
      </w:r>
      <w:r>
        <w:rPr>
          <w:rFonts w:hint="eastAsia" w:ascii="宋体" w:hAnsi="宋体" w:eastAsia="宋体" w:cs="宋体"/>
          <w:color w:val="auto"/>
          <w:kern w:val="0"/>
          <w:szCs w:val="21"/>
          <w:highlight w:val="none"/>
        </w:rPr>
        <w:t>元（含税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3</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%）,本项目采购限价为¥</w:t>
      </w:r>
      <w:r>
        <w:rPr>
          <w:rFonts w:hint="eastAsia" w:ascii="宋体" w:hAnsi="宋体" w:cs="宋体"/>
          <w:color w:val="auto"/>
          <w:kern w:val="0"/>
          <w:szCs w:val="21"/>
          <w:highlight w:val="none"/>
          <w:u w:val="single"/>
          <w:lang w:val="en-US" w:eastAsia="zh-CN"/>
        </w:rPr>
        <w:t>1390655.67</w:t>
      </w:r>
      <w:r>
        <w:rPr>
          <w:rFonts w:hint="eastAsia" w:ascii="宋体" w:hAnsi="宋体" w:eastAsia="宋体" w:cs="宋体"/>
          <w:color w:val="auto"/>
          <w:kern w:val="0"/>
          <w:szCs w:val="21"/>
          <w:highlight w:val="none"/>
        </w:rPr>
        <w:t>元（含税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3</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(大写)</w:t>
      </w:r>
      <w:r>
        <w:rPr>
          <w:rFonts w:hint="eastAsia" w:ascii="宋体" w:hAnsi="宋体" w:cs="宋体"/>
          <w:color w:val="auto"/>
          <w:kern w:val="0"/>
          <w:szCs w:val="21"/>
          <w:highlight w:val="none"/>
          <w:u w:val="single"/>
          <w:lang w:val="en-US" w:eastAsia="zh-CN"/>
        </w:rPr>
        <w:t>壹佰叁拾玖万零陆佰伍拾伍元陆角柒分；</w:t>
      </w:r>
      <w:r>
        <w:rPr>
          <w:rFonts w:hint="eastAsia" w:ascii="宋体" w:hAnsi="宋体" w:eastAsia="宋体" w:cs="宋体"/>
          <w:color w:val="auto"/>
          <w:kern w:val="0"/>
          <w:szCs w:val="21"/>
          <w:highlight w:val="none"/>
        </w:rPr>
        <w:t>其中不含税价款为:</w:t>
      </w:r>
      <w:r>
        <w:rPr>
          <w:rFonts w:hint="eastAsia" w:ascii="宋体" w:hAnsi="宋体" w:eastAsia="宋体" w:cs="宋体"/>
          <w:color w:val="auto"/>
          <w:kern w:val="0"/>
          <w:szCs w:val="21"/>
          <w:highlight w:val="none"/>
          <w:u w:val="single"/>
        </w:rPr>
        <w:t>(小写)¥</w:t>
      </w:r>
      <w:r>
        <w:rPr>
          <w:rFonts w:hint="eastAsia" w:ascii="宋体" w:hAnsi="宋体" w:cs="宋体"/>
          <w:color w:val="auto"/>
          <w:kern w:val="0"/>
          <w:szCs w:val="21"/>
          <w:highlight w:val="none"/>
          <w:u w:val="single"/>
          <w:lang w:val="en-US" w:eastAsia="zh-CN"/>
        </w:rPr>
        <w:t>1350151.14</w:t>
      </w:r>
      <w:r>
        <w:rPr>
          <w:rFonts w:hint="eastAsia" w:ascii="宋体" w:hAnsi="宋体" w:eastAsia="宋体" w:cs="宋体"/>
          <w:color w:val="auto"/>
          <w:kern w:val="0"/>
          <w:szCs w:val="21"/>
          <w:highlight w:val="none"/>
        </w:rPr>
        <w:t>元，</w:t>
      </w:r>
      <w:r>
        <w:rPr>
          <w:rFonts w:hint="eastAsia" w:ascii="宋体" w:hAnsi="宋体" w:eastAsia="宋体" w:cs="宋体"/>
          <w:color w:val="auto"/>
          <w:kern w:val="0"/>
          <w:szCs w:val="21"/>
          <w:highlight w:val="none"/>
          <w:u w:val="single"/>
        </w:rPr>
        <w:t>(大写)</w:t>
      </w:r>
      <w:r>
        <w:rPr>
          <w:rFonts w:hint="eastAsia" w:ascii="宋体" w:hAnsi="宋体" w:cs="宋体"/>
          <w:color w:val="auto"/>
          <w:kern w:val="0"/>
          <w:szCs w:val="21"/>
          <w:highlight w:val="none"/>
          <w:u w:val="single"/>
          <w:lang w:val="en-US" w:eastAsia="zh-CN"/>
        </w:rPr>
        <w:t>壹佰叁拾伍万零壹佰伍拾壹元壹角肆分；</w:t>
      </w:r>
      <w:r>
        <w:rPr>
          <w:rFonts w:hint="eastAsia" w:ascii="宋体" w:hAnsi="宋体" w:eastAsia="宋体" w:cs="宋体"/>
          <w:color w:val="auto"/>
          <w:kern w:val="0"/>
          <w:szCs w:val="21"/>
          <w:highlight w:val="none"/>
        </w:rPr>
        <w:t>税金:(小写)</w:t>
      </w:r>
      <w:r>
        <w:rPr>
          <w:rFonts w:hint="eastAsia" w:ascii="宋体" w:hAnsi="宋体" w:eastAsia="宋体" w:cs="宋体"/>
          <w:color w:val="auto"/>
          <w:kern w:val="0"/>
          <w:szCs w:val="21"/>
          <w:highlight w:val="none"/>
          <w:u w:val="single"/>
        </w:rPr>
        <w:t>¥</w:t>
      </w:r>
      <w:r>
        <w:rPr>
          <w:rFonts w:hint="eastAsia" w:ascii="宋体" w:hAnsi="宋体" w:cs="宋体"/>
          <w:color w:val="auto"/>
          <w:kern w:val="0"/>
          <w:szCs w:val="21"/>
          <w:highlight w:val="none"/>
          <w:u w:val="single"/>
          <w:lang w:val="en-US" w:eastAsia="zh-CN"/>
        </w:rPr>
        <w:t>40504.53</w:t>
      </w:r>
      <w:r>
        <w:rPr>
          <w:rFonts w:hint="eastAsia" w:ascii="宋体" w:hAnsi="宋体" w:eastAsia="宋体" w:cs="宋体"/>
          <w:color w:val="auto"/>
          <w:kern w:val="0"/>
          <w:szCs w:val="21"/>
          <w:highlight w:val="none"/>
        </w:rPr>
        <w:t>元，</w:t>
      </w:r>
      <w:r>
        <w:rPr>
          <w:rFonts w:hint="eastAsia" w:ascii="宋体" w:hAnsi="宋体" w:eastAsia="宋体" w:cs="宋体"/>
          <w:color w:val="auto"/>
          <w:kern w:val="0"/>
          <w:szCs w:val="21"/>
          <w:highlight w:val="none"/>
          <w:u w:val="single"/>
        </w:rPr>
        <w:t>(大写)</w:t>
      </w:r>
      <w:r>
        <w:rPr>
          <w:rFonts w:hint="eastAsia" w:ascii="宋体" w:hAnsi="宋体" w:cs="宋体"/>
          <w:color w:val="auto"/>
          <w:kern w:val="0"/>
          <w:szCs w:val="21"/>
          <w:highlight w:val="none"/>
          <w:u w:val="single"/>
          <w:lang w:val="en-US" w:eastAsia="zh-CN"/>
        </w:rPr>
        <w:t>肆万零伍佰零肆元伍角叁分</w:t>
      </w:r>
      <w:r>
        <w:rPr>
          <w:rFonts w:hint="eastAsia" w:ascii="宋体" w:hAnsi="宋体" w:eastAsia="宋体" w:cs="宋体"/>
          <w:color w:val="auto"/>
          <w:kern w:val="0"/>
          <w:szCs w:val="21"/>
          <w:highlight w:val="none"/>
        </w:rPr>
        <w:t>。（投标人报价不得高于采购限价）</w:t>
      </w:r>
    </w:p>
    <w:p w14:paraId="0635BBC7">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22" w:firstLineChars="200"/>
        <w:textAlignment w:val="auto"/>
        <w:rPr>
          <w:rFonts w:hint="eastAsia" w:ascii="宋体" w:hAnsi="宋体" w:eastAsia="宋体" w:cs="宋体"/>
          <w:color w:val="000000"/>
          <w:sz w:val="21"/>
          <w:szCs w:val="21"/>
          <w:highlight w:val="none"/>
          <w:u w:val="single"/>
        </w:rPr>
      </w:pPr>
      <w:r>
        <w:rPr>
          <w:rFonts w:hint="eastAsia" w:ascii="宋体" w:hAnsi="宋体" w:cs="宋体"/>
          <w:b/>
          <w:bCs/>
          <w:color w:val="auto"/>
          <w:kern w:val="0"/>
          <w:szCs w:val="21"/>
          <w:highlight w:val="none"/>
          <w:lang w:val="en-US" w:eastAsia="zh-CN"/>
        </w:rPr>
        <w:t>五、</w:t>
      </w:r>
      <w:r>
        <w:rPr>
          <w:rFonts w:hint="eastAsia" w:ascii="宋体" w:hAnsi="宋体" w:eastAsia="宋体" w:cs="宋体"/>
          <w:b/>
          <w:bCs/>
          <w:color w:val="auto"/>
          <w:kern w:val="0"/>
          <w:szCs w:val="21"/>
          <w:highlight w:val="none"/>
        </w:rPr>
        <w:t>工程概况：</w:t>
      </w:r>
      <w:r>
        <w:rPr>
          <w:rFonts w:hint="eastAsia" w:ascii="宋体" w:hAnsi="宋体" w:cs="宋体"/>
          <w:color w:val="auto"/>
          <w:kern w:val="0"/>
          <w:szCs w:val="21"/>
          <w:highlight w:val="none"/>
          <w:lang w:val="en-US" w:eastAsia="zh-CN"/>
        </w:rPr>
        <w:t>1.</w:t>
      </w:r>
      <w:r>
        <w:rPr>
          <w:rFonts w:hint="eastAsia" w:ascii="宋体" w:hAnsi="宋体" w:eastAsia="宋体" w:cs="宋体"/>
          <w:color w:val="auto"/>
          <w:szCs w:val="21"/>
          <w:highlight w:val="none"/>
          <w:u w:val="single"/>
        </w:rPr>
        <w:t xml:space="preserve"> </w:t>
      </w:r>
      <w:r>
        <w:rPr>
          <w:rFonts w:hint="eastAsia" w:ascii="宋体" w:hAnsi="宋体" w:cs="宋体"/>
          <w:color w:val="000000"/>
          <w:sz w:val="21"/>
          <w:szCs w:val="21"/>
          <w:highlight w:val="none"/>
          <w:u w:val="single"/>
          <w:lang w:val="en-US" w:eastAsia="zh-CN"/>
        </w:rPr>
        <w:t>沙田中学</w:t>
      </w:r>
      <w:r>
        <w:rPr>
          <w:rFonts w:hint="eastAsia" w:ascii="宋体" w:hAnsi="宋体" w:eastAsia="宋体" w:cs="宋体"/>
          <w:color w:val="000000"/>
          <w:sz w:val="21"/>
          <w:szCs w:val="21"/>
          <w:highlight w:val="none"/>
          <w:u w:val="single"/>
        </w:rPr>
        <w:t>项目总用地面积为 92727.86 平方米，总建筑面积 146572.85 平方米，拟建</w:t>
      </w:r>
      <w:r>
        <w:rPr>
          <w:rFonts w:hint="eastAsia" w:ascii="宋体" w:hAnsi="宋体" w:eastAsia="宋体" w:cs="宋体"/>
          <w:color w:val="000000"/>
          <w:sz w:val="21"/>
          <w:szCs w:val="21"/>
          <w:highlight w:val="none"/>
          <w:u w:val="single"/>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宋体" w:hAnsi="宋体" w:eastAsia="宋体" w:cs="宋体"/>
          <w:color w:val="000000"/>
          <w:sz w:val="21"/>
          <w:szCs w:val="21"/>
          <w:highlight w:val="none"/>
          <w:u w:val="single"/>
        </w:rPr>
        <w:t xml:space="preserve"> </w:t>
      </w:r>
    </w:p>
    <w:p w14:paraId="6284F759">
      <w:pPr>
        <w:widowControl/>
        <w:snapToGrid w:val="0"/>
        <w:spacing w:line="360" w:lineRule="auto"/>
        <w:ind w:left="0" w:leftChars="0" w:firstLine="367" w:firstLineChars="175"/>
        <w:rPr>
          <w:rFonts w:hint="eastAsia" w:ascii="宋体" w:hAnsi="宋体" w:eastAsia="宋体" w:cs="宋体"/>
          <w:color w:val="auto"/>
          <w:kern w:val="0"/>
          <w:szCs w:val="21"/>
          <w:highlight w:val="none"/>
        </w:rPr>
      </w:pPr>
      <w:r>
        <w:rPr>
          <w:rFonts w:hint="eastAsia" w:ascii="宋体" w:hAnsi="宋体" w:cs="宋体"/>
          <w:color w:val="000000"/>
          <w:sz w:val="21"/>
          <w:szCs w:val="21"/>
          <w:highlight w:val="none"/>
          <w:u w:val="single"/>
          <w:lang w:val="en-US" w:eastAsia="zh-CN"/>
        </w:rPr>
        <w:t>2.应急消防基地</w:t>
      </w:r>
      <w:r>
        <w:rPr>
          <w:rFonts w:hint="eastAsia" w:ascii="宋体" w:hAnsi="宋体" w:eastAsia="宋体" w:cs="宋体"/>
          <w:color w:val="000000"/>
          <w:sz w:val="21"/>
          <w:szCs w:val="21"/>
          <w:highlight w:val="none"/>
          <w:u w:val="single"/>
        </w:rPr>
        <w:t>项目规划总用地面积 53746 平方米，总建筑面积 29221.11 平方米，主要由 2 栋高层公共建筑（2 号综合楼、体能训练馆，建筑面积 10841.00 平方米；3 号市民应急安全体验中心，建筑面积13563.67 平方米）、1 栋多层公共建筑（1 号特勤消防站，建筑面积 4800.61 平方米）、1 栋单层公共建筑（4 号门卫室，建筑面积 15.84 平方米），其中最大层数为 7 层，最大结构跨度为 33 米，最大建筑高度为 33.1 米。以及室外消防训练模块（包括：综合训练塔、建筑倒塌沟渠救助训练模块、受限空间训练模块、水域救助训练模块、室内烟火特性（CFBT)训练设施模块、高空救助兼心理训练模块、危险化学品泄露训练模块）</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 xml:space="preserve"> </w:t>
      </w:r>
    </w:p>
    <w:p w14:paraId="4334946E">
      <w:pPr>
        <w:widowControl/>
        <w:snapToGrid w:val="0"/>
        <w:spacing w:line="360" w:lineRule="auto"/>
        <w:ind w:left="0" w:leftChars="0" w:firstLine="367" w:firstLineChars="175"/>
        <w:rPr>
          <w:rFonts w:hint="eastAsia" w:ascii="宋体" w:hAnsi="宋体" w:eastAsia="宋体" w:cs="宋体"/>
          <w:color w:val="000000"/>
          <w:sz w:val="21"/>
          <w:szCs w:val="21"/>
          <w:highlight w:val="none"/>
          <w:u w:val="single"/>
          <w:lang w:val="en-US" w:eastAsia="zh-CN"/>
        </w:rPr>
      </w:pPr>
      <w:r>
        <w:rPr>
          <w:rFonts w:hint="eastAsia" w:ascii="宋体" w:hAnsi="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lang w:val="en-US" w:eastAsia="zh-CN"/>
        </w:rPr>
        <w:t>生物技术产业园</w:t>
      </w:r>
      <w:r>
        <w:rPr>
          <w:rFonts w:hint="eastAsia" w:ascii="宋体" w:hAnsi="宋体" w:eastAsia="宋体" w:cs="宋体"/>
          <w:color w:val="000000"/>
          <w:sz w:val="21"/>
          <w:szCs w:val="21"/>
          <w:highlight w:val="none"/>
          <w:u w:val="single"/>
        </w:rPr>
        <w:t>工程所示泛光照明及景观电气工程全部工作，包含1-7号楼泛光照明工程、景观电气工程。具体内容按照施工图纸、图纸会审、设计变更通知，甲方修改通知等设计文件，并按照相关标准规范、施工组织设计、专项施工方案、分项工程技术交底等有关技术文件的要求施工，确保工程验收质量，并有义务协助工程通过主管部门验收合格。</w:t>
      </w:r>
    </w:p>
    <w:p w14:paraId="320C8FE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bCs/>
          <w:color w:val="auto"/>
          <w:kern w:val="0"/>
          <w:szCs w:val="21"/>
          <w:highlight w:val="none"/>
        </w:rPr>
      </w:pPr>
      <w:r>
        <w:rPr>
          <w:rFonts w:hint="eastAsia" w:ascii="宋体" w:hAnsi="宋体" w:cs="宋体"/>
          <w:b/>
          <w:bCs/>
          <w:color w:val="auto"/>
          <w:kern w:val="0"/>
          <w:szCs w:val="21"/>
          <w:highlight w:val="none"/>
          <w:lang w:val="en-US" w:eastAsia="zh-CN"/>
        </w:rPr>
        <w:t>六、</w:t>
      </w:r>
      <w:r>
        <w:rPr>
          <w:rFonts w:hint="eastAsia" w:ascii="宋体" w:hAnsi="宋体" w:eastAsia="宋体" w:cs="宋体"/>
          <w:b/>
          <w:bCs/>
          <w:color w:val="auto"/>
          <w:kern w:val="0"/>
          <w:szCs w:val="21"/>
          <w:highlight w:val="none"/>
        </w:rPr>
        <w:t>工程范围：</w:t>
      </w:r>
    </w:p>
    <w:p w14:paraId="68F7598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hint="eastAsia" w:ascii="宋体" w:hAnsi="宋体" w:eastAsia="宋体" w:cs="宋体"/>
          <w:b/>
          <w:bCs/>
          <w:color w:val="auto"/>
          <w:kern w:val="0"/>
          <w:szCs w:val="21"/>
          <w:highlight w:val="none"/>
          <w:lang w:eastAsia="zh-CN"/>
        </w:rPr>
      </w:pPr>
      <w:r>
        <w:rPr>
          <w:rFonts w:hint="eastAsia" w:ascii="宋体" w:hAnsi="宋体" w:cs="宋体"/>
          <w:b/>
          <w:bCs/>
          <w:color w:val="auto"/>
          <w:kern w:val="0"/>
          <w:szCs w:val="21"/>
          <w:highlight w:val="none"/>
          <w:lang w:eastAsia="zh-CN"/>
        </w:rPr>
        <w:t>（</w:t>
      </w:r>
      <w:r>
        <w:rPr>
          <w:rFonts w:hint="eastAsia" w:ascii="宋体" w:hAnsi="宋体" w:cs="宋体"/>
          <w:b/>
          <w:bCs/>
          <w:color w:val="auto"/>
          <w:kern w:val="0"/>
          <w:szCs w:val="21"/>
          <w:highlight w:val="none"/>
          <w:lang w:val="en-US" w:eastAsia="zh-CN"/>
        </w:rPr>
        <w:t>一）、</w:t>
      </w:r>
      <w:r>
        <w:rPr>
          <w:rFonts w:hint="eastAsia" w:cs="宋体"/>
          <w:b/>
          <w:bCs/>
          <w:sz w:val="21"/>
          <w:szCs w:val="21"/>
          <w:highlight w:val="none"/>
          <w:lang w:val="en-US" w:eastAsia="zh-CN"/>
        </w:rPr>
        <w:t>沙田中学</w:t>
      </w:r>
    </w:p>
    <w:p w14:paraId="7A57A632">
      <w:pPr>
        <w:pStyle w:val="8"/>
        <w:numPr>
          <w:ilvl w:val="0"/>
          <w:numId w:val="0"/>
        </w:numPr>
        <w:spacing w:before="0" w:beforeAutospacing="0" w:after="0" w:afterAutospacing="0" w:line="360" w:lineRule="auto"/>
        <w:ind w:firstLine="420" w:firstLineChars="200"/>
        <w:rPr>
          <w:rFonts w:hint="eastAsia" w:ascii="宋体" w:hAnsi="宋体" w:eastAsia="宋体" w:cs="宋体"/>
          <w:sz w:val="21"/>
          <w:szCs w:val="21"/>
          <w:highlight w:val="none"/>
        </w:rPr>
      </w:pPr>
      <w:r>
        <w:rPr>
          <w:rFonts w:hint="eastAsia" w:cs="宋体"/>
          <w:sz w:val="21"/>
          <w:szCs w:val="21"/>
          <w:highlight w:val="none"/>
          <w:lang w:val="en-US" w:eastAsia="zh-CN"/>
        </w:rPr>
        <w:t>1、东莞市沙田中学（暂定名）景观照明劳务安装工程</w:t>
      </w:r>
      <w:r>
        <w:rPr>
          <w:rFonts w:hint="eastAsia" w:ascii="宋体" w:hAnsi="宋体" w:eastAsia="宋体" w:cs="宋体"/>
          <w:sz w:val="21"/>
          <w:szCs w:val="21"/>
          <w:highlight w:val="none"/>
        </w:rPr>
        <w:t>：包括</w:t>
      </w:r>
      <w:r>
        <w:rPr>
          <w:rFonts w:hint="eastAsia" w:cs="宋体"/>
          <w:sz w:val="21"/>
          <w:szCs w:val="21"/>
          <w:highlight w:val="none"/>
          <w:lang w:val="en-US" w:eastAsia="zh-CN"/>
        </w:rPr>
        <w:t>草坪灯、庭院灯、篮球场灯、足球场灯、</w:t>
      </w:r>
      <w:r>
        <w:rPr>
          <w:rFonts w:hint="eastAsia" w:ascii="宋体" w:hAnsi="宋体" w:eastAsia="宋体" w:cs="宋体"/>
          <w:sz w:val="21"/>
          <w:szCs w:val="21"/>
          <w:highlight w:val="none"/>
        </w:rPr>
        <w:t>配电箱</w:t>
      </w:r>
      <w:r>
        <w:rPr>
          <w:rFonts w:hint="eastAsia" w:cs="宋体"/>
          <w:sz w:val="21"/>
          <w:szCs w:val="21"/>
          <w:highlight w:val="none"/>
          <w:lang w:val="en-US" w:eastAsia="zh-CN"/>
        </w:rPr>
        <w:t>安装配套，包材料及安装辅材、含混凝土基础及接地；电缆头、电气配管</w:t>
      </w:r>
      <w:r>
        <w:rPr>
          <w:rFonts w:hint="eastAsia" w:ascii="宋体" w:hAnsi="宋体" w:eastAsia="宋体" w:cs="宋体"/>
          <w:sz w:val="21"/>
          <w:szCs w:val="21"/>
          <w:highlight w:val="none"/>
        </w:rPr>
        <w:t>敷设</w:t>
      </w:r>
      <w:r>
        <w:rPr>
          <w:rFonts w:hint="eastAsia" w:cs="宋体"/>
          <w:sz w:val="21"/>
          <w:szCs w:val="21"/>
          <w:highlight w:val="none"/>
          <w:lang w:val="en-US" w:eastAsia="zh-CN"/>
        </w:rPr>
        <w:t>、送配电装置系统</w:t>
      </w:r>
      <w:r>
        <w:rPr>
          <w:rFonts w:hint="eastAsia" w:cs="宋体"/>
          <w:sz w:val="21"/>
          <w:szCs w:val="21"/>
          <w:highlight w:val="none"/>
          <w:lang w:eastAsia="zh-CN"/>
        </w:rPr>
        <w:t>、</w:t>
      </w:r>
      <w:r>
        <w:rPr>
          <w:rFonts w:hint="eastAsia" w:ascii="宋体" w:hAnsi="宋体" w:eastAsia="宋体" w:cs="宋体"/>
          <w:sz w:val="21"/>
          <w:szCs w:val="21"/>
          <w:highlight w:val="none"/>
        </w:rPr>
        <w:t>电缆敷设（含灯具和电箱接线、配</w:t>
      </w:r>
      <w:r>
        <w:rPr>
          <w:rFonts w:hint="eastAsia" w:ascii="宋体" w:hAnsi="宋体" w:eastAsia="宋体" w:cs="宋体"/>
          <w:sz w:val="21"/>
          <w:szCs w:val="21"/>
          <w:highlight w:val="none"/>
          <w:lang w:val="en-US" w:eastAsia="zh-CN"/>
        </w:rPr>
        <w:t>套</w:t>
      </w:r>
      <w:r>
        <w:rPr>
          <w:rFonts w:hint="eastAsia" w:ascii="宋体" w:hAnsi="宋体" w:eastAsia="宋体" w:cs="宋体"/>
          <w:sz w:val="21"/>
          <w:szCs w:val="21"/>
          <w:highlight w:val="none"/>
        </w:rPr>
        <w:t>管、接线盒、挖沟、回填、余方弃置等）</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小型电缆砖砌手孔井</w:t>
      </w:r>
      <w:r>
        <w:rPr>
          <w:rFonts w:hint="eastAsia" w:ascii="宋体" w:hAnsi="宋体" w:eastAsia="宋体" w:cs="宋体"/>
          <w:sz w:val="21"/>
          <w:szCs w:val="21"/>
          <w:highlight w:val="none"/>
        </w:rPr>
        <w:t>。</w:t>
      </w:r>
    </w:p>
    <w:p w14:paraId="78FCBA1B">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合同施工内容包括施工过程中多余土方弃置外运、包工完场清、包配合工程检测及验收等，所有施工内容及工程量最终按实计算）</w:t>
      </w:r>
      <w:r>
        <w:rPr>
          <w:rFonts w:hint="eastAsia" w:ascii="宋体" w:hAnsi="宋体" w:eastAsia="宋体" w:cs="宋体"/>
          <w:b/>
          <w:sz w:val="21"/>
          <w:szCs w:val="21"/>
          <w:highlight w:val="none"/>
        </w:rPr>
        <w:t>。</w:t>
      </w:r>
    </w:p>
    <w:p w14:paraId="7C355804">
      <w:pPr>
        <w:spacing w:line="4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kern w:val="0"/>
          <w:sz w:val="21"/>
          <w:szCs w:val="21"/>
          <w:highlight w:val="none"/>
        </w:rPr>
        <w:t>、</w:t>
      </w:r>
      <w:r>
        <w:rPr>
          <w:rFonts w:hint="eastAsia" w:ascii="宋体" w:hAnsi="宋体" w:eastAsia="宋体" w:cs="宋体"/>
          <w:sz w:val="21"/>
          <w:szCs w:val="21"/>
          <w:highlight w:val="none"/>
        </w:rPr>
        <w:t>承包范围详见施工图纸、工程预算书、工程材料一览表及其它设计变更文件内容。</w:t>
      </w:r>
    </w:p>
    <w:p w14:paraId="0A007793">
      <w:pPr>
        <w:numPr>
          <w:ilvl w:val="0"/>
          <w:numId w:val="0"/>
        </w:numPr>
        <w:tabs>
          <w:tab w:val="left" w:pos="7560"/>
        </w:tabs>
        <w:spacing w:line="360" w:lineRule="auto"/>
        <w:ind w:firstLine="420" w:firstLineChars="200"/>
        <w:jc w:val="left"/>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安全文明施工项目：</w:t>
      </w:r>
      <w:r>
        <w:rPr>
          <w:rFonts w:hint="eastAsia" w:ascii="宋体" w:hAnsi="宋体" w:eastAsia="宋体" w:cs="宋体"/>
          <w:color w:val="auto"/>
          <w:sz w:val="21"/>
          <w:szCs w:val="21"/>
          <w:highlight w:val="none"/>
          <w:u w:val="single"/>
          <w:lang w:val="en-US" w:eastAsia="zh-CN"/>
        </w:rPr>
        <w:t>施工范围</w:t>
      </w:r>
      <w:r>
        <w:rPr>
          <w:rFonts w:hint="eastAsia" w:ascii="宋体" w:hAnsi="宋体" w:eastAsia="宋体" w:cs="宋体"/>
          <w:color w:val="auto"/>
          <w:sz w:val="21"/>
          <w:szCs w:val="21"/>
          <w:highlight w:val="none"/>
          <w:u w:val="single"/>
        </w:rPr>
        <w:t>全部绿色施工安全防护相关维护，完成分包范围相关的安全文明施工</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包括</w:t>
      </w:r>
      <w:r>
        <w:rPr>
          <w:rFonts w:hint="eastAsia" w:ascii="宋体" w:hAnsi="宋体" w:eastAsia="宋体" w:cs="宋体"/>
          <w:color w:val="auto"/>
          <w:sz w:val="21"/>
          <w:szCs w:val="21"/>
          <w:highlight w:val="none"/>
          <w:u w:val="single"/>
        </w:rPr>
        <w:t>①</w:t>
      </w:r>
      <w:r>
        <w:rPr>
          <w:rFonts w:hint="eastAsia" w:ascii="宋体" w:hAnsi="宋体" w:eastAsia="宋体" w:cs="宋体"/>
          <w:color w:val="auto"/>
          <w:sz w:val="21"/>
          <w:szCs w:val="21"/>
          <w:highlight w:val="none"/>
          <w:u w:val="single"/>
          <w:lang w:val="en-US" w:eastAsia="zh-CN"/>
        </w:rPr>
        <w:t>乙方</w:t>
      </w:r>
      <w:r>
        <w:rPr>
          <w:rFonts w:hint="eastAsia" w:ascii="宋体" w:hAnsi="宋体" w:eastAsia="宋体" w:cs="宋体"/>
          <w:color w:val="auto"/>
          <w:sz w:val="21"/>
          <w:szCs w:val="21"/>
          <w:highlight w:val="none"/>
          <w:u w:val="single"/>
        </w:rPr>
        <w:t>负责配备劳务安全员，场容场貌维护、材料堆放整理、</w:t>
      </w:r>
      <w:r>
        <w:rPr>
          <w:rFonts w:hint="eastAsia" w:ascii="宋体" w:hAnsi="宋体" w:eastAsia="宋体" w:cs="宋体"/>
          <w:color w:val="auto"/>
          <w:sz w:val="21"/>
          <w:szCs w:val="21"/>
          <w:highlight w:val="none"/>
          <w:u w:val="single"/>
          <w:lang w:val="en-US" w:eastAsia="zh-CN"/>
        </w:rPr>
        <w:t>每日</w:t>
      </w:r>
      <w:r>
        <w:rPr>
          <w:rFonts w:hint="eastAsia" w:ascii="宋体" w:hAnsi="宋体" w:eastAsia="宋体" w:cs="宋体"/>
          <w:color w:val="auto"/>
          <w:sz w:val="21"/>
          <w:szCs w:val="21"/>
          <w:highlight w:val="none"/>
          <w:u w:val="single"/>
        </w:rPr>
        <w:t>工完场清、现场防火、</w:t>
      </w:r>
      <w:r>
        <w:rPr>
          <w:rFonts w:hint="eastAsia" w:ascii="宋体" w:hAnsi="宋体" w:eastAsia="宋体" w:cs="宋体"/>
          <w:color w:val="auto"/>
          <w:sz w:val="21"/>
          <w:szCs w:val="21"/>
          <w:highlight w:val="none"/>
          <w:u w:val="single"/>
          <w:lang w:eastAsia="zh-CN"/>
        </w:rPr>
        <w:t>道路清洗、</w:t>
      </w:r>
      <w:r>
        <w:rPr>
          <w:rFonts w:hint="eastAsia" w:ascii="宋体" w:hAnsi="宋体" w:eastAsia="宋体" w:cs="宋体"/>
          <w:color w:val="auto"/>
          <w:sz w:val="21"/>
          <w:szCs w:val="21"/>
          <w:highlight w:val="none"/>
          <w:u w:val="single"/>
          <w:lang w:val="en-US" w:eastAsia="zh-CN"/>
        </w:rPr>
        <w:t>工程施工产生的</w:t>
      </w:r>
      <w:r>
        <w:rPr>
          <w:rFonts w:hint="eastAsia" w:ascii="宋体" w:hAnsi="宋体" w:eastAsia="宋体" w:cs="宋体"/>
          <w:color w:val="auto"/>
          <w:sz w:val="21"/>
          <w:szCs w:val="21"/>
          <w:highlight w:val="none"/>
          <w:u w:val="single"/>
        </w:rPr>
        <w:t>垃圾清运、</w:t>
      </w:r>
      <w:r>
        <w:rPr>
          <w:rFonts w:hint="eastAsia" w:ascii="宋体" w:hAnsi="宋体" w:eastAsia="宋体" w:cs="宋体"/>
          <w:color w:val="auto"/>
          <w:sz w:val="21"/>
          <w:szCs w:val="21"/>
          <w:highlight w:val="none"/>
          <w:u w:val="single"/>
          <w:lang w:val="en-US" w:eastAsia="zh-CN"/>
        </w:rPr>
        <w:t>临时围挡内的合同范围内</w:t>
      </w:r>
      <w:r>
        <w:rPr>
          <w:rFonts w:hint="eastAsia" w:ascii="宋体" w:hAnsi="宋体" w:eastAsia="宋体" w:cs="宋体"/>
          <w:color w:val="auto"/>
          <w:sz w:val="21"/>
          <w:szCs w:val="21"/>
          <w:highlight w:val="none"/>
          <w:u w:val="single"/>
          <w:lang w:eastAsia="zh-CN"/>
        </w:rPr>
        <w:t>施工相关的临时防护</w:t>
      </w:r>
      <w:r>
        <w:rPr>
          <w:rFonts w:hint="eastAsia" w:ascii="宋体" w:hAnsi="宋体" w:eastAsia="宋体" w:cs="宋体"/>
          <w:color w:val="auto"/>
          <w:sz w:val="21"/>
          <w:szCs w:val="21"/>
          <w:highlight w:val="none"/>
          <w:u w:val="single"/>
        </w:rPr>
        <w:t>。②</w:t>
      </w:r>
      <w:r>
        <w:rPr>
          <w:rFonts w:hint="eastAsia" w:ascii="宋体" w:hAnsi="宋体" w:eastAsia="宋体" w:cs="宋体"/>
          <w:color w:val="auto"/>
          <w:sz w:val="21"/>
          <w:szCs w:val="21"/>
          <w:highlight w:val="none"/>
          <w:u w:val="single"/>
          <w:lang w:val="en-US" w:eastAsia="zh-CN"/>
        </w:rPr>
        <w:t>乙方</w:t>
      </w:r>
      <w:r>
        <w:rPr>
          <w:rFonts w:hint="eastAsia" w:ascii="宋体" w:hAnsi="宋体" w:eastAsia="宋体" w:cs="宋体"/>
          <w:color w:val="auto"/>
          <w:sz w:val="21"/>
          <w:szCs w:val="21"/>
          <w:highlight w:val="none"/>
          <w:u w:val="single"/>
        </w:rPr>
        <w:t>负责</w:t>
      </w:r>
      <w:r>
        <w:rPr>
          <w:rFonts w:hint="eastAsia" w:ascii="宋体" w:hAnsi="宋体" w:eastAsia="宋体" w:cs="宋体"/>
          <w:color w:val="auto"/>
          <w:sz w:val="21"/>
          <w:szCs w:val="21"/>
          <w:highlight w:val="none"/>
          <w:u w:val="single"/>
          <w:lang w:val="en-US" w:eastAsia="zh-CN"/>
        </w:rPr>
        <w:t>合同范围内的</w:t>
      </w:r>
      <w:r>
        <w:rPr>
          <w:rFonts w:hint="eastAsia" w:ascii="宋体" w:hAnsi="宋体" w:eastAsia="宋体" w:cs="宋体"/>
          <w:color w:val="auto"/>
          <w:sz w:val="21"/>
          <w:szCs w:val="21"/>
          <w:highlight w:val="none"/>
          <w:u w:val="single"/>
        </w:rPr>
        <w:t>作业防护、</w:t>
      </w:r>
      <w:r>
        <w:rPr>
          <w:rFonts w:hint="eastAsia" w:ascii="宋体" w:hAnsi="宋体" w:eastAsia="宋体" w:cs="宋体"/>
          <w:color w:val="auto"/>
          <w:sz w:val="21"/>
          <w:szCs w:val="21"/>
          <w:highlight w:val="none"/>
          <w:u w:val="single"/>
          <w:lang w:val="en-US" w:eastAsia="zh-CN"/>
        </w:rPr>
        <w:t>施工进出</w:t>
      </w:r>
      <w:r>
        <w:rPr>
          <w:rFonts w:hint="eastAsia" w:ascii="宋体" w:hAnsi="宋体" w:eastAsia="宋体" w:cs="宋体"/>
          <w:color w:val="auto"/>
          <w:sz w:val="21"/>
          <w:szCs w:val="21"/>
          <w:highlight w:val="none"/>
          <w:u w:val="single"/>
        </w:rPr>
        <w:t>口防护、垂直方向交叉作业防护、安全防护用品、应急预案、非正常情况施工防护、施工扬尘污染防治等费用，现场保洁、配合行政部门检查相关工作。若</w:t>
      </w:r>
      <w:r>
        <w:rPr>
          <w:rFonts w:hint="eastAsia" w:ascii="宋体" w:hAnsi="宋体" w:eastAsia="宋体" w:cs="宋体"/>
          <w:color w:val="auto"/>
          <w:sz w:val="21"/>
          <w:szCs w:val="21"/>
          <w:highlight w:val="none"/>
          <w:u w:val="single"/>
          <w:lang w:val="en-US" w:eastAsia="zh-CN"/>
        </w:rPr>
        <w:t>甲方</w:t>
      </w:r>
      <w:r>
        <w:rPr>
          <w:rFonts w:hint="eastAsia" w:ascii="宋体" w:hAnsi="宋体" w:eastAsia="宋体" w:cs="宋体"/>
          <w:color w:val="auto"/>
          <w:sz w:val="21"/>
          <w:szCs w:val="21"/>
          <w:highlight w:val="none"/>
          <w:u w:val="single"/>
        </w:rPr>
        <w:t>需由</w:t>
      </w:r>
      <w:r>
        <w:rPr>
          <w:rFonts w:hint="eastAsia" w:ascii="宋体" w:hAnsi="宋体" w:eastAsia="宋体" w:cs="宋体"/>
          <w:color w:val="auto"/>
          <w:sz w:val="21"/>
          <w:szCs w:val="21"/>
          <w:highlight w:val="none"/>
          <w:u w:val="single"/>
          <w:lang w:val="en-US" w:eastAsia="zh-CN"/>
        </w:rPr>
        <w:t>乙方</w:t>
      </w:r>
      <w:r>
        <w:rPr>
          <w:rFonts w:hint="eastAsia" w:ascii="宋体" w:hAnsi="宋体" w:eastAsia="宋体" w:cs="宋体"/>
          <w:color w:val="auto"/>
          <w:sz w:val="21"/>
          <w:szCs w:val="21"/>
          <w:highlight w:val="none"/>
          <w:u w:val="single"/>
        </w:rPr>
        <w:t>负责处理的，</w:t>
      </w:r>
      <w:r>
        <w:rPr>
          <w:rFonts w:hint="eastAsia" w:ascii="宋体" w:hAnsi="宋体" w:eastAsia="宋体" w:cs="宋体"/>
          <w:color w:val="auto"/>
          <w:sz w:val="21"/>
          <w:szCs w:val="21"/>
          <w:highlight w:val="none"/>
          <w:u w:val="single"/>
          <w:lang w:val="en-US" w:eastAsia="zh-CN"/>
        </w:rPr>
        <w:t>乙方</w:t>
      </w:r>
      <w:r>
        <w:rPr>
          <w:rFonts w:hint="eastAsia" w:ascii="宋体" w:hAnsi="宋体" w:eastAsia="宋体" w:cs="宋体"/>
          <w:color w:val="auto"/>
          <w:sz w:val="21"/>
          <w:szCs w:val="21"/>
          <w:highlight w:val="none"/>
          <w:u w:val="single"/>
        </w:rPr>
        <w:t>应无条件施工。</w:t>
      </w:r>
      <w:r>
        <w:rPr>
          <w:rFonts w:hint="eastAsia" w:ascii="宋体" w:hAnsi="宋体" w:eastAsia="宋体" w:cs="宋体"/>
          <w:color w:val="auto"/>
          <w:sz w:val="21"/>
          <w:szCs w:val="21"/>
          <w:highlight w:val="none"/>
          <w:u w:val="single"/>
          <w:lang w:val="en-US" w:eastAsia="zh-CN"/>
        </w:rPr>
        <w:t>③乙方应根据甲方要求完成工人《劳务工人一人一档》资料。④</w:t>
      </w:r>
      <w:r>
        <w:rPr>
          <w:rFonts w:hint="eastAsia" w:ascii="宋体" w:hAnsi="宋体" w:eastAsia="宋体" w:cs="宋体"/>
          <w:color w:val="auto"/>
          <w:sz w:val="21"/>
          <w:szCs w:val="21"/>
          <w:highlight w:val="none"/>
          <w:u w:val="single"/>
        </w:rPr>
        <w:t>其中安全帽、反光衣、配电箱</w:t>
      </w:r>
      <w:r>
        <w:rPr>
          <w:rFonts w:hint="eastAsia" w:ascii="宋体" w:hAnsi="宋体" w:eastAsia="宋体" w:cs="宋体"/>
          <w:color w:val="auto"/>
          <w:sz w:val="21"/>
          <w:szCs w:val="21"/>
          <w:highlight w:val="none"/>
          <w:u w:val="single"/>
          <w:lang w:val="en-US" w:eastAsia="zh-CN"/>
        </w:rPr>
        <w:t>等</w:t>
      </w:r>
      <w:r>
        <w:rPr>
          <w:rFonts w:hint="eastAsia" w:ascii="宋体" w:hAnsi="宋体" w:eastAsia="宋体" w:cs="宋体"/>
          <w:color w:val="auto"/>
          <w:sz w:val="21"/>
          <w:szCs w:val="21"/>
          <w:highlight w:val="none"/>
          <w:u w:val="single"/>
        </w:rPr>
        <w:t>由</w:t>
      </w:r>
      <w:r>
        <w:rPr>
          <w:rFonts w:hint="eastAsia" w:ascii="宋体" w:hAnsi="宋体" w:eastAsia="宋体" w:cs="宋体"/>
          <w:color w:val="auto"/>
          <w:sz w:val="21"/>
          <w:szCs w:val="21"/>
          <w:highlight w:val="none"/>
          <w:u w:val="single"/>
          <w:lang w:val="en-US" w:eastAsia="zh-CN"/>
        </w:rPr>
        <w:t>乙方</w:t>
      </w:r>
      <w:r>
        <w:rPr>
          <w:rFonts w:hint="eastAsia" w:ascii="宋体" w:hAnsi="宋体" w:eastAsia="宋体" w:cs="宋体"/>
          <w:color w:val="auto"/>
          <w:sz w:val="21"/>
          <w:szCs w:val="21"/>
          <w:highlight w:val="none"/>
          <w:u w:val="single"/>
        </w:rPr>
        <w:t>提供采购计划、</w:t>
      </w:r>
      <w:r>
        <w:rPr>
          <w:rFonts w:hint="eastAsia" w:ascii="宋体" w:hAnsi="宋体" w:eastAsia="宋体" w:cs="宋体"/>
          <w:color w:val="auto"/>
          <w:sz w:val="21"/>
          <w:szCs w:val="21"/>
          <w:highlight w:val="none"/>
          <w:u w:val="single"/>
          <w:lang w:val="en-US" w:eastAsia="zh-CN"/>
        </w:rPr>
        <w:t>甲方</w:t>
      </w:r>
      <w:r>
        <w:rPr>
          <w:rFonts w:hint="eastAsia" w:ascii="宋体" w:hAnsi="宋体" w:eastAsia="宋体" w:cs="宋体"/>
          <w:color w:val="auto"/>
          <w:sz w:val="21"/>
          <w:szCs w:val="21"/>
          <w:highlight w:val="none"/>
          <w:u w:val="single"/>
        </w:rPr>
        <w:t>统一购买，</w:t>
      </w:r>
      <w:r>
        <w:rPr>
          <w:rFonts w:hint="eastAsia" w:ascii="宋体" w:hAnsi="宋体" w:eastAsia="宋体" w:cs="宋体"/>
          <w:color w:val="auto"/>
          <w:sz w:val="21"/>
          <w:szCs w:val="21"/>
          <w:highlight w:val="none"/>
          <w:u w:val="single"/>
          <w:lang w:val="en-US" w:eastAsia="zh-CN"/>
        </w:rPr>
        <w:t>乙方根据领用记录</w:t>
      </w:r>
      <w:r>
        <w:rPr>
          <w:rFonts w:hint="eastAsia" w:ascii="宋体" w:hAnsi="宋体" w:eastAsia="宋体" w:cs="宋体"/>
          <w:color w:val="auto"/>
          <w:sz w:val="21"/>
          <w:szCs w:val="21"/>
          <w:highlight w:val="none"/>
          <w:u w:val="single"/>
        </w:rPr>
        <w:t>承担</w:t>
      </w:r>
      <w:r>
        <w:rPr>
          <w:rFonts w:hint="eastAsia" w:ascii="宋体" w:hAnsi="宋体" w:eastAsia="宋体" w:cs="宋体"/>
          <w:color w:val="auto"/>
          <w:sz w:val="21"/>
          <w:szCs w:val="21"/>
          <w:highlight w:val="none"/>
          <w:u w:val="single"/>
          <w:lang w:val="en-US" w:eastAsia="zh-CN"/>
        </w:rPr>
        <w:t>费用</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其中：安全帽，反光衣，</w:t>
      </w:r>
      <w:r>
        <w:rPr>
          <w:rFonts w:hint="eastAsia" w:ascii="宋体" w:hAnsi="宋体" w:eastAsia="宋体" w:cs="宋体"/>
          <w:color w:val="auto"/>
          <w:sz w:val="21"/>
          <w:szCs w:val="21"/>
          <w:highlight w:val="none"/>
          <w:u w:val="single"/>
        </w:rPr>
        <w:t>配电箱</w:t>
      </w:r>
      <w:r>
        <w:rPr>
          <w:rFonts w:hint="eastAsia" w:ascii="宋体" w:hAnsi="宋体" w:eastAsia="宋体" w:cs="宋体"/>
          <w:color w:val="auto"/>
          <w:sz w:val="21"/>
          <w:szCs w:val="21"/>
          <w:highlight w:val="none"/>
          <w:u w:val="single"/>
          <w:lang w:val="en-US" w:eastAsia="zh-CN"/>
        </w:rPr>
        <w:t>等按采购人当批次实际采购单价价格为准</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w:t>
      </w:r>
    </w:p>
    <w:p w14:paraId="02AF8821">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、施工过程中所发生超出合同范围的增减工程内容，乙方需</w:t>
      </w:r>
      <w:r>
        <w:rPr>
          <w:rFonts w:hint="eastAsia" w:ascii="宋体" w:hAnsi="宋体" w:eastAsia="宋体" w:cs="宋体"/>
          <w:color w:val="auto"/>
          <w:sz w:val="21"/>
          <w:szCs w:val="21"/>
          <w:highlight w:val="none"/>
          <w:u w:val="single"/>
          <w:lang w:val="en-US" w:eastAsia="zh-CN"/>
        </w:rPr>
        <w:t>在2个工作日内提交报价清单，甲方对乙方清单价格初步审定后，乙方需按要求进行</w:t>
      </w:r>
      <w:r>
        <w:rPr>
          <w:rFonts w:hint="eastAsia" w:ascii="宋体" w:hAnsi="宋体" w:eastAsia="宋体" w:cs="宋体"/>
          <w:color w:val="auto"/>
          <w:sz w:val="21"/>
          <w:szCs w:val="21"/>
          <w:highlight w:val="none"/>
          <w:u w:val="single"/>
        </w:rPr>
        <w:t>完成</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由此产生的费用</w:t>
      </w:r>
      <w:r>
        <w:rPr>
          <w:rFonts w:hint="eastAsia" w:ascii="宋体" w:hAnsi="宋体" w:eastAsia="宋体" w:cs="宋体"/>
          <w:color w:val="auto"/>
          <w:sz w:val="21"/>
          <w:szCs w:val="21"/>
          <w:highlight w:val="none"/>
          <w:u w:val="single"/>
          <w:lang w:val="en-US" w:eastAsia="zh-CN"/>
        </w:rPr>
        <w:t>如有争议</w:t>
      </w:r>
      <w:r>
        <w:rPr>
          <w:rFonts w:hint="eastAsia" w:ascii="宋体" w:hAnsi="宋体" w:eastAsia="宋体" w:cs="宋体"/>
          <w:color w:val="auto"/>
          <w:sz w:val="21"/>
          <w:szCs w:val="21"/>
          <w:highlight w:val="none"/>
          <w:u w:val="single"/>
        </w:rPr>
        <w:t>由甲乙双方另行协商</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协商价格不得高于市场价且不得高于公司其它项目类似工作价格</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w:t>
      </w:r>
    </w:p>
    <w:p w14:paraId="437CABF0">
      <w:pPr>
        <w:spacing w:line="360" w:lineRule="auto"/>
        <w:rPr>
          <w:rFonts w:hint="eastAsia" w:ascii="宋体" w:hAnsi="宋体" w:cs="宋体"/>
          <w:b/>
          <w:bCs/>
          <w:color w:val="auto"/>
          <w:sz w:val="21"/>
          <w:szCs w:val="21"/>
          <w:highlight w:val="none"/>
          <w:u w:val="none"/>
          <w:lang w:val="en-US" w:eastAsia="zh-CN"/>
        </w:rPr>
      </w:pPr>
      <w:r>
        <w:rPr>
          <w:rFonts w:hint="eastAsia" w:ascii="宋体" w:hAnsi="宋体" w:cs="宋体"/>
          <w:b/>
          <w:bCs/>
          <w:color w:val="auto"/>
          <w:sz w:val="21"/>
          <w:szCs w:val="21"/>
          <w:highlight w:val="none"/>
          <w:u w:val="none"/>
          <w:lang w:eastAsia="zh-CN"/>
        </w:rPr>
        <w:t>（</w:t>
      </w:r>
      <w:r>
        <w:rPr>
          <w:rFonts w:hint="eastAsia" w:ascii="宋体" w:hAnsi="宋体" w:cs="宋体"/>
          <w:b/>
          <w:bCs/>
          <w:color w:val="auto"/>
          <w:sz w:val="21"/>
          <w:szCs w:val="21"/>
          <w:highlight w:val="none"/>
          <w:u w:val="none"/>
          <w:lang w:val="en-US" w:eastAsia="zh-CN"/>
        </w:rPr>
        <w:t>二）、应急消防基地</w:t>
      </w:r>
    </w:p>
    <w:p w14:paraId="55427D38">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lang w:val="en-US" w:eastAsia="zh-CN"/>
        </w:rPr>
        <w:t>1.</w:t>
      </w:r>
      <w:r>
        <w:rPr>
          <w:rFonts w:hint="eastAsia" w:ascii="宋体" w:hAnsi="宋体" w:eastAsia="宋体" w:cs="宋体"/>
          <w:b w:val="0"/>
          <w:bCs w:val="0"/>
          <w:sz w:val="21"/>
          <w:szCs w:val="21"/>
          <w:lang w:val="en-US" w:eastAsia="zh-CN"/>
        </w:rPr>
        <w:t>泛光照明工</w:t>
      </w:r>
      <w:r>
        <w:rPr>
          <w:rFonts w:hint="eastAsia" w:ascii="宋体" w:hAnsi="宋体" w:eastAsia="宋体" w:cs="宋体"/>
          <w:b w:val="0"/>
          <w:bCs w:val="0"/>
          <w:sz w:val="21"/>
          <w:szCs w:val="21"/>
          <w:highlight w:val="none"/>
          <w:lang w:val="en-US" w:eastAsia="zh-CN"/>
        </w:rPr>
        <w:t>程：</w:t>
      </w:r>
      <w:r>
        <w:rPr>
          <w:rFonts w:hint="eastAsia" w:ascii="宋体" w:hAnsi="宋体" w:eastAsia="宋体" w:cs="宋体"/>
          <w:color w:val="000000"/>
          <w:kern w:val="0"/>
          <w:sz w:val="21"/>
          <w:szCs w:val="21"/>
          <w:highlight w:val="none"/>
          <w:lang w:val="en-US" w:eastAsia="zh-CN" w:bidi="ar"/>
        </w:rPr>
        <w:t>图纸范围内的泛光照明工程的全部内容，包括但不限于以下主要包括以下施工内容：</w:t>
      </w:r>
    </w:p>
    <w:p w14:paraId="62EA2089">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fldChar w:fldCharType="begin"/>
      </w:r>
      <w:r>
        <w:rPr>
          <w:rFonts w:hint="eastAsia" w:ascii="宋体" w:hAnsi="宋体" w:eastAsia="宋体" w:cs="宋体"/>
          <w:color w:val="000000"/>
          <w:kern w:val="0"/>
          <w:sz w:val="21"/>
          <w:szCs w:val="21"/>
          <w:highlight w:val="none"/>
          <w:lang w:val="en-US" w:eastAsia="zh-CN" w:bidi="ar"/>
        </w:rPr>
        <w:instrText xml:space="preserve"> = 1 \* GB3 \* MERGEFORMAT </w:instrText>
      </w:r>
      <w:r>
        <w:rPr>
          <w:rFonts w:hint="eastAsia" w:ascii="宋体" w:hAnsi="宋体" w:eastAsia="宋体" w:cs="宋体"/>
          <w:color w:val="000000"/>
          <w:kern w:val="0"/>
          <w:sz w:val="21"/>
          <w:szCs w:val="21"/>
          <w:highlight w:val="none"/>
          <w:lang w:val="en-US" w:eastAsia="zh-CN" w:bidi="ar"/>
        </w:rPr>
        <w:fldChar w:fldCharType="separate"/>
      </w:r>
      <w:r>
        <w:rPr>
          <w:rFonts w:hint="eastAsia" w:ascii="宋体" w:hAnsi="宋体" w:eastAsia="宋体" w:cs="宋体"/>
          <w:color w:val="000000"/>
          <w:kern w:val="0"/>
          <w:sz w:val="21"/>
          <w:szCs w:val="21"/>
          <w:highlight w:val="none"/>
          <w:lang w:val="en-US" w:eastAsia="zh-CN" w:bidi="ar"/>
        </w:rPr>
        <w:t>①</w:t>
      </w:r>
      <w:r>
        <w:rPr>
          <w:rFonts w:hint="eastAsia" w:ascii="宋体" w:hAnsi="宋体" w:eastAsia="宋体" w:cs="宋体"/>
          <w:color w:val="000000"/>
          <w:kern w:val="0"/>
          <w:sz w:val="21"/>
          <w:szCs w:val="21"/>
          <w:highlight w:val="none"/>
          <w:lang w:val="en-US" w:eastAsia="zh-CN" w:bidi="ar"/>
        </w:rPr>
        <w:fldChar w:fldCharType="end"/>
      </w:r>
      <w:r>
        <w:rPr>
          <w:rFonts w:hint="eastAsia" w:ascii="宋体" w:hAnsi="宋体" w:eastAsia="宋体" w:cs="宋体"/>
          <w:color w:val="000000"/>
          <w:kern w:val="0"/>
          <w:sz w:val="21"/>
          <w:szCs w:val="21"/>
          <w:highlight w:val="none"/>
          <w:lang w:val="en-US" w:eastAsia="zh-CN" w:bidi="ar"/>
        </w:rPr>
        <w:t>泛光照明施工图深化。</w:t>
      </w:r>
    </w:p>
    <w:p w14:paraId="78008210">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②照明设备安装:包括泛光照明配电箱、电源开关、灯具、电线电缆等设备的安装。</w:t>
      </w:r>
    </w:p>
    <w:p w14:paraId="4EE79439">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③控制系统施工:包括控制箱、控制器的安装、控制线路等的安装等。</w:t>
      </w:r>
    </w:p>
    <w:p w14:paraId="00BEA5F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fldChar w:fldCharType="begin"/>
      </w:r>
      <w:r>
        <w:rPr>
          <w:rFonts w:hint="eastAsia" w:ascii="宋体" w:hAnsi="宋体" w:eastAsia="宋体" w:cs="宋体"/>
          <w:color w:val="000000"/>
          <w:kern w:val="0"/>
          <w:sz w:val="21"/>
          <w:szCs w:val="21"/>
          <w:highlight w:val="none"/>
          <w:lang w:val="en-US" w:eastAsia="zh-CN" w:bidi="ar"/>
        </w:rPr>
        <w:instrText xml:space="preserve"> = 4 \* GB3 \* MERGEFORMAT </w:instrText>
      </w:r>
      <w:r>
        <w:rPr>
          <w:rFonts w:hint="eastAsia" w:ascii="宋体" w:hAnsi="宋体" w:eastAsia="宋体" w:cs="宋体"/>
          <w:color w:val="000000"/>
          <w:kern w:val="0"/>
          <w:sz w:val="21"/>
          <w:szCs w:val="21"/>
          <w:highlight w:val="none"/>
          <w:lang w:val="en-US" w:eastAsia="zh-CN" w:bidi="ar"/>
        </w:rPr>
        <w:fldChar w:fldCharType="separate"/>
      </w:r>
      <w:r>
        <w:rPr>
          <w:rFonts w:hint="eastAsia" w:ascii="宋体" w:hAnsi="宋体" w:eastAsia="宋体" w:cs="宋体"/>
          <w:color w:val="000000"/>
          <w:kern w:val="0"/>
          <w:sz w:val="21"/>
          <w:szCs w:val="21"/>
          <w:highlight w:val="none"/>
          <w:lang w:val="en-US" w:eastAsia="zh-CN" w:bidi="ar"/>
        </w:rPr>
        <w:t>④</w:t>
      </w:r>
      <w:r>
        <w:rPr>
          <w:rFonts w:hint="eastAsia" w:ascii="宋体" w:hAnsi="宋体" w:eastAsia="宋体" w:cs="宋体"/>
          <w:color w:val="000000"/>
          <w:kern w:val="0"/>
          <w:sz w:val="21"/>
          <w:szCs w:val="21"/>
          <w:highlight w:val="none"/>
          <w:lang w:val="en-US" w:eastAsia="zh-CN" w:bidi="ar"/>
        </w:rPr>
        <w:fldChar w:fldCharType="end"/>
      </w:r>
      <w:r>
        <w:rPr>
          <w:rFonts w:hint="eastAsia" w:ascii="宋体" w:hAnsi="宋体" w:eastAsia="宋体" w:cs="宋体"/>
          <w:color w:val="000000"/>
          <w:kern w:val="0"/>
          <w:sz w:val="21"/>
          <w:szCs w:val="21"/>
          <w:highlight w:val="none"/>
          <w:lang w:val="en-US" w:eastAsia="zh-CN" w:bidi="ar"/>
        </w:rPr>
        <w:t>调试与验收:包括设备调试、系统测试、验收等。</w:t>
      </w:r>
    </w:p>
    <w:p w14:paraId="0CADDFA0">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包括完成以上内容的其他措施项目(具体以预算清单和施工图为准）。</w:t>
      </w:r>
    </w:p>
    <w:p w14:paraId="3E88CA51">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lang w:val="en-US" w:eastAsia="zh-CN"/>
        </w:rPr>
        <w:t>2.安全文明施工项目：施工范围全部绿色施工安全防护相关维护，完成分包范围相关的安全文</w:t>
      </w:r>
      <w:r>
        <w:rPr>
          <w:rFonts w:hint="eastAsia" w:ascii="宋体" w:hAnsi="宋体" w:eastAsia="宋体" w:cs="宋体"/>
          <w:color w:val="000000"/>
          <w:kern w:val="0"/>
          <w:sz w:val="21"/>
          <w:szCs w:val="21"/>
          <w:highlight w:val="none"/>
          <w:lang w:val="en-US" w:eastAsia="zh-CN" w:bidi="ar"/>
        </w:rPr>
        <w:t>明施工，包括①乙方负责配备安全员，甲供水电驳接点后的临水临电、场容场貌维护、材料堆放整理、工完场清、现场防火、高空作业防护、完成其工程范围相关内的临建、临水及临电（三级电箱）的接驳、安全警示标志牌、宣传标语、道路清洗、垃圾清运（清运至采购方指定地点）、施工相关的临时防护。②乙方负责垂直方向交叉作业防护、安全防护用品、垂直运输防护、应急预案、非正常情况施工防护、施工扬尘污染防治等费用，现场保洁、配合行政部门检查相关工作。若甲方需由乙方负责处理的，乙方应无条件施工。③其中安全帽、反光衣、配电箱、安全带由乙方提供采购计划、甲方统一购买，费用乙方承担。（其中：安全帽，反光衣，安全带，开关箱等按采购人当批次实际采购单价价格为准）。④关于施工场地整洁问题，乙方应当做到施工范围内场地清洁，做到工完场清。关于建筑垃圾清理，应清到甲方指定垃圾暂存点；在甲方各项内外部检查时，乙方应当积极配合做好场地整洁，甲方保留合同价的1%做为保证金，如乙方未能及时履行时，甲方有权使用保证金用于场地清理；</w:t>
      </w:r>
    </w:p>
    <w:p w14:paraId="69DB6A37">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合同范围内的施工内容及施工过程中所发生超出合同范围的增减工程内容（以建设单位确认的工程变更单为准），乙方不得以任何借口拒绝施工，否则甲方有权委托第三方施工，施工的所有费用全部由乙方承担（从乙方的工程款中直接扣除）。施工过程中所发生超出合同范围的增减工程内容，乙方需优先配合完成，由此产生的费用由甲乙双方另行协商。</w:t>
      </w:r>
    </w:p>
    <w:p w14:paraId="1E051828">
      <w:pPr>
        <w:spacing w:line="360" w:lineRule="auto"/>
        <w:ind w:firstLine="422" w:firstLineChars="200"/>
        <w:rPr>
          <w:rFonts w:hint="default" w:ascii="宋体" w:hAnsi="宋体" w:cs="宋体"/>
          <w:b/>
          <w:bCs/>
          <w:color w:val="auto"/>
          <w:sz w:val="21"/>
          <w:szCs w:val="21"/>
          <w:highlight w:val="none"/>
          <w:u w:val="none"/>
          <w:lang w:val="en-US" w:eastAsia="zh-CN"/>
        </w:rPr>
      </w:pPr>
      <w:r>
        <w:rPr>
          <w:rFonts w:hint="eastAsia" w:ascii="宋体" w:hAnsi="宋体" w:cs="宋体"/>
          <w:b/>
          <w:bCs/>
          <w:color w:val="auto"/>
          <w:sz w:val="21"/>
          <w:szCs w:val="21"/>
          <w:highlight w:val="none"/>
          <w:u w:val="none"/>
          <w:lang w:val="en-US" w:eastAsia="zh-CN"/>
        </w:rPr>
        <w:t>（三）、生物技术产业园</w:t>
      </w:r>
    </w:p>
    <w:p w14:paraId="7D449D9E">
      <w:pPr>
        <w:spacing w:line="360" w:lineRule="auto"/>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本项目泛光照明及景观电气工程包括：本工程所示泛光照明及景观电气工程全部工作，包含但不限于配电箱、开关电源、灯具、控制器、主机、交换机、线缆、线槽、桥架、电气配管等内容施工，以及预留、预埋管、盒、孔洞并在安装完进行孔洞堵补，电井、灯具设备基础制安，包括上述所涉及的开挖、回填土石方工程，其他零星工程、安全文明施工、工程资料及报建验收等全部工作。以上采购范围未尽事宜，详见工程量清单范围内分部分项内容，并满足设计要求具体内容按照施工图纸、图纸会审、设计变更通知，甲方修改通知等设计文件，并按照相关标准规范、施工组织设计、专项施工方案、分项工程技术交底等有关技术文件的要求施工，确保工程验收质量，并有义务协助工程通过主管部门验收合格。</w:t>
      </w:r>
    </w:p>
    <w:p w14:paraId="555F1F86">
      <w:pPr>
        <w:spacing w:line="360" w:lineRule="auto"/>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2.深化设计 根据采购人提供的采购基础图纸和采购要求进行泛光照明深化设计(满足设计规范及保证通过验收要求前提下)，提供深化设计图纸。</w:t>
      </w:r>
    </w:p>
    <w:p w14:paraId="5EE281CD">
      <w:pPr>
        <w:spacing w:line="360" w:lineRule="auto"/>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安全文明措施包括：本泛光照明景观电气工程施工红线范围内全部绿色施工安全防护相关维护，完成分包范围相关的安全文明施工。包括配备分包安全员、完成工程范围相关的临水、临电、安全警示标志牌、宣传标语、场容场貌维护、材料堆放整理、现场防火、工完场清、垃圾清运、施工相关的临时防护、安全防护用品、垂直运输防护、应急预案、非正常情况施工防护、施工扬尘污染防治等费用现场保洁、安保、行政部门检查相关工作。</w:t>
      </w:r>
    </w:p>
    <w:p w14:paraId="6BC53B17">
      <w:pPr>
        <w:spacing w:line="360" w:lineRule="auto"/>
        <w:rPr>
          <w:rFonts w:hint="default" w:ascii="宋体" w:hAnsi="宋体" w:cs="宋体"/>
          <w:color w:val="auto"/>
          <w:sz w:val="21"/>
          <w:szCs w:val="21"/>
          <w:highlight w:val="none"/>
          <w:u w:val="none"/>
          <w:lang w:val="en-US" w:eastAsia="zh-CN"/>
        </w:rPr>
      </w:pPr>
      <w:r>
        <w:rPr>
          <w:rFonts w:hint="eastAsia" w:ascii="宋体" w:hAnsi="宋体" w:eastAsia="宋体" w:cs="宋体"/>
          <w:color w:val="000000"/>
          <w:kern w:val="0"/>
          <w:sz w:val="21"/>
          <w:szCs w:val="21"/>
          <w:highlight w:val="none"/>
          <w:lang w:val="en-US" w:eastAsia="zh-CN" w:bidi="ar"/>
        </w:rPr>
        <w:t xml:space="preserve">    4.项目资料：包括不限于质检及安检等资料的编制及报送、技术支持及相关方案编制、专家送审等、协助项目部对外业务管理协调等。本合同范围内工程完工后，一个月内应提交一套符合东莞市建设工程电子档案线上审查通过的资料，确保按时按质完成项目验收相关资料。</w:t>
      </w:r>
    </w:p>
    <w:p w14:paraId="182E7F71">
      <w:pPr>
        <w:pStyle w:val="8"/>
        <w:spacing w:before="0" w:beforeAutospacing="0" w:after="0" w:afterAutospacing="0" w:line="360" w:lineRule="auto"/>
        <w:ind w:firstLine="422" w:firstLineChars="200"/>
        <w:rPr>
          <w:rFonts w:hint="eastAsia" w:ascii="宋体" w:hAnsi="宋体" w:eastAsia="宋体" w:cs="宋体"/>
          <w:b/>
          <w:bCs w:val="0"/>
          <w:color w:val="auto"/>
          <w:sz w:val="21"/>
          <w:szCs w:val="21"/>
          <w:highlight w:val="none"/>
          <w:lang w:val="en-US" w:eastAsia="zh-CN"/>
        </w:rPr>
      </w:pPr>
      <w:bookmarkStart w:id="0" w:name="OLE_LINK24"/>
      <w:bookmarkStart w:id="1" w:name="OLE_LINK23"/>
      <w:r>
        <w:rPr>
          <w:rFonts w:hint="eastAsia" w:ascii="宋体" w:hAnsi="宋体" w:eastAsia="宋体" w:cs="宋体"/>
          <w:b/>
          <w:bCs w:val="0"/>
          <w:color w:val="auto"/>
          <w:sz w:val="21"/>
          <w:szCs w:val="21"/>
          <w:highlight w:val="none"/>
        </w:rPr>
        <w:t>具体工程量详见</w:t>
      </w:r>
      <w:r>
        <w:rPr>
          <w:rFonts w:hint="eastAsia" w:ascii="宋体" w:hAnsi="宋体" w:cs="宋体"/>
          <w:b/>
          <w:bCs w:val="0"/>
          <w:color w:val="auto"/>
          <w:sz w:val="21"/>
          <w:szCs w:val="21"/>
          <w:highlight w:val="none"/>
          <w:lang w:val="en-US" w:eastAsia="zh-CN"/>
        </w:rPr>
        <w:t>工程量</w:t>
      </w:r>
      <w:r>
        <w:rPr>
          <w:rFonts w:hint="eastAsia" w:ascii="宋体" w:hAnsi="宋体" w:eastAsia="宋体" w:cs="宋体"/>
          <w:b/>
          <w:bCs w:val="0"/>
          <w:color w:val="auto"/>
          <w:sz w:val="21"/>
          <w:szCs w:val="21"/>
          <w:highlight w:val="none"/>
        </w:rPr>
        <w:t>清单。</w:t>
      </w:r>
    </w:p>
    <w:bookmarkEnd w:id="0"/>
    <w:bookmarkEnd w:id="1"/>
    <w:p w14:paraId="35D2991E">
      <w:pPr>
        <w:widowControl/>
        <w:snapToGrid w:val="0"/>
        <w:spacing w:line="360" w:lineRule="auto"/>
        <w:ind w:firstLine="369" w:firstLineChars="175"/>
        <w:rPr>
          <w:rFonts w:hint="eastAsia" w:ascii="宋体" w:hAnsi="宋体" w:eastAsia="宋体" w:cs="宋体"/>
          <w:b/>
          <w:bCs w:val="0"/>
          <w:color w:val="auto"/>
          <w:kern w:val="0"/>
          <w:szCs w:val="21"/>
          <w:highlight w:val="none"/>
        </w:rPr>
      </w:pPr>
      <w:r>
        <w:rPr>
          <w:rFonts w:hint="eastAsia" w:ascii="宋体" w:hAnsi="宋体" w:eastAsia="宋体" w:cs="宋体"/>
          <w:b/>
          <w:bCs w:val="0"/>
          <w:color w:val="auto"/>
          <w:kern w:val="0"/>
          <w:szCs w:val="21"/>
          <w:highlight w:val="none"/>
        </w:rPr>
        <w:t>七、承包方式：</w:t>
      </w:r>
    </w:p>
    <w:p w14:paraId="09C3868E">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1、人工费(劳务费)清包，对分包人承包范围内的工程实行包人工、包机械、包工期、包质量、包保修等全部内容，包括甲方材料到货的卸货及机械费用。</w:t>
      </w:r>
    </w:p>
    <w:p w14:paraId="7773F0EA">
      <w:pPr>
        <w:widowControl/>
        <w:snapToGrid w:val="0"/>
        <w:spacing w:line="360" w:lineRule="auto"/>
        <w:ind w:firstLine="369" w:firstLineChars="175"/>
        <w:rPr>
          <w:rFonts w:hint="eastAsia" w:ascii="宋体" w:hAnsi="宋体" w:eastAsia="宋体" w:cs="宋体"/>
          <w:color w:val="auto"/>
          <w:kern w:val="0"/>
          <w:sz w:val="21"/>
          <w:szCs w:val="21"/>
          <w:highlight w:val="none"/>
          <w:lang w:val="en-US" w:eastAsia="zh-CN"/>
        </w:rPr>
      </w:pPr>
      <w:r>
        <w:rPr>
          <w:rFonts w:hint="eastAsia" w:ascii="宋体" w:hAnsi="宋体" w:eastAsia="宋体" w:cs="宋体"/>
          <w:b/>
          <w:bCs/>
          <w:color w:val="auto"/>
          <w:kern w:val="0"/>
          <w:szCs w:val="21"/>
          <w:highlight w:val="none"/>
        </w:rPr>
        <w:t>八、工期：</w:t>
      </w:r>
    </w:p>
    <w:p w14:paraId="6174C8B7">
      <w:pPr>
        <w:widowControl/>
        <w:snapToGrid w:val="0"/>
        <w:spacing w:line="360" w:lineRule="auto"/>
        <w:ind w:firstLine="367" w:firstLineChars="175"/>
        <w:rPr>
          <w:rFonts w:hint="eastAsia" w:ascii="宋体" w:hAnsi="宋体" w:cs="宋体"/>
          <w:color w:val="000000"/>
          <w:sz w:val="21"/>
          <w:szCs w:val="21"/>
          <w:highlight w:val="none"/>
          <w:u w:val="single"/>
          <w:lang w:val="en-US" w:eastAsia="zh-CN"/>
        </w:rPr>
      </w:pPr>
      <w:r>
        <w:rPr>
          <w:rFonts w:hint="eastAsia" w:ascii="宋体" w:hAnsi="宋体" w:cs="宋体"/>
          <w:color w:val="000000"/>
          <w:sz w:val="21"/>
          <w:szCs w:val="21"/>
          <w:highlight w:val="none"/>
          <w:u w:val="single"/>
          <w:lang w:val="en-US" w:eastAsia="zh-CN"/>
        </w:rPr>
        <w:t>1、沙田中学</w:t>
      </w:r>
      <w:r>
        <w:rPr>
          <w:rFonts w:hint="eastAsia" w:ascii="宋体" w:hAnsi="宋体" w:eastAsia="宋体" w:cs="宋体"/>
          <w:color w:val="000000"/>
          <w:sz w:val="21"/>
          <w:szCs w:val="21"/>
          <w:highlight w:val="none"/>
          <w:u w:val="single"/>
        </w:rPr>
        <w:t>项目</w:t>
      </w:r>
      <w:r>
        <w:rPr>
          <w:rFonts w:hint="eastAsia" w:ascii="宋体" w:hAnsi="宋体" w:cs="宋体"/>
          <w:color w:val="000000"/>
          <w:sz w:val="21"/>
          <w:szCs w:val="21"/>
          <w:highlight w:val="none"/>
          <w:u w:val="single"/>
          <w:lang w:val="en-US" w:eastAsia="zh-CN"/>
        </w:rPr>
        <w:t>工期：本采购项目暂定工期为170个日历天（含国家法定节假日），具体工期需中标后进场与甲方联合编制进度计划及关键节点，并以双方签字确认的进度计划作为施工工期要求。</w:t>
      </w:r>
    </w:p>
    <w:p w14:paraId="3A779128">
      <w:pPr>
        <w:widowControl/>
        <w:snapToGrid w:val="0"/>
        <w:spacing w:line="360" w:lineRule="auto"/>
        <w:ind w:firstLine="367" w:firstLineChars="175"/>
        <w:rPr>
          <w:rFonts w:hint="eastAsia" w:ascii="宋体" w:hAnsi="宋体" w:cs="宋体"/>
          <w:color w:val="000000"/>
          <w:sz w:val="21"/>
          <w:szCs w:val="21"/>
          <w:highlight w:val="none"/>
          <w:u w:val="single"/>
          <w:lang w:val="en-US" w:eastAsia="zh-CN"/>
        </w:rPr>
      </w:pPr>
      <w:r>
        <w:rPr>
          <w:rFonts w:hint="eastAsia" w:ascii="宋体" w:hAnsi="宋体" w:cs="宋体"/>
          <w:color w:val="000000"/>
          <w:sz w:val="21"/>
          <w:szCs w:val="21"/>
          <w:highlight w:val="none"/>
          <w:u w:val="single"/>
          <w:lang w:val="en-US" w:eastAsia="zh-CN"/>
        </w:rPr>
        <w:t>2、</w:t>
      </w:r>
      <w:r>
        <w:rPr>
          <w:rFonts w:hint="eastAsia" w:ascii="宋体" w:hAnsi="宋体" w:cs="宋体"/>
          <w:color w:val="auto"/>
          <w:sz w:val="21"/>
          <w:szCs w:val="21"/>
          <w:highlight w:val="none"/>
          <w:u w:val="single"/>
          <w:lang w:val="en-US" w:eastAsia="zh-CN"/>
        </w:rPr>
        <w:t>应急消防基地</w:t>
      </w:r>
      <w:r>
        <w:rPr>
          <w:rFonts w:hint="eastAsia" w:ascii="宋体" w:hAnsi="宋体" w:eastAsia="宋体" w:cs="宋体"/>
          <w:color w:val="000000"/>
          <w:sz w:val="21"/>
          <w:szCs w:val="21"/>
          <w:highlight w:val="none"/>
          <w:u w:val="single"/>
        </w:rPr>
        <w:t>本项目</w:t>
      </w:r>
      <w:r>
        <w:rPr>
          <w:rFonts w:hint="eastAsia" w:ascii="宋体" w:hAnsi="宋体" w:cs="宋体"/>
          <w:color w:val="000000"/>
          <w:sz w:val="21"/>
          <w:szCs w:val="21"/>
          <w:highlight w:val="none"/>
          <w:u w:val="single"/>
          <w:lang w:val="en-US" w:eastAsia="zh-CN"/>
        </w:rPr>
        <w:t>工期：本采购项目暂定工期为150个日历天（含国家法定节假日），具体工期需中标后进场与甲方联合编制进度计划及关键节点，并以双方签字确认的进度计划作为施工工期要求。</w:t>
      </w:r>
    </w:p>
    <w:p w14:paraId="120D32BE">
      <w:pPr>
        <w:widowControl/>
        <w:snapToGrid w:val="0"/>
        <w:spacing w:line="360" w:lineRule="auto"/>
        <w:ind w:firstLine="367" w:firstLineChars="175"/>
        <w:rPr>
          <w:rFonts w:hint="default" w:ascii="宋体" w:hAnsi="宋体" w:cs="宋体"/>
          <w:color w:val="000000"/>
          <w:sz w:val="21"/>
          <w:szCs w:val="21"/>
          <w:highlight w:val="none"/>
          <w:u w:val="single"/>
          <w:lang w:val="en-US" w:eastAsia="zh-CN"/>
        </w:rPr>
      </w:pPr>
      <w:r>
        <w:rPr>
          <w:rFonts w:hint="eastAsia" w:ascii="宋体" w:hAnsi="宋体" w:cs="宋体"/>
          <w:color w:val="000000"/>
          <w:sz w:val="21"/>
          <w:szCs w:val="21"/>
          <w:highlight w:val="none"/>
          <w:u w:val="single"/>
          <w:lang w:val="en-US" w:eastAsia="zh-CN"/>
        </w:rPr>
        <w:t>3、生物技术产业园项目工期：本采购项目暂定工期为360个日历天（含国家法定节假日），</w:t>
      </w:r>
      <w:bookmarkStart w:id="66" w:name="_GoBack"/>
      <w:bookmarkEnd w:id="66"/>
      <w:r>
        <w:rPr>
          <w:rFonts w:hint="eastAsia" w:ascii="宋体" w:hAnsi="宋体" w:cs="宋体"/>
          <w:color w:val="000000"/>
          <w:sz w:val="21"/>
          <w:szCs w:val="21"/>
          <w:highlight w:val="none"/>
          <w:u w:val="single"/>
          <w:lang w:val="en-US" w:eastAsia="zh-CN"/>
        </w:rPr>
        <w:t>具体工期需中标后进场与甲方联合编制进度计划及关键节点，并以双方签字确认的进度计划作为施工工期要求。</w:t>
      </w:r>
    </w:p>
    <w:p w14:paraId="6A878711">
      <w:pPr>
        <w:widowControl/>
        <w:snapToGrid w:val="0"/>
        <w:spacing w:line="360" w:lineRule="auto"/>
        <w:ind w:firstLine="369" w:firstLineChars="175"/>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rPr>
        <w:t>九、投标文件的递交时间及开标地点：</w:t>
      </w:r>
      <w:r>
        <w:rPr>
          <w:rFonts w:hint="eastAsia" w:ascii="宋体" w:hAnsi="宋体" w:eastAsia="宋体" w:cs="宋体"/>
          <w:color w:val="auto"/>
          <w:kern w:val="0"/>
          <w:szCs w:val="21"/>
          <w:highlight w:val="none"/>
        </w:rPr>
        <w:t>以密封形式于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2025</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12</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lang w:val="en-US" w:eastAsia="zh-CN"/>
        </w:rPr>
        <w:t>15</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1</w:t>
      </w:r>
      <w:r>
        <w:rPr>
          <w:rFonts w:hint="eastAsia" w:ascii="宋体" w:hAnsi="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00</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分前递交，截止时间为</w:t>
      </w:r>
      <w:r>
        <w:rPr>
          <w:rFonts w:hint="eastAsia" w:ascii="宋体" w:hAnsi="宋体" w:eastAsia="宋体" w:cs="宋体"/>
          <w:color w:val="auto"/>
          <w:kern w:val="0"/>
          <w:szCs w:val="21"/>
          <w:highlight w:val="none"/>
          <w:u w:val="single"/>
          <w:lang w:val="en-US" w:eastAsia="zh-CN"/>
        </w:rPr>
        <w:t>2025</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12</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15</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1</w:t>
      </w:r>
      <w:r>
        <w:rPr>
          <w:rFonts w:hint="eastAsia" w:ascii="宋体" w:hAnsi="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00</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分，所有应答文件必须在规定的应答截止时间前按规定地址送达采购人，逾期恕不接受。</w:t>
      </w:r>
    </w:p>
    <w:p w14:paraId="132388FF">
      <w:pPr>
        <w:widowControl/>
        <w:snapToGrid w:val="0"/>
        <w:spacing w:line="360" w:lineRule="auto"/>
        <w:ind w:firstLine="630" w:firstLineChars="3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开标地址：东莞市南城街道城市风景街8栋3层城工集团开标室。</w:t>
      </w:r>
    </w:p>
    <w:p w14:paraId="43DAA9F9">
      <w:pPr>
        <w:widowControl/>
        <w:snapToGrid w:val="0"/>
        <w:spacing w:line="360" w:lineRule="auto"/>
        <w:ind w:firstLine="369" w:firstLineChars="175"/>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rPr>
        <w:t>十、注意事项：</w:t>
      </w:r>
    </w:p>
    <w:p w14:paraId="3044CD74">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1、投标人必须全面响应采购文件要求，投标人任何附加条件采购人一律不接受或视为废标。</w:t>
      </w:r>
    </w:p>
    <w:p w14:paraId="111208DC">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2、中标人严禁有挂靠或者违法转包行为。</w:t>
      </w:r>
    </w:p>
    <w:p w14:paraId="7FFB7E24">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3、投标文件严禁出现不平衡报价。</w:t>
      </w:r>
    </w:p>
    <w:p w14:paraId="270BFA73">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4、质量要求：现行的施工规范要求及用户需求书列明的质量管控要求。</w:t>
      </w:r>
    </w:p>
    <w:p w14:paraId="125030FC">
      <w:pPr>
        <w:widowControl/>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5、本工程要求开具工人工资支付保函：劳务施工单位需要提供合同总额10%的工人工资支付保函。</w:t>
      </w:r>
    </w:p>
    <w:p w14:paraId="1E5C052F">
      <w:pPr>
        <w:widowControl/>
        <w:snapToGrid w:val="0"/>
        <w:spacing w:line="360" w:lineRule="auto"/>
        <w:ind w:firstLine="369" w:firstLineChars="175"/>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rPr>
        <w:t>十一、采购文件获取：</w:t>
      </w:r>
      <w:r>
        <w:rPr>
          <w:rFonts w:hint="eastAsia" w:ascii="宋体" w:hAnsi="宋体" w:eastAsia="宋体" w:cs="宋体"/>
          <w:color w:val="auto"/>
          <w:kern w:val="0"/>
          <w:szCs w:val="21"/>
          <w:highlight w:val="none"/>
        </w:rPr>
        <w:t>城工集团</w:t>
      </w:r>
      <w:r>
        <w:rPr>
          <w:rFonts w:hint="eastAsia" w:ascii="宋体" w:hAnsi="宋体" w:eastAsia="宋体" w:cs="宋体"/>
          <w:color w:val="auto"/>
          <w:szCs w:val="21"/>
          <w:highlight w:val="none"/>
        </w:rPr>
        <w:t>公司官网（http://www.dggcc.cn）</w:t>
      </w:r>
      <w:r>
        <w:rPr>
          <w:rFonts w:hint="eastAsia" w:ascii="宋体" w:hAnsi="宋体" w:eastAsia="宋体" w:cs="宋体"/>
          <w:color w:val="auto"/>
          <w:kern w:val="0"/>
          <w:szCs w:val="21"/>
          <w:highlight w:val="none"/>
        </w:rPr>
        <w:t>。</w:t>
      </w:r>
    </w:p>
    <w:p w14:paraId="4F1461E7">
      <w:pPr>
        <w:widowControl/>
        <w:snapToGrid w:val="0"/>
        <w:spacing w:line="360" w:lineRule="auto"/>
        <w:ind w:firstLine="369" w:firstLineChars="175"/>
        <w:rPr>
          <w:rFonts w:hint="eastAsia" w:ascii="宋体" w:hAnsi="宋体" w:eastAsia="宋体" w:cs="宋体"/>
          <w:strike/>
          <w:dstrike w:val="0"/>
          <w:color w:val="auto"/>
          <w:kern w:val="0"/>
          <w:szCs w:val="21"/>
          <w:highlight w:val="none"/>
        </w:rPr>
      </w:pPr>
      <w:r>
        <w:rPr>
          <w:rFonts w:hint="eastAsia" w:ascii="宋体" w:hAnsi="宋体" w:eastAsia="宋体" w:cs="宋体"/>
          <w:b/>
          <w:bCs/>
          <w:color w:val="auto"/>
          <w:kern w:val="0"/>
          <w:szCs w:val="21"/>
          <w:highlight w:val="none"/>
        </w:rPr>
        <w:t>十二、其他及特别内容说明：</w:t>
      </w:r>
      <w:r>
        <w:rPr>
          <w:rFonts w:hint="eastAsia" w:ascii="宋体" w:hAnsi="宋体" w:eastAsia="宋体" w:cs="宋体"/>
          <w:color w:val="auto"/>
          <w:kern w:val="0"/>
          <w:szCs w:val="21"/>
          <w:highlight w:val="none"/>
          <w:lang w:val="en-US" w:eastAsia="zh-CN"/>
        </w:rPr>
        <w:t>/</w:t>
      </w:r>
    </w:p>
    <w:p w14:paraId="2856103F">
      <w:pPr>
        <w:widowControl/>
        <w:snapToGrid w:val="0"/>
        <w:spacing w:line="360" w:lineRule="auto"/>
        <w:ind w:firstLine="369" w:firstLineChars="175"/>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rPr>
        <w:t xml:space="preserve">十三、有关此次采购答疑事宜，按下列地址以书面或电话形式向采购人查询： </w:t>
      </w:r>
      <w:r>
        <w:rPr>
          <w:rFonts w:hint="eastAsia" w:ascii="宋体" w:hAnsi="宋体" w:eastAsia="宋体" w:cs="宋体"/>
          <w:color w:val="auto"/>
          <w:kern w:val="0"/>
          <w:szCs w:val="21"/>
          <w:highlight w:val="none"/>
        </w:rPr>
        <w:t xml:space="preserve"> </w:t>
      </w:r>
    </w:p>
    <w:p w14:paraId="3EDBB620">
      <w:pPr>
        <w:widowControl/>
        <w:snapToGrid w:val="0"/>
        <w:spacing w:line="360" w:lineRule="auto"/>
        <w:ind w:firstLine="840" w:firstLineChars="4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采购人：东莞</w:t>
      </w:r>
      <w:r>
        <w:rPr>
          <w:rFonts w:hint="eastAsia" w:ascii="宋体" w:hAnsi="宋体" w:eastAsia="宋体" w:cs="宋体"/>
          <w:color w:val="auto"/>
          <w:kern w:val="0"/>
          <w:szCs w:val="21"/>
          <w:highlight w:val="none"/>
          <w:lang w:val="en-US" w:eastAsia="zh-CN"/>
        </w:rPr>
        <w:t>城工集团照明工程</w:t>
      </w:r>
      <w:r>
        <w:rPr>
          <w:rFonts w:hint="eastAsia" w:ascii="宋体" w:hAnsi="宋体" w:eastAsia="宋体" w:cs="宋体"/>
          <w:color w:val="auto"/>
          <w:kern w:val="0"/>
          <w:szCs w:val="21"/>
          <w:highlight w:val="none"/>
        </w:rPr>
        <w:t>有限公司</w:t>
      </w:r>
    </w:p>
    <w:p w14:paraId="66086DCF">
      <w:pPr>
        <w:widowControl/>
        <w:snapToGrid w:val="0"/>
        <w:spacing w:line="360" w:lineRule="auto"/>
        <w:ind w:firstLine="840" w:firstLineChars="4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地址：东莞市南城区城市风景街8栋</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rPr>
        <w:t>层城工集团。</w:t>
      </w:r>
    </w:p>
    <w:p w14:paraId="4507AFCF">
      <w:pPr>
        <w:keepNext w:val="0"/>
        <w:keepLines w:val="0"/>
        <w:widowControl/>
        <w:suppressLineNumbers w:val="0"/>
        <w:snapToGrid w:val="0"/>
        <w:spacing w:before="0" w:beforeAutospacing="0" w:after="0" w:afterAutospacing="0" w:line="360" w:lineRule="auto"/>
        <w:ind w:left="0" w:right="0" w:firstLine="840" w:firstLineChars="4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联系人：</w:t>
      </w:r>
      <w:r>
        <w:rPr>
          <w:rFonts w:hint="eastAsia" w:ascii="宋体" w:hAnsi="宋体" w:cs="宋体"/>
          <w:color w:val="auto"/>
          <w:kern w:val="0"/>
          <w:sz w:val="21"/>
          <w:szCs w:val="21"/>
          <w:highlight w:val="none"/>
          <w:lang w:val="en-US" w:eastAsia="zh-CN" w:bidi="ar"/>
        </w:rPr>
        <w:t>吴</w:t>
      </w:r>
      <w:r>
        <w:rPr>
          <w:rFonts w:hint="eastAsia" w:ascii="宋体" w:hAnsi="宋体" w:eastAsia="宋体" w:cs="宋体"/>
          <w:color w:val="auto"/>
          <w:kern w:val="0"/>
          <w:sz w:val="21"/>
          <w:szCs w:val="21"/>
          <w:highlight w:val="none"/>
          <w:lang w:val="en-US" w:eastAsia="zh-CN" w:bidi="ar"/>
        </w:rPr>
        <w:t>工                   邮政编码：523000</w:t>
      </w:r>
    </w:p>
    <w:p w14:paraId="1351AA03">
      <w:pPr>
        <w:keepNext w:val="0"/>
        <w:keepLines w:val="0"/>
        <w:widowControl/>
        <w:suppressLineNumbers w:val="0"/>
        <w:snapToGrid w:val="0"/>
        <w:spacing w:before="0" w:beforeAutospacing="0" w:after="0" w:afterAutospacing="0" w:line="360" w:lineRule="auto"/>
        <w:ind w:left="0" w:right="0" w:firstLine="840" w:firstLineChars="4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联系方式：</w:t>
      </w:r>
      <w:r>
        <w:rPr>
          <w:rFonts w:hint="eastAsia" w:ascii="宋体" w:hAnsi="宋体" w:eastAsia="宋体" w:cs="宋体"/>
          <w:color w:val="auto"/>
          <w:kern w:val="0"/>
          <w:sz w:val="21"/>
          <w:szCs w:val="21"/>
          <w:highlight w:val="none"/>
          <w:u w:val="none"/>
          <w:lang w:val="en-US" w:eastAsia="zh-CN"/>
        </w:rPr>
        <w:t>1</w:t>
      </w:r>
      <w:r>
        <w:rPr>
          <w:rFonts w:hint="eastAsia" w:ascii="宋体" w:hAnsi="宋体" w:cs="宋体"/>
          <w:color w:val="auto"/>
          <w:kern w:val="0"/>
          <w:sz w:val="21"/>
          <w:szCs w:val="21"/>
          <w:highlight w:val="none"/>
          <w:u w:val="none"/>
          <w:lang w:val="en-US" w:eastAsia="zh-CN"/>
        </w:rPr>
        <w:t>5521048574</w:t>
      </w:r>
      <w:r>
        <w:rPr>
          <w:rFonts w:hint="eastAsia" w:ascii="宋体" w:hAnsi="宋体" w:eastAsia="宋体" w:cs="宋体"/>
          <w:color w:val="auto"/>
          <w:kern w:val="0"/>
          <w:sz w:val="21"/>
          <w:szCs w:val="21"/>
          <w:highlight w:val="none"/>
          <w:lang w:val="en-US" w:eastAsia="zh-CN" w:bidi="ar"/>
        </w:rPr>
        <w:t xml:space="preserve">          传真：0769-39009090</w:t>
      </w:r>
    </w:p>
    <w:p w14:paraId="1CC6858B">
      <w:pPr>
        <w:widowControl/>
        <w:snapToGrid w:val="0"/>
        <w:spacing w:line="480" w:lineRule="auto"/>
        <w:ind w:firstLine="640"/>
        <w:jc w:val="right"/>
        <w:rPr>
          <w:rFonts w:hint="eastAsia" w:ascii="宋体" w:hAnsi="宋体" w:eastAsia="宋体" w:cs="宋体"/>
          <w:color w:val="auto"/>
          <w:kern w:val="0"/>
          <w:szCs w:val="21"/>
          <w:highlight w:val="none"/>
        </w:rPr>
      </w:pPr>
    </w:p>
    <w:p w14:paraId="5FC6BF2D">
      <w:pPr>
        <w:widowControl/>
        <w:snapToGrid w:val="0"/>
        <w:spacing w:line="480" w:lineRule="auto"/>
        <w:ind w:firstLine="64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东莞</w:t>
      </w:r>
      <w:r>
        <w:rPr>
          <w:rFonts w:hint="eastAsia" w:ascii="宋体" w:hAnsi="宋体" w:eastAsia="宋体" w:cs="宋体"/>
          <w:color w:val="auto"/>
          <w:kern w:val="0"/>
          <w:szCs w:val="21"/>
          <w:highlight w:val="none"/>
          <w:lang w:val="en-US" w:eastAsia="zh-CN"/>
        </w:rPr>
        <w:t>城工集团照明工程</w:t>
      </w:r>
      <w:r>
        <w:rPr>
          <w:rFonts w:hint="eastAsia" w:ascii="宋体" w:hAnsi="宋体" w:eastAsia="宋体" w:cs="宋体"/>
          <w:color w:val="auto"/>
          <w:kern w:val="0"/>
          <w:szCs w:val="21"/>
          <w:highlight w:val="none"/>
        </w:rPr>
        <w:t>有限公司</w:t>
      </w:r>
    </w:p>
    <w:p w14:paraId="7450A472">
      <w:pPr>
        <w:widowControl/>
        <w:wordWrap w:val="0"/>
        <w:snapToGrid w:val="0"/>
        <w:spacing w:line="480" w:lineRule="auto"/>
        <w:ind w:firstLine="64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2025</w:t>
      </w:r>
      <w:r>
        <w:rPr>
          <w:rFonts w:hint="eastAsia" w:ascii="宋体" w:hAnsi="宋体" w:eastAsia="宋体" w:cs="宋体"/>
          <w:color w:val="auto"/>
          <w:kern w:val="0"/>
          <w:szCs w:val="21"/>
          <w:highlight w:val="none"/>
        </w:rPr>
        <w:t xml:space="preserve">年 </w:t>
      </w:r>
      <w:r>
        <w:rPr>
          <w:rFonts w:hint="eastAsia" w:ascii="宋体" w:hAnsi="宋体" w:cs="宋体"/>
          <w:color w:val="auto"/>
          <w:kern w:val="0"/>
          <w:szCs w:val="21"/>
          <w:highlight w:val="none"/>
          <w:lang w:val="en-US" w:eastAsia="zh-CN"/>
        </w:rPr>
        <w:t>12</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月 </w:t>
      </w:r>
      <w:r>
        <w:rPr>
          <w:rFonts w:hint="eastAsia" w:ascii="宋体" w:hAnsi="宋体" w:eastAsia="宋体" w:cs="宋体"/>
          <w:color w:val="auto"/>
          <w:kern w:val="0"/>
          <w:szCs w:val="21"/>
          <w:highlight w:val="none"/>
          <w:lang w:val="en-US" w:eastAsia="zh-CN"/>
        </w:rPr>
        <w:t xml:space="preserve"> </w:t>
      </w:r>
      <w:r>
        <w:rPr>
          <w:rFonts w:hint="eastAsia" w:ascii="宋体" w:hAnsi="宋体" w:cs="宋体"/>
          <w:color w:val="auto"/>
          <w:kern w:val="0"/>
          <w:szCs w:val="21"/>
          <w:highlight w:val="none"/>
          <w:lang w:val="en-US" w:eastAsia="zh-CN"/>
        </w:rPr>
        <w:t xml:space="preserve">10 </w:t>
      </w:r>
      <w:r>
        <w:rPr>
          <w:rFonts w:hint="eastAsia" w:ascii="宋体" w:hAnsi="宋体" w:eastAsia="宋体" w:cs="宋体"/>
          <w:color w:val="auto"/>
          <w:kern w:val="0"/>
          <w:szCs w:val="21"/>
          <w:highlight w:val="none"/>
        </w:rPr>
        <w:t xml:space="preserve">日     </w:t>
      </w:r>
    </w:p>
    <w:p w14:paraId="30431EF3">
      <w:pPr>
        <w:widowControl/>
        <w:numPr>
          <w:ilvl w:val="0"/>
          <w:numId w:val="1"/>
        </w:numPr>
        <w:snapToGrid w:val="0"/>
        <w:spacing w:line="360" w:lineRule="auto"/>
        <w:jc w:val="center"/>
        <w:rPr>
          <w:rFonts w:hint="eastAsia" w:ascii="宋体" w:hAnsi="宋体" w:eastAsia="宋体" w:cs="宋体"/>
          <w:color w:val="auto"/>
          <w:sz w:val="32"/>
          <w:highlight w:val="none"/>
        </w:rPr>
      </w:pPr>
      <w:r>
        <w:rPr>
          <w:rFonts w:hint="eastAsia" w:ascii="宋体" w:hAnsi="宋体" w:eastAsia="宋体" w:cs="宋体"/>
          <w:b/>
          <w:bCs/>
          <w:color w:val="auto"/>
          <w:sz w:val="24"/>
          <w:highlight w:val="none"/>
        </w:rPr>
        <w:br w:type="page"/>
      </w:r>
      <w:r>
        <w:rPr>
          <w:rFonts w:hint="eastAsia" w:ascii="宋体" w:hAnsi="宋体" w:eastAsia="宋体" w:cs="宋体"/>
          <w:color w:val="auto"/>
          <w:sz w:val="32"/>
          <w:highlight w:val="none"/>
        </w:rPr>
        <w:t>投标前须知</w:t>
      </w:r>
    </w:p>
    <w:p w14:paraId="1441C073">
      <w:pPr>
        <w:widowControl/>
        <w:snapToGrid w:val="0"/>
        <w:spacing w:line="360" w:lineRule="auto"/>
        <w:ind w:firstLine="367" w:firstLineChars="175"/>
        <w:rPr>
          <w:rFonts w:hint="eastAsia" w:ascii="宋体" w:hAnsi="宋体" w:eastAsia="宋体" w:cs="宋体"/>
          <w:b/>
          <w:bCs/>
          <w:color w:val="auto"/>
          <w:kern w:val="0"/>
          <w:szCs w:val="21"/>
          <w:highlight w:val="none"/>
        </w:rPr>
      </w:pPr>
      <w:r>
        <w:rPr>
          <w:rFonts w:hint="eastAsia" w:ascii="宋体" w:hAnsi="宋体" w:eastAsia="宋体" w:cs="宋体"/>
          <w:color w:val="auto"/>
          <w:kern w:val="0"/>
          <w:szCs w:val="21"/>
          <w:highlight w:val="none"/>
        </w:rPr>
        <w:t>一、</w:t>
      </w:r>
      <w:r>
        <w:rPr>
          <w:rFonts w:hint="eastAsia" w:ascii="宋体" w:hAnsi="宋体" w:eastAsia="宋体" w:cs="宋体"/>
          <w:b/>
          <w:bCs/>
          <w:color w:val="auto"/>
          <w:kern w:val="0"/>
          <w:szCs w:val="21"/>
          <w:highlight w:val="none"/>
        </w:rPr>
        <w:t>投标人要求：</w:t>
      </w:r>
    </w:p>
    <w:p w14:paraId="3FD0283A">
      <w:pPr>
        <w:widowControl/>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1、中华人民共和国境内注册的有合法经营资格的国内独立法人，具有独立承担民事责任的能力。</w:t>
      </w:r>
    </w:p>
    <w:p w14:paraId="3EBF2BC8">
      <w:pPr>
        <w:widowControl/>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2、满足《中华人民共和国政府采购法》第二十二条之规定。</w:t>
      </w:r>
    </w:p>
    <w:p w14:paraId="69D1B75F">
      <w:pPr>
        <w:widowControl/>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b/>
          <w:bCs/>
          <w:color w:val="auto"/>
          <w:kern w:val="0"/>
          <w:szCs w:val="21"/>
          <w:highlight w:val="none"/>
        </w:rPr>
        <w:t>资质要求：</w:t>
      </w:r>
      <w:r>
        <w:rPr>
          <w:rFonts w:hint="eastAsia" w:ascii="宋体" w:hAnsi="宋体" w:eastAsia="宋体" w:cs="宋体"/>
          <w:b/>
          <w:bCs/>
          <w:color w:val="auto"/>
          <w:szCs w:val="21"/>
          <w:highlight w:val="none"/>
        </w:rPr>
        <w:t>具备劳务不分等级资质</w:t>
      </w:r>
      <w:r>
        <w:rPr>
          <w:rFonts w:hint="eastAsia" w:ascii="宋体" w:hAnsi="宋体" w:eastAsia="宋体" w:cs="宋体"/>
          <w:b/>
          <w:bCs/>
          <w:color w:val="auto"/>
          <w:kern w:val="0"/>
          <w:szCs w:val="21"/>
          <w:highlight w:val="none"/>
        </w:rPr>
        <w:t>。</w:t>
      </w:r>
    </w:p>
    <w:p w14:paraId="2A0A801E">
      <w:pPr>
        <w:widowControl/>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4、具备有效的安全生产许可证。</w:t>
      </w:r>
    </w:p>
    <w:p w14:paraId="069C4DF3">
      <w:pPr>
        <w:widowControl/>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5、本次采购不接受联合体投标。</w:t>
      </w:r>
    </w:p>
    <w:p w14:paraId="25C8DE83">
      <w:pPr>
        <w:widowControl/>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6、投标人应是公司库内的合格供应商。或当投标人为采购人供应商库外单位时，应经过采购人采购小组在合作意愿、公司实力、团队能力、履约能力等方面进行综合评价，综合评分合格后，方可接受其投标。</w:t>
      </w:r>
    </w:p>
    <w:p w14:paraId="5FB70711">
      <w:pPr>
        <w:widowControl/>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7、凡自采购公告发布之日起前半年内被采购人履约评价为不合格的不得参与本项目。</w:t>
      </w:r>
    </w:p>
    <w:p w14:paraId="03E1870D">
      <w:pPr>
        <w:widowControl/>
        <w:snapToGrid w:val="0"/>
        <w:spacing w:line="360" w:lineRule="auto"/>
        <w:ind w:firstLine="369" w:firstLineChars="175"/>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二、踏勘现场：</w:t>
      </w:r>
    </w:p>
    <w:p w14:paraId="17A0DB42">
      <w:pPr>
        <w:widowControl/>
        <w:snapToGrid w:val="0"/>
        <w:spacing w:line="360" w:lineRule="auto"/>
        <w:ind w:firstLine="369" w:firstLineChars="175"/>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该项目需进行踏勘现场，请投标人于不少于投标截止日期一个日历天之前联系采购人到实地踏勘考察</w:t>
      </w:r>
      <w:r>
        <w:rPr>
          <w:rFonts w:hint="eastAsia" w:ascii="宋体" w:hAnsi="宋体" w:eastAsia="宋体" w:cs="宋体"/>
          <w:b/>
          <w:bCs/>
          <w:color w:val="auto"/>
          <w:kern w:val="0"/>
          <w:szCs w:val="21"/>
          <w:highlight w:val="none"/>
          <w:lang w:eastAsia="zh-CN"/>
        </w:rPr>
        <w:t>，</w:t>
      </w:r>
      <w:r>
        <w:rPr>
          <w:rFonts w:hint="eastAsia" w:ascii="宋体" w:hAnsi="宋体" w:eastAsia="宋体" w:cs="宋体"/>
          <w:strike w:val="0"/>
          <w:dstrike w:val="0"/>
          <w:color w:val="auto"/>
          <w:kern w:val="0"/>
          <w:szCs w:val="21"/>
          <w:highlight w:val="none"/>
        </w:rPr>
        <w:t>并领取现场踏勘证明及施工图纸等相关资料。如因投标人于本采购开标前未到现场踏勘，不得参与投标。</w:t>
      </w:r>
    </w:p>
    <w:p w14:paraId="11B257B0">
      <w:pPr>
        <w:widowControl/>
        <w:numPr>
          <w:ilvl w:val="0"/>
          <w:numId w:val="2"/>
        </w:numPr>
        <w:snapToGrid w:val="0"/>
        <w:spacing w:line="360" w:lineRule="auto"/>
        <w:ind w:firstLine="367" w:firstLineChars="17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合同签订时间：由中标人收到中标通知书后（30天内），与采购人签订合同。</w:t>
      </w:r>
    </w:p>
    <w:p w14:paraId="756147C5">
      <w:pPr>
        <w:widowControl/>
        <w:numPr>
          <w:ilvl w:val="0"/>
          <w:numId w:val="0"/>
        </w:numPr>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lang w:val="en-US" w:eastAsia="zh-CN"/>
        </w:rPr>
        <w:t>本工程要求开具工人工资支付保函：</w:t>
      </w:r>
      <w:r>
        <w:rPr>
          <w:rFonts w:hint="eastAsia" w:ascii="宋体" w:hAnsi="宋体" w:eastAsia="宋体" w:cs="宋体"/>
          <w:color w:val="auto"/>
          <w:kern w:val="0"/>
          <w:szCs w:val="21"/>
          <w:highlight w:val="none"/>
          <w:lang w:val="en-US" w:eastAsia="zh-CN"/>
        </w:rPr>
        <w:t>劳务施工单位需要提供合同总额10%的工人工资支付保函。</w:t>
      </w:r>
    </w:p>
    <w:p w14:paraId="1C6147FE">
      <w:pPr>
        <w:widowControl/>
        <w:numPr>
          <w:ilvl w:val="0"/>
          <w:numId w:val="2"/>
        </w:numPr>
        <w:snapToGrid w:val="0"/>
        <w:spacing w:line="360" w:lineRule="auto"/>
        <w:ind w:firstLine="367" w:firstLineChars="175"/>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结算原则：（详见第四部分合同文件）</w:t>
      </w:r>
    </w:p>
    <w:p w14:paraId="05677C02">
      <w:pPr>
        <w:widowControl/>
        <w:numPr>
          <w:ilvl w:val="0"/>
          <w:numId w:val="2"/>
        </w:numPr>
        <w:snapToGrid w:val="0"/>
        <w:spacing w:line="360" w:lineRule="auto"/>
        <w:ind w:firstLine="367" w:firstLineChars="175"/>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工程付款方式：（详见第四部分合同文件）</w:t>
      </w:r>
      <w:r>
        <w:rPr>
          <w:rFonts w:hint="eastAsia" w:ascii="宋体" w:hAnsi="宋体" w:eastAsia="宋体" w:cs="宋体"/>
          <w:color w:val="auto"/>
          <w:szCs w:val="21"/>
          <w:highlight w:val="none"/>
        </w:rPr>
        <w:t>。</w:t>
      </w:r>
    </w:p>
    <w:p w14:paraId="4944A020">
      <w:pPr>
        <w:widowControl/>
        <w:snapToGrid w:val="0"/>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六、投标文件份数：商务部分正本</w:t>
      </w:r>
      <w:r>
        <w:rPr>
          <w:rFonts w:hint="eastAsia" w:ascii="宋体" w:hAnsi="宋体" w:eastAsia="宋体" w:cs="宋体"/>
          <w:bCs/>
          <w:color w:val="auto"/>
          <w:kern w:val="0"/>
          <w:szCs w:val="21"/>
          <w:highlight w:val="none"/>
          <w:u w:val="single"/>
        </w:rPr>
        <w:t>1</w:t>
      </w:r>
      <w:r>
        <w:rPr>
          <w:rFonts w:hint="eastAsia" w:ascii="宋体" w:hAnsi="宋体" w:eastAsia="宋体" w:cs="宋体"/>
          <w:bCs/>
          <w:color w:val="auto"/>
          <w:kern w:val="0"/>
          <w:szCs w:val="21"/>
          <w:highlight w:val="none"/>
        </w:rPr>
        <w:t>份，副本</w:t>
      </w:r>
      <w:r>
        <w:rPr>
          <w:rFonts w:hint="eastAsia" w:ascii="宋体" w:hAnsi="宋体" w:eastAsia="宋体" w:cs="宋体"/>
          <w:bCs/>
          <w:color w:val="auto"/>
          <w:kern w:val="0"/>
          <w:szCs w:val="21"/>
          <w:highlight w:val="none"/>
          <w:u w:val="single"/>
        </w:rPr>
        <w:t>1</w:t>
      </w:r>
      <w:r>
        <w:rPr>
          <w:rFonts w:hint="eastAsia" w:ascii="宋体" w:hAnsi="宋体" w:eastAsia="宋体" w:cs="宋体"/>
          <w:bCs/>
          <w:color w:val="auto"/>
          <w:kern w:val="0"/>
          <w:szCs w:val="21"/>
          <w:highlight w:val="none"/>
        </w:rPr>
        <w:t>份，电子版本1份（包含签字盖章版PDF扫描投标文件、报价清单Excel版本，以U盘存储提交），技术部分由中标人对现场进行详细勘查后提供给采购人。</w:t>
      </w:r>
    </w:p>
    <w:p w14:paraId="496FC54B">
      <w:pPr>
        <w:widowControl/>
        <w:snapToGrid w:val="0"/>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七、定标方式：最低价法（有效标中不含税价格最低者为中标单位）。</w:t>
      </w:r>
    </w:p>
    <w:p w14:paraId="570C5F1C">
      <w:pPr>
        <w:widowControl/>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八、投标有效期：投标有效期为投标截止时间至其后的90天。</w:t>
      </w:r>
    </w:p>
    <w:p w14:paraId="1E305C50">
      <w:pPr>
        <w:widowControl/>
        <w:snapToGrid w:val="0"/>
        <w:spacing w:line="360" w:lineRule="auto"/>
        <w:ind w:firstLine="420" w:firstLineChars="200"/>
        <w:rPr>
          <w:rFonts w:hint="default" w:ascii="宋体" w:hAnsi="宋体" w:eastAsia="宋体" w:cs="宋体"/>
          <w:color w:val="auto"/>
          <w:szCs w:val="21"/>
          <w:highlight w:val="none"/>
          <w:lang w:val="en-US"/>
        </w:rPr>
      </w:pPr>
      <w:r>
        <w:rPr>
          <w:rFonts w:hint="eastAsia" w:ascii="宋体" w:hAnsi="宋体" w:eastAsia="宋体" w:cs="宋体"/>
          <w:color w:val="auto"/>
          <w:kern w:val="0"/>
          <w:szCs w:val="21"/>
          <w:highlight w:val="none"/>
        </w:rPr>
        <w:t xml:space="preserve">九、如需勘察现场请联系采购人项目负责人 </w:t>
      </w:r>
      <w:r>
        <w:rPr>
          <w:rFonts w:hint="eastAsia" w:ascii="宋体" w:hAnsi="宋体" w:eastAsia="宋体" w:cs="宋体"/>
          <w:color w:val="auto"/>
          <w:kern w:val="2"/>
          <w:sz w:val="21"/>
          <w:szCs w:val="21"/>
          <w:highlight w:val="none"/>
          <w:lang w:val="en-US" w:eastAsia="zh-CN" w:bidi="ar"/>
        </w:rPr>
        <w:t>陈工  134-3110-9621</w:t>
      </w:r>
    </w:p>
    <w:p w14:paraId="064EA65B">
      <w:pPr>
        <w:widowControl/>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十、</w:t>
      </w:r>
      <w:r>
        <w:rPr>
          <w:rFonts w:hint="eastAsia" w:ascii="宋体" w:hAnsi="宋体" w:eastAsia="宋体" w:cs="宋体"/>
          <w:color w:val="auto"/>
          <w:szCs w:val="21"/>
          <w:highlight w:val="none"/>
        </w:rPr>
        <w:t>否决投标规定：</w:t>
      </w:r>
    </w:p>
    <w:p w14:paraId="0F4387EB">
      <w:pPr>
        <w:widowControl/>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（1）投标文件未密封和未按本采购文件要求装订的；</w:t>
      </w:r>
    </w:p>
    <w:p w14:paraId="50D666E9">
      <w:pPr>
        <w:widowControl/>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（2）未按投标文件要求编制、未按采购文件要求递交附件资料、签字和盖章的；</w:t>
      </w:r>
    </w:p>
    <w:p w14:paraId="7E6E9D58">
      <w:pPr>
        <w:widowControl/>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（3）投标文件字迹模糊、无法辨认的；</w:t>
      </w:r>
    </w:p>
    <w:p w14:paraId="32B5D65C">
      <w:pPr>
        <w:widowControl/>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（4）投标文件中的投标报价高于投标最高限价；</w:t>
      </w:r>
    </w:p>
    <w:p w14:paraId="4F7D0033">
      <w:pPr>
        <w:widowControl/>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（5）投标文件没有对采购文件做出实质性响应；</w:t>
      </w:r>
    </w:p>
    <w:p w14:paraId="410B6C8F">
      <w:pPr>
        <w:widowControl/>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eastAsia="宋体" w:cs="宋体"/>
          <w:color w:val="auto"/>
          <w:kern w:val="0"/>
          <w:szCs w:val="21"/>
          <w:highlight w:val="none"/>
        </w:rPr>
        <w:t>投标文件没按采购文件第三部分格式要求编写。（不可装订与该项目无相关的资料）</w:t>
      </w:r>
      <w:r>
        <w:rPr>
          <w:rFonts w:hint="eastAsia" w:ascii="宋体" w:hAnsi="宋体" w:eastAsia="宋体" w:cs="宋体"/>
          <w:color w:val="auto"/>
          <w:szCs w:val="21"/>
          <w:highlight w:val="none"/>
        </w:rPr>
        <w:t>投标文件里有出现采购文件规定以外的标记；</w:t>
      </w:r>
    </w:p>
    <w:p w14:paraId="33C83D98">
      <w:pPr>
        <w:widowControl/>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（7）采购文件要求编制已标价的工程量清单时，投标人更改或删除工程量清单综合单价报价表内的项目或工程量，或工程量清单综合单价报价表缺页；</w:t>
      </w:r>
    </w:p>
    <w:p w14:paraId="61B441F9">
      <w:pPr>
        <w:widowControl/>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在开评标过程中，若采购人认为某投标人的报价明显低于其他投标报价或可能明显存在低于成本报价恶意竞标的情况，采购人有权要求该投标人作出书面说明，并提供相关证明材料。投标人不能合理说明或者不能提供相关证明材料的，由采购人认定该投标人以低于成本报价恶意竞标，应当否决其投标；</w:t>
      </w:r>
    </w:p>
    <w:p w14:paraId="61F818DA">
      <w:pPr>
        <w:widowControl/>
        <w:snapToGrid w:val="0"/>
        <w:spacing w:line="440" w:lineRule="exact"/>
        <w:ind w:firstLine="422" w:firstLineChars="200"/>
        <w:rPr>
          <w:rFonts w:hint="eastAsia" w:ascii="宋体" w:hAnsi="宋体" w:eastAsia="宋体" w:cs="宋体"/>
          <w:b/>
          <w:bCs/>
          <w:color w:val="auto"/>
          <w:kern w:val="0"/>
          <w:szCs w:val="21"/>
          <w:highlight w:val="none"/>
        </w:rPr>
      </w:pPr>
      <w:r>
        <w:rPr>
          <w:rFonts w:hint="eastAsia" w:ascii="宋体" w:hAnsi="宋体" w:eastAsia="宋体" w:cs="宋体"/>
          <w:b/>
          <w:bCs/>
          <w:color w:val="auto"/>
          <w:szCs w:val="21"/>
          <w:highlight w:val="none"/>
        </w:rPr>
        <w:t>十一、重新采购和不再采购</w:t>
      </w:r>
    </w:p>
    <w:p w14:paraId="7A5A320E">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有下列情形之一的，采购人可不再重新采购：</w:t>
      </w:r>
    </w:p>
    <w:p w14:paraId="29D6175B">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）经评议有效投标的投标人数量不足3个的；</w:t>
      </w:r>
    </w:p>
    <w:p w14:paraId="6A0D64B4">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）采购制度规定的其他采购失败情形的。</w:t>
      </w:r>
    </w:p>
    <w:p w14:paraId="5DACD579">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出现上述情形后，由采购小组根据实际情况对本次采购作出延缓采购工作或转为谈判(有效投标的投标人数量2个)、直接委托(有效投标的投标人数量1个)等方式。</w:t>
      </w:r>
    </w:p>
    <w:p w14:paraId="5DC0EA87">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谈判程序为：采购小组集中与单一投标单位分别进行谈判，并进行二次报价，谈判过程中的任何一方不得透露与谈判有关的其它投标单位的技术资料、价格或其它信息。</w:t>
      </w:r>
    </w:p>
    <w:p w14:paraId="7B45B155">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谈判定标方式：最终价低者（</w:t>
      </w:r>
      <w:r>
        <w:rPr>
          <w:rFonts w:hint="eastAsia" w:ascii="宋体" w:hAnsi="宋体" w:eastAsia="宋体" w:cs="宋体"/>
          <w:bCs/>
          <w:color w:val="auto"/>
          <w:kern w:val="0"/>
          <w:szCs w:val="21"/>
          <w:highlight w:val="none"/>
        </w:rPr>
        <w:t>不含税价格最低者为中标单位）</w:t>
      </w:r>
      <w:r>
        <w:rPr>
          <w:rFonts w:hint="eastAsia" w:ascii="宋体" w:hAnsi="宋体" w:eastAsia="宋体" w:cs="宋体"/>
          <w:color w:val="auto"/>
          <w:szCs w:val="21"/>
          <w:highlight w:val="none"/>
        </w:rPr>
        <w:t>。</w:t>
      </w:r>
    </w:p>
    <w:p w14:paraId="2F1CF3A2">
      <w:pPr>
        <w:widowControl/>
        <w:snapToGrid w:val="0"/>
        <w:spacing w:line="44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十二、报价相同情况处理</w:t>
      </w:r>
    </w:p>
    <w:p w14:paraId="1DDB7B0F">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如果有两个或以上的投标人的报价相同且同为最低报价时，则报价相同且同为最低报价的投标人进行二轮或多轮报价，直至确定有且仅有一家投标人为最低报价，确定报价最低者为中标单位。</w:t>
      </w:r>
    </w:p>
    <w:p w14:paraId="1B9B05EC">
      <w:pPr>
        <w:widowControl/>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十三、不平衡报价</w:t>
      </w:r>
    </w:p>
    <w:p w14:paraId="6A5AA905">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应对工程量清单的单价按国家相关定额进行均衡报价，不得将先期施工的项目报价过高，而将后期施工的项目报价过低；也不得将可能增加工程量的项目报价过高，而将可能减少工程量的项目报价过低。对于变更增减工程中对应工程项目存在严重不平衡报价时，变更增减工程应按调整后的单价执行。严重不平衡报价的应当按如下原则进行修正和处理：投标人投标价分部分项清单项目填报的综合单价(P0)与发包人采购控制价或预算价相应清单项目的综合单价(P1)偏差超过一定幅度时，即当PO&lt;P1X (1-L) X (1-15%)或PO&gt;P1X (1+15%)时［L为报价浮动率，L= (1 一中标价/采购控制价)X100%,上式中中标价、采购控制价均不含安全防护、文明施工措施等单列费］,投标人填报的综合单价P0视为严重不平衡报价。</w:t>
      </w:r>
    </w:p>
    <w:p w14:paraId="043D9E93">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2、严重不平衡报价应按照如下规定调整：</w:t>
      </w:r>
    </w:p>
    <w:p w14:paraId="3444AE46">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1）当P0&lt;PlX(l-L)X(l-15%)时，该类项目的综合单价按照PlX(l-L)X(l-15%)调整。</w:t>
      </w:r>
    </w:p>
    <w:p w14:paraId="2D03E586">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2）当PO&gt;P1X(1+15%)时，该类项目的综合单价按照P1X (1+15%)调整。</w:t>
      </w:r>
    </w:p>
    <w:p w14:paraId="7FFE9D4E">
      <w:pPr>
        <w:widowControl/>
        <w:snapToGrid w:val="0"/>
        <w:spacing w:line="44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3、调整后的综合单价只是作为变更增减工程结算单价的依据，合同内完成工程量价款的计价应按调整前承包人投标单价执行。</w:t>
      </w:r>
    </w:p>
    <w:p w14:paraId="6BF24AC6">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2E35146A">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5E29A41B">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559F8212">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4DF245FE">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008374FD">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25E9F96F">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16C5D6C0">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3F3D377B">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07501B17">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25CF1823">
      <w:pPr>
        <w:widowControl/>
        <w:snapToGrid w:val="0"/>
        <w:spacing w:line="360" w:lineRule="auto"/>
        <w:ind w:firstLine="803" w:firstLineChars="250"/>
        <w:jc w:val="center"/>
        <w:rPr>
          <w:rFonts w:hint="eastAsia" w:ascii="宋体" w:hAnsi="宋体" w:eastAsia="宋体" w:cs="宋体"/>
          <w:b/>
          <w:bCs/>
          <w:color w:val="auto"/>
          <w:sz w:val="32"/>
          <w:highlight w:val="none"/>
        </w:rPr>
      </w:pPr>
    </w:p>
    <w:p w14:paraId="729BD6A5">
      <w:pPr>
        <w:widowControl/>
        <w:snapToGrid w:val="0"/>
        <w:spacing w:line="360" w:lineRule="auto"/>
        <w:ind w:firstLine="803" w:firstLineChars="250"/>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第三部分 投标文件（格式）</w:t>
      </w:r>
    </w:p>
    <w:p w14:paraId="5A549DE2">
      <w:pPr>
        <w:widowControl/>
        <w:spacing w:line="360" w:lineRule="auto"/>
        <w:jc w:val="center"/>
        <w:rPr>
          <w:rFonts w:hint="eastAsia" w:ascii="宋体" w:hAnsi="宋体" w:eastAsia="宋体" w:cs="宋体"/>
          <w:color w:val="auto"/>
          <w:kern w:val="0"/>
          <w:sz w:val="84"/>
          <w:szCs w:val="20"/>
          <w:highlight w:val="none"/>
        </w:rPr>
      </w:pPr>
      <w:r>
        <w:rPr>
          <w:rFonts w:hint="eastAsia" w:ascii="宋体" w:hAnsi="宋体" w:eastAsia="宋体" w:cs="宋体"/>
          <w:color w:val="auto"/>
          <w:kern w:val="0"/>
          <w:sz w:val="84"/>
          <w:szCs w:val="20"/>
          <w:highlight w:val="none"/>
        </w:rPr>
        <w:br w:type="page"/>
      </w:r>
      <w:bookmarkStart w:id="2" w:name="_Toc371174877"/>
      <w:bookmarkStart w:id="3" w:name="_Toc367273960"/>
      <w:bookmarkStart w:id="4" w:name="_Toc289852510"/>
      <w:bookmarkStart w:id="5" w:name="_Toc417479595"/>
      <w:bookmarkStart w:id="6" w:name="_Toc222777564"/>
      <w:bookmarkStart w:id="7" w:name="_Toc309224393"/>
      <w:bookmarkStart w:id="8" w:name="_Toc206142697"/>
      <w:bookmarkStart w:id="9" w:name="_Toc369339230"/>
      <w:bookmarkStart w:id="10" w:name="_Toc188989187"/>
      <w:bookmarkStart w:id="11" w:name="_Toc367273902"/>
      <w:bookmarkStart w:id="12" w:name="_Toc289852512"/>
      <w:bookmarkStart w:id="13" w:name="_Toc222777565"/>
      <w:bookmarkStart w:id="14" w:name="_Toc206142698"/>
      <w:bookmarkStart w:id="15" w:name="_Toc188989188"/>
      <w:bookmarkStart w:id="16" w:name="_Toc417479598"/>
      <w:bookmarkStart w:id="17" w:name="_Toc395016248"/>
    </w:p>
    <w:p w14:paraId="18B9A5A8">
      <w:pPr>
        <w:widowControl/>
        <w:spacing w:line="360" w:lineRule="auto"/>
        <w:jc w:val="center"/>
        <w:rPr>
          <w:rFonts w:hint="eastAsia" w:ascii="宋体" w:hAnsi="宋体" w:eastAsia="宋体" w:cs="宋体"/>
          <w:color w:val="auto"/>
          <w:kern w:val="0"/>
          <w:sz w:val="84"/>
          <w:szCs w:val="20"/>
          <w:highlight w:val="none"/>
        </w:rPr>
      </w:pPr>
    </w:p>
    <w:p w14:paraId="62908B9F">
      <w:pPr>
        <w:widowControl/>
        <w:spacing w:line="360" w:lineRule="auto"/>
        <w:jc w:val="center"/>
        <w:rPr>
          <w:rFonts w:hint="eastAsia" w:ascii="宋体" w:hAnsi="宋体" w:eastAsia="宋体" w:cs="宋体"/>
          <w:color w:val="auto"/>
          <w:kern w:val="0"/>
          <w:sz w:val="84"/>
          <w:szCs w:val="20"/>
          <w:highlight w:val="none"/>
        </w:rPr>
      </w:pPr>
      <w:r>
        <w:rPr>
          <w:rFonts w:hint="eastAsia" w:ascii="宋体" w:hAnsi="宋体" w:eastAsia="宋体" w:cs="宋体"/>
          <w:color w:val="auto"/>
          <w:kern w:val="0"/>
          <w:sz w:val="84"/>
          <w:szCs w:val="20"/>
          <w:highlight w:val="none"/>
        </w:rPr>
        <w:t>投  标  文 件</w:t>
      </w:r>
    </w:p>
    <w:p w14:paraId="011F7FBC">
      <w:pPr>
        <w:widowControl/>
        <w:spacing w:line="360" w:lineRule="auto"/>
        <w:ind w:left="980"/>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 xml:space="preserve"> </w:t>
      </w:r>
    </w:p>
    <w:p w14:paraId="5A6C77A1">
      <w:pPr>
        <w:widowControl/>
        <w:spacing w:line="360" w:lineRule="auto"/>
        <w:ind w:left="980"/>
        <w:jc w:val="left"/>
        <w:rPr>
          <w:rFonts w:hint="eastAsia" w:ascii="宋体" w:hAnsi="宋体" w:eastAsia="宋体" w:cs="宋体"/>
          <w:color w:val="auto"/>
          <w:kern w:val="0"/>
          <w:szCs w:val="20"/>
          <w:highlight w:val="none"/>
        </w:rPr>
      </w:pPr>
    </w:p>
    <w:p w14:paraId="59ECE1D1">
      <w:pPr>
        <w:widowControl/>
        <w:spacing w:line="360" w:lineRule="auto"/>
        <w:ind w:left="980"/>
        <w:jc w:val="left"/>
        <w:rPr>
          <w:rFonts w:hint="eastAsia" w:ascii="宋体" w:hAnsi="宋体" w:eastAsia="宋体" w:cs="宋体"/>
          <w:color w:val="auto"/>
          <w:kern w:val="0"/>
          <w:szCs w:val="20"/>
          <w:highlight w:val="none"/>
        </w:rPr>
      </w:pPr>
    </w:p>
    <w:p w14:paraId="76AC5E79">
      <w:pPr>
        <w:widowControl/>
        <w:spacing w:line="360" w:lineRule="auto"/>
        <w:ind w:left="980"/>
        <w:jc w:val="left"/>
        <w:rPr>
          <w:rFonts w:hint="eastAsia" w:ascii="宋体" w:hAnsi="宋体" w:eastAsia="宋体" w:cs="宋体"/>
          <w:color w:val="auto"/>
          <w:kern w:val="0"/>
          <w:szCs w:val="20"/>
          <w:highlight w:val="none"/>
        </w:rPr>
      </w:pPr>
    </w:p>
    <w:p w14:paraId="38EF98F4">
      <w:pPr>
        <w:widowControl/>
        <w:spacing w:line="360" w:lineRule="auto"/>
        <w:ind w:left="980"/>
        <w:jc w:val="left"/>
        <w:rPr>
          <w:rFonts w:hint="eastAsia" w:ascii="宋体" w:hAnsi="宋体" w:eastAsia="宋体" w:cs="宋体"/>
          <w:color w:val="auto"/>
          <w:kern w:val="0"/>
          <w:szCs w:val="20"/>
          <w:highlight w:val="none"/>
        </w:rPr>
      </w:pPr>
    </w:p>
    <w:p w14:paraId="54EC1269">
      <w:pPr>
        <w:widowControl/>
        <w:spacing w:line="360" w:lineRule="auto"/>
        <w:ind w:left="980"/>
        <w:jc w:val="left"/>
        <w:rPr>
          <w:rFonts w:hint="eastAsia" w:ascii="宋体" w:hAnsi="宋体" w:eastAsia="宋体" w:cs="宋体"/>
          <w:color w:val="auto"/>
          <w:kern w:val="0"/>
          <w:szCs w:val="20"/>
          <w:highlight w:val="none"/>
        </w:rPr>
      </w:pPr>
    </w:p>
    <w:p w14:paraId="2BD25C98">
      <w:pPr>
        <w:widowControl/>
        <w:spacing w:line="360" w:lineRule="auto"/>
        <w:ind w:firstLine="2100" w:firstLineChars="700"/>
        <w:jc w:val="left"/>
        <w:rPr>
          <w:rFonts w:hint="eastAsia" w:ascii="宋体" w:hAnsi="宋体" w:eastAsia="宋体" w:cs="宋体"/>
          <w:color w:val="auto"/>
          <w:kern w:val="0"/>
          <w:sz w:val="30"/>
          <w:szCs w:val="20"/>
          <w:highlight w:val="none"/>
        </w:rPr>
      </w:pPr>
      <w:r>
        <w:rPr>
          <w:rFonts w:hint="eastAsia" w:ascii="宋体" w:hAnsi="宋体" w:eastAsia="宋体" w:cs="宋体"/>
          <w:color w:val="auto"/>
          <w:kern w:val="0"/>
          <w:sz w:val="30"/>
          <w:szCs w:val="20"/>
          <w:highlight w:val="none"/>
        </w:rPr>
        <w:t>采购编号：</w:t>
      </w:r>
      <w:r>
        <w:rPr>
          <w:rFonts w:hint="eastAsia" w:ascii="宋体" w:hAnsi="宋体" w:eastAsia="宋体" w:cs="宋体"/>
          <w:color w:val="auto"/>
          <w:kern w:val="0"/>
          <w:sz w:val="30"/>
          <w:szCs w:val="20"/>
          <w:highlight w:val="none"/>
          <w:u w:val="single"/>
        </w:rPr>
        <w:t xml:space="preserve">                       </w:t>
      </w:r>
    </w:p>
    <w:p w14:paraId="0656EB79">
      <w:pPr>
        <w:widowControl/>
        <w:spacing w:line="360" w:lineRule="auto"/>
        <w:ind w:firstLine="2100" w:firstLineChars="700"/>
        <w:jc w:val="left"/>
        <w:rPr>
          <w:rFonts w:hint="eastAsia" w:ascii="宋体" w:hAnsi="宋体" w:eastAsia="宋体" w:cs="宋体"/>
          <w:color w:val="auto"/>
          <w:kern w:val="0"/>
          <w:sz w:val="30"/>
          <w:szCs w:val="20"/>
          <w:highlight w:val="none"/>
          <w:u w:val="single"/>
        </w:rPr>
      </w:pPr>
      <w:r>
        <w:rPr>
          <w:rFonts w:hint="eastAsia" w:ascii="宋体" w:hAnsi="宋体" w:eastAsia="宋体" w:cs="宋体"/>
          <w:color w:val="auto"/>
          <w:kern w:val="0"/>
          <w:sz w:val="30"/>
          <w:szCs w:val="20"/>
          <w:highlight w:val="none"/>
        </w:rPr>
        <w:t>项目名称：</w:t>
      </w:r>
      <w:r>
        <w:rPr>
          <w:rFonts w:hint="eastAsia" w:ascii="宋体" w:hAnsi="宋体" w:eastAsia="宋体" w:cs="宋体"/>
          <w:color w:val="auto"/>
          <w:kern w:val="0"/>
          <w:sz w:val="30"/>
          <w:szCs w:val="20"/>
          <w:highlight w:val="none"/>
          <w:u w:val="single"/>
        </w:rPr>
        <w:t xml:space="preserve">                       </w:t>
      </w:r>
    </w:p>
    <w:p w14:paraId="264C32A8">
      <w:pPr>
        <w:widowControl/>
        <w:spacing w:line="360" w:lineRule="auto"/>
        <w:ind w:firstLine="2100" w:firstLineChars="700"/>
        <w:jc w:val="left"/>
        <w:rPr>
          <w:rFonts w:hint="eastAsia" w:ascii="宋体" w:hAnsi="宋体" w:eastAsia="宋体" w:cs="宋体"/>
          <w:color w:val="auto"/>
          <w:kern w:val="0"/>
          <w:sz w:val="30"/>
          <w:szCs w:val="20"/>
          <w:highlight w:val="none"/>
        </w:rPr>
      </w:pPr>
      <w:r>
        <w:rPr>
          <w:rFonts w:hint="eastAsia" w:ascii="宋体" w:hAnsi="宋体" w:eastAsia="宋体" w:cs="宋体"/>
          <w:color w:val="auto"/>
          <w:kern w:val="0"/>
          <w:sz w:val="30"/>
          <w:szCs w:val="20"/>
          <w:highlight w:val="none"/>
        </w:rPr>
        <w:t>投标文件内容：</w:t>
      </w:r>
      <w:r>
        <w:rPr>
          <w:rFonts w:hint="eastAsia" w:ascii="宋体" w:hAnsi="宋体" w:eastAsia="宋体" w:cs="宋体"/>
          <w:color w:val="auto"/>
          <w:kern w:val="0"/>
          <w:sz w:val="30"/>
          <w:szCs w:val="20"/>
          <w:highlight w:val="none"/>
          <w:u w:val="single"/>
        </w:rPr>
        <w:t xml:space="preserve">     商务部分      </w:t>
      </w:r>
    </w:p>
    <w:p w14:paraId="5C6F5339">
      <w:pPr>
        <w:widowControl/>
        <w:spacing w:line="360" w:lineRule="auto"/>
        <w:ind w:firstLine="2100" w:firstLineChars="700"/>
        <w:jc w:val="left"/>
        <w:rPr>
          <w:rFonts w:hint="eastAsia" w:ascii="宋体" w:hAnsi="宋体" w:eastAsia="宋体" w:cs="宋体"/>
          <w:color w:val="auto"/>
          <w:kern w:val="0"/>
          <w:sz w:val="30"/>
          <w:szCs w:val="20"/>
          <w:highlight w:val="none"/>
        </w:rPr>
      </w:pPr>
      <w:r>
        <w:rPr>
          <w:rFonts w:hint="eastAsia" w:ascii="宋体" w:hAnsi="宋体" w:eastAsia="宋体" w:cs="宋体"/>
          <w:color w:val="auto"/>
          <w:kern w:val="0"/>
          <w:sz w:val="30"/>
          <w:szCs w:val="20"/>
          <w:highlight w:val="none"/>
        </w:rPr>
        <w:t>采购人：</w:t>
      </w:r>
      <w:r>
        <w:rPr>
          <w:rFonts w:hint="eastAsia" w:ascii="宋体" w:hAnsi="宋体" w:eastAsia="宋体" w:cs="宋体"/>
          <w:color w:val="auto"/>
          <w:kern w:val="0"/>
          <w:sz w:val="30"/>
          <w:szCs w:val="20"/>
          <w:highlight w:val="none"/>
          <w:u w:val="single"/>
        </w:rPr>
        <w:t xml:space="preserve">                         </w:t>
      </w:r>
    </w:p>
    <w:p w14:paraId="4DEFA11A">
      <w:pPr>
        <w:widowControl/>
        <w:spacing w:line="360" w:lineRule="auto"/>
        <w:ind w:firstLine="2100" w:firstLineChars="700"/>
        <w:jc w:val="left"/>
        <w:rPr>
          <w:rFonts w:hint="eastAsia" w:ascii="宋体" w:hAnsi="宋体" w:eastAsia="宋体" w:cs="宋体"/>
          <w:color w:val="auto"/>
          <w:kern w:val="0"/>
          <w:sz w:val="30"/>
          <w:szCs w:val="20"/>
          <w:highlight w:val="none"/>
          <w:u w:val="single"/>
        </w:rPr>
      </w:pPr>
      <w:r>
        <w:rPr>
          <w:rFonts w:hint="eastAsia" w:ascii="宋体" w:hAnsi="宋体" w:eastAsia="宋体" w:cs="宋体"/>
          <w:color w:val="auto"/>
          <w:kern w:val="0"/>
          <w:sz w:val="30"/>
          <w:szCs w:val="20"/>
          <w:highlight w:val="none"/>
        </w:rPr>
        <w:t>投标人：</w:t>
      </w:r>
      <w:r>
        <w:rPr>
          <w:rFonts w:hint="eastAsia" w:ascii="宋体" w:hAnsi="宋体" w:eastAsia="宋体" w:cs="宋体"/>
          <w:color w:val="auto"/>
          <w:kern w:val="0"/>
          <w:sz w:val="30"/>
          <w:szCs w:val="20"/>
          <w:highlight w:val="none"/>
          <w:u w:val="single"/>
        </w:rPr>
        <w:t xml:space="preserve">       （盖公司法人公章）</w:t>
      </w:r>
    </w:p>
    <w:p w14:paraId="2ED25264">
      <w:pPr>
        <w:widowControl/>
        <w:spacing w:line="360" w:lineRule="auto"/>
        <w:ind w:firstLine="2100" w:firstLineChars="700"/>
        <w:jc w:val="left"/>
        <w:rPr>
          <w:rFonts w:hint="eastAsia" w:ascii="宋体" w:hAnsi="宋体" w:eastAsia="宋体" w:cs="宋体"/>
          <w:color w:val="auto"/>
          <w:kern w:val="0"/>
          <w:sz w:val="30"/>
          <w:szCs w:val="20"/>
          <w:highlight w:val="none"/>
        </w:rPr>
      </w:pPr>
      <w:r>
        <w:rPr>
          <w:rFonts w:hint="eastAsia" w:ascii="宋体" w:hAnsi="宋体" w:eastAsia="宋体" w:cs="宋体"/>
          <w:color w:val="auto"/>
          <w:kern w:val="0"/>
          <w:sz w:val="30"/>
          <w:szCs w:val="20"/>
          <w:highlight w:val="none"/>
        </w:rPr>
        <w:t>日  期：</w:t>
      </w:r>
      <w:r>
        <w:rPr>
          <w:rFonts w:hint="eastAsia" w:ascii="宋体" w:hAnsi="宋体" w:eastAsia="宋体" w:cs="宋体"/>
          <w:color w:val="auto"/>
          <w:kern w:val="0"/>
          <w:sz w:val="30"/>
          <w:szCs w:val="20"/>
          <w:highlight w:val="none"/>
          <w:u w:val="single"/>
        </w:rPr>
        <w:t xml:space="preserve">          年     月    日</w:t>
      </w:r>
    </w:p>
    <w:p w14:paraId="5F230CDD">
      <w:pPr>
        <w:widowControl/>
        <w:spacing w:line="360" w:lineRule="auto"/>
        <w:ind w:firstLine="2100" w:firstLineChars="700"/>
        <w:jc w:val="left"/>
        <w:rPr>
          <w:rFonts w:hint="eastAsia" w:ascii="宋体" w:hAnsi="宋体" w:eastAsia="宋体" w:cs="宋体"/>
          <w:color w:val="auto"/>
          <w:kern w:val="0"/>
          <w:sz w:val="30"/>
          <w:szCs w:val="20"/>
          <w:highlight w:val="none"/>
        </w:rPr>
      </w:pPr>
    </w:p>
    <w:p w14:paraId="38FC76DD">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2D51342B">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br w:type="page"/>
      </w:r>
      <w:r>
        <w:rPr>
          <w:rFonts w:hint="eastAsia" w:ascii="宋体" w:hAnsi="宋体" w:eastAsia="宋体" w:cs="宋体"/>
          <w:b/>
          <w:color w:val="auto"/>
          <w:sz w:val="32"/>
          <w:szCs w:val="20"/>
          <w:highlight w:val="none"/>
        </w:rPr>
        <w:t xml:space="preserve">附件1：         </w:t>
      </w:r>
    </w:p>
    <w:p w14:paraId="47ABED89">
      <w:pPr>
        <w:keepNext/>
        <w:keepLines/>
        <w:tabs>
          <w:tab w:val="left" w:pos="720"/>
        </w:tabs>
        <w:spacing w:before="260" w:after="260" w:line="413" w:lineRule="auto"/>
        <w:jc w:val="center"/>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法定代表人身份证明书</w:t>
      </w:r>
      <w:bookmarkEnd w:id="2"/>
      <w:bookmarkEnd w:id="3"/>
      <w:bookmarkEnd w:id="4"/>
      <w:bookmarkEnd w:id="5"/>
      <w:bookmarkEnd w:id="6"/>
      <w:bookmarkEnd w:id="7"/>
      <w:bookmarkEnd w:id="8"/>
      <w:bookmarkEnd w:id="9"/>
      <w:bookmarkEnd w:id="10"/>
      <w:bookmarkEnd w:id="11"/>
    </w:p>
    <w:p w14:paraId="023E5821">
      <w:pPr>
        <w:spacing w:line="360" w:lineRule="auto"/>
        <w:rPr>
          <w:rFonts w:hint="eastAsia" w:ascii="宋体" w:hAnsi="宋体" w:eastAsia="宋体" w:cs="宋体"/>
          <w:b/>
          <w:color w:val="auto"/>
          <w:highlight w:val="none"/>
        </w:rPr>
      </w:pPr>
    </w:p>
    <w:p w14:paraId="78DBE6B6">
      <w:pPr>
        <w:ind w:firstLine="612"/>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76ED7132">
      <w:pPr>
        <w:ind w:firstLine="612"/>
        <w:rPr>
          <w:rFonts w:hint="eastAsia" w:ascii="宋体" w:hAnsi="宋体" w:eastAsia="宋体" w:cs="宋体"/>
          <w:color w:val="auto"/>
          <w:sz w:val="24"/>
          <w:highlight w:val="none"/>
        </w:rPr>
      </w:pPr>
    </w:p>
    <w:p w14:paraId="3814DA79">
      <w:pPr>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6BE5BEAB">
      <w:pPr>
        <w:ind w:firstLine="610"/>
        <w:rPr>
          <w:rFonts w:hint="eastAsia" w:ascii="宋体" w:hAnsi="宋体" w:eastAsia="宋体" w:cs="宋体"/>
          <w:color w:val="auto"/>
          <w:sz w:val="24"/>
          <w:highlight w:val="none"/>
        </w:rPr>
      </w:pPr>
    </w:p>
    <w:p w14:paraId="651D618D">
      <w:pPr>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p>
    <w:p w14:paraId="6E3BCACA">
      <w:pPr>
        <w:ind w:firstLine="610"/>
        <w:rPr>
          <w:rFonts w:hint="eastAsia" w:ascii="宋体" w:hAnsi="宋体" w:eastAsia="宋体" w:cs="宋体"/>
          <w:color w:val="auto"/>
          <w:sz w:val="24"/>
          <w:highlight w:val="none"/>
        </w:rPr>
      </w:pPr>
    </w:p>
    <w:p w14:paraId="584A24FA">
      <w:pPr>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7087C4A">
      <w:pPr>
        <w:ind w:firstLine="610"/>
        <w:rPr>
          <w:rFonts w:hint="eastAsia" w:ascii="宋体" w:hAnsi="宋体" w:eastAsia="宋体" w:cs="宋体"/>
          <w:color w:val="auto"/>
          <w:sz w:val="24"/>
          <w:highlight w:val="none"/>
        </w:rPr>
      </w:pPr>
    </w:p>
    <w:p w14:paraId="55F85227">
      <w:pPr>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p>
    <w:p w14:paraId="5396C17E">
      <w:pPr>
        <w:ind w:firstLine="610"/>
        <w:rPr>
          <w:rFonts w:hint="eastAsia" w:ascii="宋体" w:hAnsi="宋体" w:eastAsia="宋体" w:cs="宋体"/>
          <w:color w:val="auto"/>
          <w:sz w:val="24"/>
          <w:highlight w:val="none"/>
        </w:rPr>
      </w:pPr>
    </w:p>
    <w:p w14:paraId="33244E6A">
      <w:pPr>
        <w:ind w:firstLine="6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    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p>
    <w:p w14:paraId="15774790">
      <w:pPr>
        <w:ind w:firstLine="610"/>
        <w:rPr>
          <w:rFonts w:hint="eastAsia" w:ascii="宋体" w:hAnsi="宋体" w:eastAsia="宋体" w:cs="宋体"/>
          <w:color w:val="auto"/>
          <w:sz w:val="24"/>
          <w:highlight w:val="none"/>
        </w:rPr>
      </w:pPr>
    </w:p>
    <w:p w14:paraId="377F79E3">
      <w:pPr>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（投标人单位名称）         </w:t>
      </w:r>
      <w:r>
        <w:rPr>
          <w:rFonts w:hint="eastAsia" w:ascii="宋体" w:hAnsi="宋体" w:eastAsia="宋体" w:cs="宋体"/>
          <w:color w:val="auto"/>
          <w:sz w:val="24"/>
          <w:highlight w:val="none"/>
        </w:rPr>
        <w:t>的法定代表人。</w:t>
      </w:r>
    </w:p>
    <w:p w14:paraId="2758CB94">
      <w:pPr>
        <w:ind w:firstLine="610"/>
        <w:rPr>
          <w:rFonts w:hint="eastAsia" w:ascii="宋体" w:hAnsi="宋体" w:eastAsia="宋体" w:cs="宋体"/>
          <w:color w:val="auto"/>
          <w:sz w:val="24"/>
          <w:highlight w:val="none"/>
        </w:rPr>
      </w:pPr>
    </w:p>
    <w:p w14:paraId="15C90796">
      <w:pPr>
        <w:ind w:firstLine="61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77F0074F">
      <w:pPr>
        <w:tabs>
          <w:tab w:val="left" w:pos="720"/>
          <w:tab w:val="left" w:pos="900"/>
        </w:tabs>
        <w:spacing w:line="360" w:lineRule="auto"/>
        <w:ind w:firstLine="480" w:firstLineChars="200"/>
        <w:rPr>
          <w:rFonts w:hint="eastAsia" w:ascii="宋体" w:hAnsi="宋体" w:eastAsia="宋体" w:cs="宋体"/>
          <w:color w:val="auto"/>
          <w:sz w:val="24"/>
          <w:highlight w:val="none"/>
        </w:rPr>
      </w:pPr>
    </w:p>
    <w:p w14:paraId="4C4376B4">
      <w:pPr>
        <w:tabs>
          <w:tab w:val="left" w:pos="720"/>
          <w:tab w:val="left" w:pos="900"/>
        </w:tabs>
        <w:spacing w:line="360" w:lineRule="auto"/>
        <w:ind w:firstLine="480" w:firstLineChars="200"/>
        <w:rPr>
          <w:rFonts w:hint="eastAsia" w:ascii="宋体" w:hAnsi="宋体" w:eastAsia="宋体" w:cs="宋体"/>
          <w:color w:val="auto"/>
          <w:sz w:val="24"/>
          <w:highlight w:val="none"/>
        </w:rPr>
      </w:pPr>
    </w:p>
    <w:p w14:paraId="6AE7ED81">
      <w:pPr>
        <w:tabs>
          <w:tab w:val="left" w:pos="720"/>
          <w:tab w:val="left" w:pos="900"/>
        </w:tabs>
        <w:spacing w:line="360" w:lineRule="auto"/>
        <w:ind w:firstLine="480" w:firstLineChars="200"/>
        <w:rPr>
          <w:rFonts w:hint="eastAsia" w:ascii="宋体" w:hAnsi="宋体" w:eastAsia="宋体" w:cs="宋体"/>
          <w:color w:val="auto"/>
          <w:sz w:val="24"/>
          <w:highlight w:val="none"/>
        </w:rPr>
      </w:pPr>
    </w:p>
    <w:p w14:paraId="76AE438F">
      <w:pPr>
        <w:tabs>
          <w:tab w:val="left" w:pos="720"/>
          <w:tab w:val="left" w:pos="900"/>
        </w:tabs>
        <w:spacing w:line="600" w:lineRule="exact"/>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报价人：</w:t>
      </w:r>
      <w:r>
        <w:rPr>
          <w:rFonts w:hint="eastAsia" w:ascii="宋体" w:hAnsi="宋体" w:eastAsia="宋体" w:cs="宋体"/>
          <w:color w:val="auto"/>
          <w:sz w:val="24"/>
          <w:highlight w:val="none"/>
          <w:u w:val="single"/>
        </w:rPr>
        <w:t xml:space="preserve">             （盖公司法人公章）</w:t>
      </w:r>
    </w:p>
    <w:p w14:paraId="74F7ECE2">
      <w:pPr>
        <w:spacing w:line="600" w:lineRule="exact"/>
        <w:ind w:firstLine="4320" w:firstLineChars="18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058544E">
      <w:pPr>
        <w:spacing w:line="600" w:lineRule="exact"/>
        <w:rPr>
          <w:rFonts w:hint="eastAsia" w:ascii="宋体" w:hAnsi="宋体" w:eastAsia="宋体" w:cs="宋体"/>
          <w:color w:val="auto"/>
          <w:sz w:val="24"/>
          <w:highlight w:val="none"/>
        </w:rPr>
      </w:pPr>
    </w:p>
    <w:p w14:paraId="64F8B79D">
      <w:pPr>
        <w:spacing w:line="600" w:lineRule="exact"/>
        <w:rPr>
          <w:rFonts w:hint="eastAsia" w:ascii="宋体" w:hAnsi="宋体" w:eastAsia="宋体" w:cs="宋体"/>
          <w:color w:val="auto"/>
          <w:sz w:val="24"/>
          <w:highlight w:val="none"/>
        </w:rPr>
      </w:pPr>
    </w:p>
    <w:p w14:paraId="7BFCD3A3">
      <w:pPr>
        <w:spacing w:line="600" w:lineRule="exact"/>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br w:type="page"/>
      </w:r>
      <w:bookmarkStart w:id="18" w:name="_Toc417479596"/>
      <w:bookmarkStart w:id="19" w:name="_Toc309224394"/>
      <w:bookmarkStart w:id="20" w:name="_Toc367273903"/>
      <w:bookmarkStart w:id="21" w:name="_Toc367273961"/>
      <w:bookmarkStart w:id="22" w:name="_Toc369339231"/>
      <w:bookmarkStart w:id="23" w:name="_Toc289852511"/>
      <w:bookmarkStart w:id="24" w:name="_Toc371174878"/>
      <w:r>
        <w:rPr>
          <w:rFonts w:hint="eastAsia" w:ascii="宋体" w:hAnsi="宋体" w:eastAsia="宋体" w:cs="宋体"/>
          <w:b/>
          <w:color w:val="auto"/>
          <w:sz w:val="32"/>
          <w:szCs w:val="20"/>
          <w:highlight w:val="none"/>
        </w:rPr>
        <w:t>附件2：附营业执照及法人身份证复印件。</w:t>
      </w:r>
    </w:p>
    <w:p w14:paraId="61A5C990">
      <w:pPr>
        <w:spacing w:line="600" w:lineRule="exact"/>
        <w:rPr>
          <w:rFonts w:hint="eastAsia" w:ascii="宋体" w:hAnsi="宋体" w:eastAsia="宋体" w:cs="宋体"/>
          <w:b/>
          <w:color w:val="auto"/>
          <w:sz w:val="32"/>
          <w:szCs w:val="20"/>
          <w:highlight w:val="none"/>
        </w:rPr>
      </w:pPr>
    </w:p>
    <w:p w14:paraId="43F21137">
      <w:pPr>
        <w:spacing w:line="600" w:lineRule="exact"/>
        <w:rPr>
          <w:rFonts w:hint="eastAsia" w:ascii="宋体" w:hAnsi="宋体" w:eastAsia="宋体" w:cs="宋体"/>
          <w:b/>
          <w:color w:val="auto"/>
          <w:sz w:val="32"/>
          <w:szCs w:val="20"/>
          <w:highlight w:val="none"/>
        </w:rPr>
      </w:pPr>
    </w:p>
    <w:p w14:paraId="12AE371F">
      <w:pPr>
        <w:spacing w:line="600" w:lineRule="exact"/>
        <w:rPr>
          <w:rFonts w:hint="eastAsia" w:ascii="宋体" w:hAnsi="宋体" w:eastAsia="宋体" w:cs="宋体"/>
          <w:b/>
          <w:color w:val="auto"/>
          <w:sz w:val="32"/>
          <w:szCs w:val="20"/>
          <w:highlight w:val="none"/>
        </w:rPr>
      </w:pPr>
    </w:p>
    <w:p w14:paraId="2137E52A">
      <w:pPr>
        <w:spacing w:line="600" w:lineRule="exact"/>
        <w:rPr>
          <w:rFonts w:hint="eastAsia" w:ascii="宋体" w:hAnsi="宋体" w:eastAsia="宋体" w:cs="宋体"/>
          <w:b/>
          <w:color w:val="auto"/>
          <w:sz w:val="32"/>
          <w:szCs w:val="20"/>
          <w:highlight w:val="none"/>
        </w:rPr>
      </w:pPr>
    </w:p>
    <w:p w14:paraId="413958F8">
      <w:pPr>
        <w:spacing w:line="600" w:lineRule="exact"/>
        <w:rPr>
          <w:rFonts w:hint="eastAsia" w:ascii="宋体" w:hAnsi="宋体" w:eastAsia="宋体" w:cs="宋体"/>
          <w:b/>
          <w:color w:val="auto"/>
          <w:sz w:val="32"/>
          <w:szCs w:val="20"/>
          <w:highlight w:val="none"/>
        </w:rPr>
      </w:pPr>
    </w:p>
    <w:p w14:paraId="62C345A7">
      <w:pPr>
        <w:spacing w:line="600" w:lineRule="exact"/>
        <w:rPr>
          <w:rFonts w:hint="eastAsia" w:ascii="宋体" w:hAnsi="宋体" w:eastAsia="宋体" w:cs="宋体"/>
          <w:b/>
          <w:color w:val="auto"/>
          <w:sz w:val="32"/>
          <w:szCs w:val="20"/>
          <w:highlight w:val="none"/>
        </w:rPr>
      </w:pPr>
    </w:p>
    <w:p w14:paraId="724AD2DA">
      <w:pPr>
        <w:spacing w:line="600" w:lineRule="exact"/>
        <w:rPr>
          <w:rFonts w:hint="eastAsia" w:ascii="宋体" w:hAnsi="宋体" w:eastAsia="宋体" w:cs="宋体"/>
          <w:b/>
          <w:color w:val="auto"/>
          <w:sz w:val="32"/>
          <w:szCs w:val="20"/>
          <w:highlight w:val="none"/>
        </w:rPr>
      </w:pPr>
    </w:p>
    <w:p w14:paraId="3D3166BA">
      <w:pPr>
        <w:spacing w:line="600" w:lineRule="exact"/>
        <w:rPr>
          <w:rFonts w:hint="eastAsia" w:ascii="宋体" w:hAnsi="宋体" w:eastAsia="宋体" w:cs="宋体"/>
          <w:b/>
          <w:color w:val="auto"/>
          <w:sz w:val="32"/>
          <w:szCs w:val="20"/>
          <w:highlight w:val="none"/>
        </w:rPr>
      </w:pPr>
    </w:p>
    <w:p w14:paraId="086C5782">
      <w:pPr>
        <w:spacing w:line="600" w:lineRule="exact"/>
        <w:rPr>
          <w:rFonts w:hint="eastAsia" w:ascii="宋体" w:hAnsi="宋体" w:eastAsia="宋体" w:cs="宋体"/>
          <w:b/>
          <w:color w:val="auto"/>
          <w:sz w:val="32"/>
          <w:szCs w:val="20"/>
          <w:highlight w:val="none"/>
        </w:rPr>
      </w:pPr>
    </w:p>
    <w:p w14:paraId="1C576269">
      <w:pPr>
        <w:spacing w:line="600" w:lineRule="exact"/>
        <w:rPr>
          <w:rFonts w:hint="eastAsia" w:ascii="宋体" w:hAnsi="宋体" w:eastAsia="宋体" w:cs="宋体"/>
          <w:b/>
          <w:color w:val="auto"/>
          <w:sz w:val="32"/>
          <w:szCs w:val="20"/>
          <w:highlight w:val="none"/>
        </w:rPr>
      </w:pPr>
    </w:p>
    <w:p w14:paraId="46A1B175">
      <w:pPr>
        <w:spacing w:line="600" w:lineRule="exact"/>
        <w:rPr>
          <w:rFonts w:hint="eastAsia" w:ascii="宋体" w:hAnsi="宋体" w:eastAsia="宋体" w:cs="宋体"/>
          <w:b/>
          <w:color w:val="auto"/>
          <w:sz w:val="32"/>
          <w:szCs w:val="20"/>
          <w:highlight w:val="none"/>
        </w:rPr>
      </w:pPr>
    </w:p>
    <w:p w14:paraId="1D1B5216">
      <w:pPr>
        <w:spacing w:line="600" w:lineRule="exact"/>
        <w:rPr>
          <w:rFonts w:hint="eastAsia" w:ascii="宋体" w:hAnsi="宋体" w:eastAsia="宋体" w:cs="宋体"/>
          <w:b/>
          <w:color w:val="auto"/>
          <w:sz w:val="32"/>
          <w:szCs w:val="20"/>
          <w:highlight w:val="none"/>
        </w:rPr>
      </w:pPr>
    </w:p>
    <w:p w14:paraId="061E7648">
      <w:pPr>
        <w:spacing w:line="600" w:lineRule="exact"/>
        <w:rPr>
          <w:rFonts w:hint="eastAsia" w:ascii="宋体" w:hAnsi="宋体" w:eastAsia="宋体" w:cs="宋体"/>
          <w:b/>
          <w:color w:val="auto"/>
          <w:sz w:val="32"/>
          <w:szCs w:val="20"/>
          <w:highlight w:val="none"/>
        </w:rPr>
      </w:pPr>
    </w:p>
    <w:p w14:paraId="2222B596">
      <w:pPr>
        <w:spacing w:line="600" w:lineRule="exact"/>
        <w:rPr>
          <w:rFonts w:hint="eastAsia" w:ascii="宋体" w:hAnsi="宋体" w:eastAsia="宋体" w:cs="宋体"/>
          <w:b/>
          <w:color w:val="auto"/>
          <w:sz w:val="32"/>
          <w:szCs w:val="20"/>
          <w:highlight w:val="none"/>
        </w:rPr>
      </w:pPr>
    </w:p>
    <w:p w14:paraId="0127E52E">
      <w:pPr>
        <w:spacing w:line="600" w:lineRule="exact"/>
        <w:rPr>
          <w:rFonts w:hint="eastAsia" w:ascii="宋体" w:hAnsi="宋体" w:eastAsia="宋体" w:cs="宋体"/>
          <w:b/>
          <w:color w:val="auto"/>
          <w:sz w:val="32"/>
          <w:szCs w:val="20"/>
          <w:highlight w:val="none"/>
        </w:rPr>
      </w:pPr>
    </w:p>
    <w:p w14:paraId="44C7508D">
      <w:pPr>
        <w:spacing w:line="600" w:lineRule="exact"/>
        <w:rPr>
          <w:rFonts w:hint="eastAsia" w:ascii="宋体" w:hAnsi="宋体" w:eastAsia="宋体" w:cs="宋体"/>
          <w:b/>
          <w:color w:val="auto"/>
          <w:sz w:val="32"/>
          <w:szCs w:val="20"/>
          <w:highlight w:val="none"/>
        </w:rPr>
      </w:pPr>
    </w:p>
    <w:p w14:paraId="2E81C159">
      <w:pPr>
        <w:spacing w:line="600" w:lineRule="exact"/>
        <w:rPr>
          <w:rFonts w:hint="eastAsia" w:ascii="宋体" w:hAnsi="宋体" w:eastAsia="宋体" w:cs="宋体"/>
          <w:b/>
          <w:color w:val="auto"/>
          <w:sz w:val="32"/>
          <w:szCs w:val="20"/>
          <w:highlight w:val="none"/>
        </w:rPr>
      </w:pPr>
    </w:p>
    <w:p w14:paraId="56B94EC0">
      <w:pPr>
        <w:spacing w:line="600" w:lineRule="exact"/>
        <w:rPr>
          <w:rFonts w:hint="eastAsia" w:ascii="宋体" w:hAnsi="宋体" w:eastAsia="宋体" w:cs="宋体"/>
          <w:b/>
          <w:color w:val="auto"/>
          <w:sz w:val="32"/>
          <w:szCs w:val="20"/>
          <w:highlight w:val="none"/>
        </w:rPr>
      </w:pPr>
    </w:p>
    <w:p w14:paraId="2B440017">
      <w:pPr>
        <w:spacing w:line="600" w:lineRule="exact"/>
        <w:rPr>
          <w:rFonts w:hint="eastAsia" w:ascii="宋体" w:hAnsi="宋体" w:eastAsia="宋体" w:cs="宋体"/>
          <w:b/>
          <w:color w:val="auto"/>
          <w:sz w:val="32"/>
          <w:szCs w:val="20"/>
          <w:highlight w:val="none"/>
        </w:rPr>
      </w:pPr>
    </w:p>
    <w:p w14:paraId="1AE29C9E">
      <w:pPr>
        <w:spacing w:line="600" w:lineRule="exact"/>
        <w:rPr>
          <w:rFonts w:hint="eastAsia" w:ascii="宋体" w:hAnsi="宋体" w:eastAsia="宋体" w:cs="宋体"/>
          <w:b/>
          <w:color w:val="auto"/>
          <w:sz w:val="32"/>
          <w:szCs w:val="20"/>
          <w:highlight w:val="none"/>
        </w:rPr>
      </w:pPr>
    </w:p>
    <w:p w14:paraId="2A6B0EBE">
      <w:pPr>
        <w:spacing w:line="600" w:lineRule="exact"/>
        <w:rPr>
          <w:rFonts w:hint="eastAsia" w:ascii="宋体" w:hAnsi="宋体" w:eastAsia="宋体" w:cs="宋体"/>
          <w:b/>
          <w:color w:val="auto"/>
          <w:sz w:val="32"/>
          <w:szCs w:val="20"/>
          <w:highlight w:val="none"/>
        </w:rPr>
      </w:pPr>
    </w:p>
    <w:p w14:paraId="59085028">
      <w:pPr>
        <w:spacing w:line="600" w:lineRule="exact"/>
        <w:rPr>
          <w:rFonts w:hint="eastAsia" w:ascii="宋体" w:hAnsi="宋体" w:eastAsia="宋体" w:cs="宋体"/>
          <w:b/>
          <w:color w:val="auto"/>
          <w:sz w:val="32"/>
          <w:szCs w:val="20"/>
          <w:highlight w:val="none"/>
        </w:rPr>
      </w:pPr>
    </w:p>
    <w:p w14:paraId="1820F3BF">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附件3：                授权委托书</w:t>
      </w:r>
      <w:bookmarkEnd w:id="18"/>
      <w:bookmarkEnd w:id="19"/>
      <w:bookmarkEnd w:id="20"/>
      <w:bookmarkEnd w:id="21"/>
      <w:bookmarkEnd w:id="22"/>
      <w:bookmarkEnd w:id="23"/>
      <w:bookmarkEnd w:id="24"/>
    </w:p>
    <w:p w14:paraId="4D7689F9">
      <w:pPr>
        <w:spacing w:line="360" w:lineRule="auto"/>
        <w:ind w:firstLine="420" w:firstLineChars="200"/>
        <w:rPr>
          <w:rFonts w:hint="eastAsia" w:ascii="宋体" w:hAnsi="宋体" w:eastAsia="宋体" w:cs="宋体"/>
          <w:color w:val="auto"/>
          <w:szCs w:val="21"/>
          <w:highlight w:val="none"/>
        </w:rPr>
      </w:pPr>
    </w:p>
    <w:p w14:paraId="7B8E9AD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（姓名）为我方代理人。代理人根据授权，以我方名义签署、澄清、说明、补正、递交、撤回、修改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投标文件、签订合同和处理有关事宜，其法律后果由我方承担。</w:t>
      </w:r>
    </w:p>
    <w:p w14:paraId="72D0D60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委托期限：</w:t>
      </w:r>
      <w:r>
        <w:rPr>
          <w:rFonts w:hint="eastAsia" w:ascii="宋体" w:hAnsi="宋体" w:eastAsia="宋体" w:cs="宋体"/>
          <w:color w:val="auto"/>
          <w:sz w:val="24"/>
          <w:highlight w:val="none"/>
          <w:u w:val="single"/>
        </w:rPr>
        <w:t>自递交投标文件起至   年    月    日。</w:t>
      </w:r>
      <w:r>
        <w:rPr>
          <w:rFonts w:hint="eastAsia" w:ascii="宋体" w:hAnsi="宋体" w:eastAsia="宋体" w:cs="宋体"/>
          <w:color w:val="auto"/>
          <w:sz w:val="24"/>
          <w:highlight w:val="none"/>
        </w:rPr>
        <w:t xml:space="preserve">（不少于90天）    </w:t>
      </w:r>
    </w:p>
    <w:p w14:paraId="53E11B6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16DAC815">
      <w:pPr>
        <w:spacing w:line="360" w:lineRule="auto"/>
        <w:ind w:firstLine="480" w:firstLineChars="200"/>
        <w:rPr>
          <w:rFonts w:hint="eastAsia" w:ascii="宋体" w:hAnsi="宋体" w:eastAsia="宋体" w:cs="宋体"/>
          <w:color w:val="auto"/>
          <w:sz w:val="24"/>
          <w:highlight w:val="none"/>
        </w:rPr>
      </w:pPr>
    </w:p>
    <w:p w14:paraId="45BBAAEF">
      <w:pPr>
        <w:spacing w:line="360" w:lineRule="auto"/>
        <w:ind w:firstLine="480" w:firstLineChars="200"/>
        <w:rPr>
          <w:rFonts w:hint="eastAsia" w:ascii="宋体" w:hAnsi="宋体" w:eastAsia="宋体" w:cs="宋体"/>
          <w:color w:val="auto"/>
          <w:sz w:val="24"/>
          <w:highlight w:val="none"/>
        </w:rPr>
      </w:pPr>
    </w:p>
    <w:p w14:paraId="4C945B03">
      <w:pPr>
        <w:spacing w:line="360" w:lineRule="auto"/>
        <w:ind w:firstLine="480" w:firstLineChars="200"/>
        <w:rPr>
          <w:rFonts w:hint="eastAsia" w:ascii="宋体" w:hAnsi="宋体" w:eastAsia="宋体" w:cs="宋体"/>
          <w:color w:val="auto"/>
          <w:sz w:val="24"/>
          <w:highlight w:val="none"/>
        </w:rPr>
      </w:pPr>
    </w:p>
    <w:p w14:paraId="5B23C457">
      <w:pPr>
        <w:spacing w:before="156" w:beforeLines="50" w:after="156" w:afterLines="50" w:line="36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4BA02A1">
      <w:pPr>
        <w:spacing w:before="156" w:beforeLines="50" w:after="156" w:afterLines="50" w:line="360" w:lineRule="exact"/>
        <w:ind w:firstLine="420"/>
        <w:rPr>
          <w:rFonts w:hint="eastAsia" w:ascii="宋体" w:hAnsi="宋体" w:eastAsia="宋体" w:cs="宋体"/>
          <w:color w:val="auto"/>
          <w:sz w:val="24"/>
          <w:highlight w:val="none"/>
        </w:rPr>
      </w:pPr>
    </w:p>
    <w:p w14:paraId="2254335C">
      <w:pPr>
        <w:spacing w:before="156" w:beforeLines="50" w:after="156" w:afterLines="50" w:line="36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（签字或盖私章）</w:t>
      </w:r>
    </w:p>
    <w:p w14:paraId="7EB1E20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1E2290A5">
      <w:pPr>
        <w:spacing w:line="360" w:lineRule="auto"/>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4E7F08AA">
      <w:pPr>
        <w:spacing w:line="360" w:lineRule="auto"/>
        <w:ind w:firstLine="480" w:firstLineChars="200"/>
        <w:rPr>
          <w:rFonts w:hint="eastAsia" w:ascii="宋体" w:hAnsi="宋体" w:eastAsia="宋体" w:cs="宋体"/>
          <w:color w:val="auto"/>
          <w:sz w:val="24"/>
          <w:highlight w:val="none"/>
        </w:rPr>
      </w:pPr>
    </w:p>
    <w:p w14:paraId="441868E4">
      <w:pPr>
        <w:spacing w:before="156" w:beforeLines="50" w:after="156" w:afterLines="50" w:line="36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（签字或盖私章）</w:t>
      </w:r>
    </w:p>
    <w:p w14:paraId="41B68811">
      <w:pPr>
        <w:spacing w:line="360" w:lineRule="auto"/>
        <w:ind w:firstLine="480" w:firstLineChars="200"/>
        <w:rPr>
          <w:rFonts w:hint="eastAsia" w:ascii="宋体" w:hAnsi="宋体" w:eastAsia="宋体" w:cs="宋体"/>
          <w:color w:val="auto"/>
          <w:sz w:val="24"/>
          <w:highlight w:val="none"/>
        </w:rPr>
      </w:pPr>
    </w:p>
    <w:p w14:paraId="22B4C7F4">
      <w:pPr>
        <w:spacing w:line="360" w:lineRule="auto"/>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4CDAB6D4">
      <w:pPr>
        <w:spacing w:line="360" w:lineRule="auto"/>
        <w:ind w:firstLine="6120" w:firstLineChars="2550"/>
        <w:rPr>
          <w:rFonts w:hint="eastAsia" w:ascii="宋体" w:hAnsi="宋体" w:eastAsia="宋体" w:cs="宋体"/>
          <w:color w:val="auto"/>
          <w:sz w:val="24"/>
          <w:highlight w:val="none"/>
        </w:rPr>
      </w:pPr>
    </w:p>
    <w:p w14:paraId="33535758">
      <w:pPr>
        <w:spacing w:line="360" w:lineRule="auto"/>
        <w:ind w:right="480" w:firstLine="4800" w:firstLineChars="20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3B30445">
      <w:pPr>
        <w:spacing w:line="360" w:lineRule="auto"/>
        <w:ind w:right="480" w:firstLine="4800" w:firstLineChars="2000"/>
        <w:rPr>
          <w:rFonts w:hint="eastAsia" w:ascii="宋体" w:hAnsi="宋体" w:eastAsia="宋体" w:cs="宋体"/>
          <w:color w:val="auto"/>
          <w:sz w:val="24"/>
          <w:highlight w:val="none"/>
        </w:rPr>
      </w:pPr>
    </w:p>
    <w:p w14:paraId="3A49751F">
      <w:pPr>
        <w:spacing w:line="360" w:lineRule="auto"/>
        <w:ind w:right="480" w:firstLine="4800" w:firstLineChars="2000"/>
        <w:rPr>
          <w:rFonts w:hint="eastAsia" w:ascii="宋体" w:hAnsi="宋体" w:eastAsia="宋体" w:cs="宋体"/>
          <w:color w:val="auto"/>
          <w:sz w:val="24"/>
          <w:highlight w:val="none"/>
        </w:rPr>
      </w:pPr>
    </w:p>
    <w:p w14:paraId="19C60B19">
      <w:pPr>
        <w:spacing w:line="360" w:lineRule="auto"/>
        <w:ind w:right="480" w:firstLine="4800" w:firstLineChars="2000"/>
        <w:rPr>
          <w:rFonts w:hint="eastAsia" w:ascii="宋体" w:hAnsi="宋体" w:eastAsia="宋体" w:cs="宋体"/>
          <w:color w:val="auto"/>
          <w:sz w:val="24"/>
          <w:highlight w:val="none"/>
        </w:rPr>
      </w:pPr>
    </w:p>
    <w:p w14:paraId="4134959E">
      <w:pPr>
        <w:spacing w:line="360" w:lineRule="auto"/>
        <w:ind w:right="480"/>
        <w:rPr>
          <w:rFonts w:hint="eastAsia" w:ascii="宋体" w:hAnsi="宋体" w:eastAsia="宋体" w:cs="宋体"/>
          <w:color w:val="auto"/>
          <w:sz w:val="24"/>
          <w:highlight w:val="none"/>
        </w:rPr>
      </w:pPr>
    </w:p>
    <w:p w14:paraId="3AD3054B">
      <w:pPr>
        <w:spacing w:line="360" w:lineRule="auto"/>
        <w:ind w:right="480" w:firstLine="4800" w:firstLineChars="2000"/>
        <w:rPr>
          <w:rFonts w:hint="eastAsia" w:ascii="宋体" w:hAnsi="宋体" w:eastAsia="宋体" w:cs="宋体"/>
          <w:color w:val="auto"/>
          <w:sz w:val="24"/>
          <w:highlight w:val="none"/>
        </w:rPr>
      </w:pPr>
    </w:p>
    <w:p w14:paraId="34A21C21">
      <w:pPr>
        <w:spacing w:line="360" w:lineRule="auto"/>
        <w:ind w:right="480"/>
        <w:rPr>
          <w:rFonts w:hint="eastAsia" w:ascii="宋体" w:hAnsi="宋体" w:eastAsia="宋体" w:cs="宋体"/>
          <w:color w:val="auto"/>
          <w:sz w:val="24"/>
          <w:highlight w:val="none"/>
        </w:rPr>
      </w:pPr>
    </w:p>
    <w:p w14:paraId="74D32EB5">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附件4：附委托</w:t>
      </w:r>
      <w:r>
        <w:rPr>
          <w:rFonts w:hint="eastAsia" w:ascii="宋体" w:hAnsi="宋体" w:eastAsia="宋体" w:cs="宋体"/>
          <w:b/>
          <w:color w:val="auto"/>
          <w:sz w:val="32"/>
          <w:szCs w:val="20"/>
          <w:highlight w:val="none"/>
          <w:lang w:val="en-US" w:eastAsia="zh-CN"/>
        </w:rPr>
        <w:t>代理</w:t>
      </w:r>
      <w:r>
        <w:rPr>
          <w:rFonts w:hint="eastAsia" w:ascii="宋体" w:hAnsi="宋体" w:eastAsia="宋体" w:cs="宋体"/>
          <w:b/>
          <w:color w:val="auto"/>
          <w:sz w:val="32"/>
          <w:szCs w:val="20"/>
          <w:highlight w:val="none"/>
        </w:rPr>
        <w:t>人身份证复印件。</w:t>
      </w:r>
    </w:p>
    <w:p w14:paraId="1114CC48">
      <w:pPr>
        <w:spacing w:line="360" w:lineRule="auto"/>
        <w:ind w:right="480" w:firstLine="4800" w:firstLineChars="2000"/>
        <w:rPr>
          <w:rFonts w:hint="eastAsia" w:ascii="宋体" w:hAnsi="宋体" w:eastAsia="宋体" w:cs="宋体"/>
          <w:color w:val="auto"/>
          <w:sz w:val="24"/>
          <w:highlight w:val="none"/>
        </w:rPr>
      </w:pPr>
    </w:p>
    <w:p w14:paraId="6CFD966D">
      <w:pPr>
        <w:spacing w:line="360" w:lineRule="auto"/>
        <w:ind w:right="480" w:firstLine="4800" w:firstLineChars="2000"/>
        <w:rPr>
          <w:rFonts w:hint="eastAsia" w:ascii="宋体" w:hAnsi="宋体" w:eastAsia="宋体" w:cs="宋体"/>
          <w:color w:val="auto"/>
          <w:sz w:val="24"/>
          <w:highlight w:val="none"/>
        </w:rPr>
      </w:pPr>
    </w:p>
    <w:p w14:paraId="78FE687F">
      <w:pPr>
        <w:spacing w:line="360" w:lineRule="auto"/>
        <w:ind w:right="480" w:firstLine="4800" w:firstLineChars="2000"/>
        <w:rPr>
          <w:rFonts w:hint="eastAsia" w:ascii="宋体" w:hAnsi="宋体" w:eastAsia="宋体" w:cs="宋体"/>
          <w:color w:val="auto"/>
          <w:sz w:val="24"/>
          <w:highlight w:val="none"/>
        </w:rPr>
      </w:pPr>
    </w:p>
    <w:p w14:paraId="072BB07E">
      <w:pPr>
        <w:spacing w:line="360" w:lineRule="auto"/>
        <w:ind w:right="480" w:firstLine="4800" w:firstLineChars="2000"/>
        <w:rPr>
          <w:rFonts w:hint="eastAsia" w:ascii="宋体" w:hAnsi="宋体" w:eastAsia="宋体" w:cs="宋体"/>
          <w:color w:val="auto"/>
          <w:sz w:val="24"/>
          <w:highlight w:val="none"/>
        </w:rPr>
      </w:pPr>
    </w:p>
    <w:p w14:paraId="2F565560">
      <w:pPr>
        <w:spacing w:line="360" w:lineRule="auto"/>
        <w:ind w:right="480" w:firstLine="4800" w:firstLineChars="2000"/>
        <w:rPr>
          <w:rFonts w:hint="eastAsia" w:ascii="宋体" w:hAnsi="宋体" w:eastAsia="宋体" w:cs="宋体"/>
          <w:color w:val="auto"/>
          <w:sz w:val="24"/>
          <w:highlight w:val="none"/>
        </w:rPr>
      </w:pPr>
    </w:p>
    <w:p w14:paraId="6D7E0450">
      <w:pPr>
        <w:spacing w:line="360" w:lineRule="auto"/>
        <w:ind w:right="480" w:firstLine="4800" w:firstLineChars="2000"/>
        <w:rPr>
          <w:rFonts w:hint="eastAsia" w:ascii="宋体" w:hAnsi="宋体" w:eastAsia="宋体" w:cs="宋体"/>
          <w:color w:val="auto"/>
          <w:sz w:val="24"/>
          <w:highlight w:val="none"/>
        </w:rPr>
      </w:pPr>
    </w:p>
    <w:p w14:paraId="6B37C2C0">
      <w:pPr>
        <w:spacing w:line="360" w:lineRule="auto"/>
        <w:ind w:right="480" w:firstLine="4800" w:firstLineChars="2000"/>
        <w:rPr>
          <w:rFonts w:hint="eastAsia" w:ascii="宋体" w:hAnsi="宋体" w:eastAsia="宋体" w:cs="宋体"/>
          <w:color w:val="auto"/>
          <w:sz w:val="24"/>
          <w:highlight w:val="none"/>
        </w:rPr>
      </w:pPr>
    </w:p>
    <w:p w14:paraId="7D616AA7">
      <w:pPr>
        <w:spacing w:line="360" w:lineRule="auto"/>
        <w:ind w:right="480" w:firstLine="4800" w:firstLineChars="2000"/>
        <w:rPr>
          <w:rFonts w:hint="eastAsia" w:ascii="宋体" w:hAnsi="宋体" w:eastAsia="宋体" w:cs="宋体"/>
          <w:color w:val="auto"/>
          <w:sz w:val="24"/>
          <w:highlight w:val="none"/>
        </w:rPr>
      </w:pPr>
    </w:p>
    <w:p w14:paraId="1DAF287B">
      <w:pPr>
        <w:spacing w:line="360" w:lineRule="auto"/>
        <w:ind w:right="480" w:firstLine="4800" w:firstLineChars="2000"/>
        <w:rPr>
          <w:rFonts w:hint="eastAsia" w:ascii="宋体" w:hAnsi="宋体" w:eastAsia="宋体" w:cs="宋体"/>
          <w:color w:val="auto"/>
          <w:sz w:val="24"/>
          <w:highlight w:val="none"/>
        </w:rPr>
      </w:pPr>
    </w:p>
    <w:p w14:paraId="727A04A8">
      <w:pPr>
        <w:spacing w:line="360" w:lineRule="auto"/>
        <w:ind w:right="480" w:firstLine="4800" w:firstLineChars="2000"/>
        <w:rPr>
          <w:rFonts w:hint="eastAsia" w:ascii="宋体" w:hAnsi="宋体" w:eastAsia="宋体" w:cs="宋体"/>
          <w:color w:val="auto"/>
          <w:sz w:val="24"/>
          <w:highlight w:val="none"/>
        </w:rPr>
      </w:pPr>
    </w:p>
    <w:p w14:paraId="370830BF">
      <w:pPr>
        <w:spacing w:line="360" w:lineRule="auto"/>
        <w:ind w:right="480" w:firstLine="4800" w:firstLineChars="2000"/>
        <w:rPr>
          <w:rFonts w:hint="eastAsia" w:ascii="宋体" w:hAnsi="宋体" w:eastAsia="宋体" w:cs="宋体"/>
          <w:color w:val="auto"/>
          <w:sz w:val="24"/>
          <w:highlight w:val="none"/>
        </w:rPr>
      </w:pPr>
    </w:p>
    <w:p w14:paraId="19228DAA">
      <w:pPr>
        <w:spacing w:line="360" w:lineRule="auto"/>
        <w:ind w:right="480" w:firstLine="4800" w:firstLineChars="2000"/>
        <w:rPr>
          <w:rFonts w:hint="eastAsia" w:ascii="宋体" w:hAnsi="宋体" w:eastAsia="宋体" w:cs="宋体"/>
          <w:color w:val="auto"/>
          <w:sz w:val="24"/>
          <w:highlight w:val="none"/>
        </w:rPr>
      </w:pPr>
    </w:p>
    <w:p w14:paraId="3B7119E6">
      <w:pPr>
        <w:spacing w:line="360" w:lineRule="auto"/>
        <w:ind w:right="480" w:firstLine="4800" w:firstLineChars="2000"/>
        <w:rPr>
          <w:rFonts w:hint="eastAsia" w:ascii="宋体" w:hAnsi="宋体" w:eastAsia="宋体" w:cs="宋体"/>
          <w:color w:val="auto"/>
          <w:sz w:val="24"/>
          <w:highlight w:val="none"/>
        </w:rPr>
      </w:pPr>
    </w:p>
    <w:p w14:paraId="25BCECE2">
      <w:pPr>
        <w:spacing w:line="360" w:lineRule="auto"/>
        <w:ind w:right="480" w:firstLine="4800" w:firstLineChars="2000"/>
        <w:rPr>
          <w:rFonts w:hint="eastAsia" w:ascii="宋体" w:hAnsi="宋体" w:eastAsia="宋体" w:cs="宋体"/>
          <w:color w:val="auto"/>
          <w:sz w:val="24"/>
          <w:highlight w:val="none"/>
        </w:rPr>
      </w:pPr>
    </w:p>
    <w:p w14:paraId="1A664219">
      <w:pPr>
        <w:spacing w:line="360" w:lineRule="auto"/>
        <w:ind w:right="480" w:firstLine="4800" w:firstLineChars="2000"/>
        <w:rPr>
          <w:rFonts w:hint="eastAsia" w:ascii="宋体" w:hAnsi="宋体" w:eastAsia="宋体" w:cs="宋体"/>
          <w:color w:val="auto"/>
          <w:sz w:val="24"/>
          <w:highlight w:val="none"/>
        </w:rPr>
      </w:pPr>
    </w:p>
    <w:p w14:paraId="45C19347">
      <w:pPr>
        <w:spacing w:line="360" w:lineRule="auto"/>
        <w:ind w:right="480" w:firstLine="4800" w:firstLineChars="2000"/>
        <w:rPr>
          <w:rFonts w:hint="eastAsia" w:ascii="宋体" w:hAnsi="宋体" w:eastAsia="宋体" w:cs="宋体"/>
          <w:color w:val="auto"/>
          <w:sz w:val="24"/>
          <w:highlight w:val="none"/>
        </w:rPr>
      </w:pPr>
    </w:p>
    <w:p w14:paraId="201E0A83">
      <w:pPr>
        <w:spacing w:line="360" w:lineRule="auto"/>
        <w:ind w:right="480" w:firstLine="4800" w:firstLineChars="2000"/>
        <w:rPr>
          <w:rFonts w:hint="eastAsia" w:ascii="宋体" w:hAnsi="宋体" w:eastAsia="宋体" w:cs="宋体"/>
          <w:color w:val="auto"/>
          <w:sz w:val="24"/>
          <w:highlight w:val="none"/>
        </w:rPr>
      </w:pPr>
    </w:p>
    <w:p w14:paraId="6CB377D9">
      <w:pPr>
        <w:spacing w:line="360" w:lineRule="auto"/>
        <w:ind w:right="480" w:firstLine="4800" w:firstLineChars="2000"/>
        <w:rPr>
          <w:rFonts w:hint="eastAsia" w:ascii="宋体" w:hAnsi="宋体" w:eastAsia="宋体" w:cs="宋体"/>
          <w:color w:val="auto"/>
          <w:sz w:val="24"/>
          <w:highlight w:val="none"/>
        </w:rPr>
      </w:pPr>
    </w:p>
    <w:p w14:paraId="61261738">
      <w:pPr>
        <w:spacing w:line="360" w:lineRule="auto"/>
        <w:ind w:right="480" w:firstLine="4800" w:firstLineChars="2000"/>
        <w:rPr>
          <w:rFonts w:hint="eastAsia" w:ascii="宋体" w:hAnsi="宋体" w:eastAsia="宋体" w:cs="宋体"/>
          <w:color w:val="auto"/>
          <w:sz w:val="24"/>
          <w:highlight w:val="none"/>
        </w:rPr>
      </w:pPr>
    </w:p>
    <w:p w14:paraId="5082A09C">
      <w:pPr>
        <w:spacing w:line="360" w:lineRule="auto"/>
        <w:ind w:right="480" w:firstLine="4800" w:firstLineChars="2000"/>
        <w:rPr>
          <w:rFonts w:hint="eastAsia" w:ascii="宋体" w:hAnsi="宋体" w:eastAsia="宋体" w:cs="宋体"/>
          <w:color w:val="auto"/>
          <w:sz w:val="24"/>
          <w:highlight w:val="none"/>
        </w:rPr>
      </w:pPr>
    </w:p>
    <w:p w14:paraId="72786193">
      <w:pPr>
        <w:spacing w:line="360" w:lineRule="auto"/>
        <w:ind w:right="480" w:firstLine="4800" w:firstLineChars="2000"/>
        <w:rPr>
          <w:rFonts w:hint="eastAsia" w:ascii="宋体" w:hAnsi="宋体" w:eastAsia="宋体" w:cs="宋体"/>
          <w:color w:val="auto"/>
          <w:sz w:val="24"/>
          <w:highlight w:val="none"/>
        </w:rPr>
      </w:pPr>
    </w:p>
    <w:p w14:paraId="6E0F7B43">
      <w:pPr>
        <w:spacing w:line="360" w:lineRule="auto"/>
        <w:ind w:right="480" w:firstLine="4800" w:firstLineChars="2000"/>
        <w:rPr>
          <w:rFonts w:hint="eastAsia" w:ascii="宋体" w:hAnsi="宋体" w:eastAsia="宋体" w:cs="宋体"/>
          <w:color w:val="auto"/>
          <w:sz w:val="24"/>
          <w:highlight w:val="none"/>
        </w:rPr>
      </w:pPr>
    </w:p>
    <w:p w14:paraId="7A0DA9A7">
      <w:pPr>
        <w:spacing w:line="360" w:lineRule="auto"/>
        <w:ind w:right="480" w:firstLine="4800" w:firstLineChars="2000"/>
        <w:rPr>
          <w:rFonts w:hint="eastAsia" w:ascii="宋体" w:hAnsi="宋体" w:eastAsia="宋体" w:cs="宋体"/>
          <w:color w:val="auto"/>
          <w:sz w:val="24"/>
          <w:highlight w:val="none"/>
        </w:rPr>
      </w:pPr>
    </w:p>
    <w:p w14:paraId="362CABB7">
      <w:pPr>
        <w:spacing w:line="360" w:lineRule="auto"/>
        <w:ind w:right="480" w:firstLine="4800" w:firstLineChars="2000"/>
        <w:rPr>
          <w:rFonts w:hint="eastAsia" w:ascii="宋体" w:hAnsi="宋体" w:eastAsia="宋体" w:cs="宋体"/>
          <w:color w:val="auto"/>
          <w:sz w:val="24"/>
          <w:highlight w:val="none"/>
        </w:rPr>
      </w:pPr>
    </w:p>
    <w:p w14:paraId="1BE5E45A">
      <w:pPr>
        <w:spacing w:line="360" w:lineRule="auto"/>
        <w:ind w:right="480" w:firstLine="4800" w:firstLineChars="2000"/>
        <w:rPr>
          <w:rFonts w:hint="eastAsia" w:ascii="宋体" w:hAnsi="宋体" w:eastAsia="宋体" w:cs="宋体"/>
          <w:color w:val="auto"/>
          <w:sz w:val="24"/>
          <w:highlight w:val="none"/>
        </w:rPr>
      </w:pPr>
    </w:p>
    <w:p w14:paraId="3C5DD100">
      <w:pPr>
        <w:spacing w:line="360" w:lineRule="auto"/>
        <w:ind w:right="480" w:firstLine="4800" w:firstLineChars="2000"/>
        <w:rPr>
          <w:rFonts w:hint="eastAsia" w:ascii="宋体" w:hAnsi="宋体" w:eastAsia="宋体" w:cs="宋体"/>
          <w:color w:val="auto"/>
          <w:sz w:val="24"/>
          <w:highlight w:val="none"/>
        </w:rPr>
      </w:pPr>
    </w:p>
    <w:p w14:paraId="2AB4BE31">
      <w:pPr>
        <w:spacing w:line="360" w:lineRule="auto"/>
        <w:ind w:right="480" w:firstLine="4800" w:firstLineChars="2000"/>
        <w:rPr>
          <w:rFonts w:hint="eastAsia" w:ascii="宋体" w:hAnsi="宋体" w:eastAsia="宋体" w:cs="宋体"/>
          <w:color w:val="auto"/>
          <w:sz w:val="24"/>
          <w:highlight w:val="none"/>
        </w:rPr>
      </w:pPr>
    </w:p>
    <w:p w14:paraId="3527E0AC">
      <w:pPr>
        <w:spacing w:line="360" w:lineRule="auto"/>
        <w:ind w:right="480"/>
        <w:rPr>
          <w:rFonts w:hint="eastAsia" w:ascii="宋体" w:hAnsi="宋体" w:eastAsia="宋体" w:cs="宋体"/>
          <w:color w:val="auto"/>
          <w:sz w:val="24"/>
          <w:highlight w:val="none"/>
        </w:rPr>
      </w:pPr>
    </w:p>
    <w:bookmarkEnd w:id="12"/>
    <w:bookmarkEnd w:id="13"/>
    <w:bookmarkEnd w:id="14"/>
    <w:bookmarkEnd w:id="15"/>
    <w:p w14:paraId="6D880E79">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附件5：</w:t>
      </w:r>
    </w:p>
    <w:p w14:paraId="4BB25A52">
      <w:pPr>
        <w:keepNext/>
        <w:keepLines/>
        <w:tabs>
          <w:tab w:val="left" w:pos="720"/>
        </w:tabs>
        <w:spacing w:before="260" w:after="260"/>
        <w:jc w:val="center"/>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投 标 函</w:t>
      </w:r>
    </w:p>
    <w:p w14:paraId="70082CE3">
      <w:pPr>
        <w:spacing w:line="46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东莞</w:t>
      </w:r>
      <w:r>
        <w:rPr>
          <w:rFonts w:hint="eastAsia" w:ascii="宋体" w:hAnsi="宋体" w:eastAsia="宋体" w:cs="宋体"/>
          <w:color w:val="auto"/>
          <w:szCs w:val="21"/>
          <w:highlight w:val="none"/>
          <w:u w:val="single"/>
          <w:lang w:val="en-US" w:eastAsia="zh-CN"/>
        </w:rPr>
        <w:t>城工集团照明工程</w:t>
      </w:r>
      <w:r>
        <w:rPr>
          <w:rFonts w:hint="eastAsia" w:ascii="宋体" w:hAnsi="宋体" w:eastAsia="宋体" w:cs="宋体"/>
          <w:color w:val="auto"/>
          <w:szCs w:val="21"/>
          <w:highlight w:val="none"/>
          <w:u w:val="single"/>
        </w:rPr>
        <w:t xml:space="preserve">有限公司   </w:t>
      </w:r>
    </w:p>
    <w:p w14:paraId="217B9EA3">
      <w:pPr>
        <w:numPr>
          <w:ilvl w:val="0"/>
          <w:numId w:val="3"/>
        </w:numPr>
        <w:tabs>
          <w:tab w:val="left" w:pos="7560"/>
        </w:tabs>
        <w:spacing w:line="460" w:lineRule="exact"/>
        <w:ind w:firstLine="49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根据你方采购工程项目采购编号为</w:t>
      </w:r>
      <w:r>
        <w:rPr>
          <w:rFonts w:hint="eastAsia" w:ascii="宋体" w:hAnsi="宋体" w:eastAsia="宋体" w:cs="宋体"/>
          <w:color w:val="auto"/>
          <w:szCs w:val="21"/>
          <w:highlight w:val="none"/>
          <w:u w:val="single"/>
        </w:rPr>
        <w:t xml:space="preserve">  {采购编号}  </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 xml:space="preserve">  {采购工程项目名称}  </w:t>
      </w:r>
      <w:r>
        <w:rPr>
          <w:rFonts w:hint="eastAsia" w:ascii="宋体" w:hAnsi="宋体" w:eastAsia="宋体" w:cs="宋体"/>
          <w:color w:val="auto"/>
          <w:szCs w:val="21"/>
          <w:highlight w:val="none"/>
        </w:rPr>
        <w:t>工程采购文件，遵照有关规定，经踏勘项目现场和研究上述</w:t>
      </w:r>
      <w:r>
        <w:rPr>
          <w:rFonts w:hint="eastAsia" w:ascii="宋体" w:hAnsi="宋体" w:eastAsia="宋体" w:cs="宋体"/>
          <w:color w:val="auto"/>
          <w:highlight w:val="none"/>
        </w:rPr>
        <w:t>采购</w:t>
      </w:r>
      <w:r>
        <w:rPr>
          <w:rFonts w:hint="eastAsia" w:ascii="宋体" w:hAnsi="宋体" w:eastAsia="宋体" w:cs="宋体"/>
          <w:color w:val="auto"/>
          <w:szCs w:val="21"/>
          <w:highlight w:val="none"/>
        </w:rPr>
        <w:t>文件的投标人须知、合同条款、</w:t>
      </w:r>
      <w:r>
        <w:rPr>
          <w:rFonts w:hint="eastAsia" w:ascii="宋体" w:hAnsi="宋体" w:eastAsia="宋体" w:cs="宋体"/>
          <w:color w:val="auto"/>
          <w:highlight w:val="none"/>
        </w:rPr>
        <w:t>采购</w:t>
      </w:r>
      <w:r>
        <w:rPr>
          <w:rFonts w:hint="eastAsia" w:ascii="宋体" w:hAnsi="宋体" w:eastAsia="宋体" w:cs="宋体"/>
          <w:color w:val="auto"/>
          <w:szCs w:val="21"/>
          <w:highlight w:val="none"/>
        </w:rPr>
        <w:t>图纸、工程建设标准和工程量清单、补充通知及其他有关文件后，我方以</w:t>
      </w:r>
      <w:r>
        <w:rPr>
          <w:rFonts w:hint="eastAsia" w:ascii="宋体" w:hAnsi="宋体" w:eastAsia="宋体" w:cs="宋体"/>
          <w:b/>
          <w:bCs/>
          <w:color w:val="auto"/>
          <w:szCs w:val="21"/>
          <w:highlight w:val="none"/>
        </w:rPr>
        <w:t>含税总价</w:t>
      </w:r>
      <w:r>
        <w:rPr>
          <w:rFonts w:hint="eastAsia" w:ascii="宋体" w:hAnsi="宋体" w:eastAsia="宋体" w:cs="宋体"/>
          <w:color w:val="auto"/>
          <w:szCs w:val="21"/>
          <w:highlight w:val="none"/>
        </w:rPr>
        <w:t>为</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（含</w:t>
      </w:r>
      <w:r>
        <w:rPr>
          <w:rFonts w:hint="eastAsia" w:ascii="宋体" w:hAnsi="宋体" w:eastAsia="宋体" w:cs="宋体"/>
          <w:color w:val="auto"/>
          <w:szCs w:val="21"/>
          <w:highlight w:val="none"/>
          <w:u w:val="single"/>
        </w:rPr>
        <w:t xml:space="preserve">  %税</w:t>
      </w:r>
      <w:r>
        <w:rPr>
          <w:rFonts w:hint="eastAsia" w:ascii="宋体" w:hAnsi="宋体" w:eastAsia="宋体" w:cs="宋体"/>
          <w:color w:val="auto"/>
          <w:szCs w:val="21"/>
          <w:highlight w:val="none"/>
        </w:rPr>
        <w:t>），大写：人民币</w:t>
      </w:r>
      <w:r>
        <w:rPr>
          <w:rFonts w:hint="eastAsia" w:ascii="宋体" w:hAnsi="宋体" w:eastAsia="宋体" w:cs="宋体"/>
          <w:color w:val="auto"/>
          <w:szCs w:val="21"/>
          <w:highlight w:val="none"/>
          <w:u w:val="single"/>
        </w:rPr>
        <w:t xml:space="preserve">   亿   仟   佰   拾   万   仟   佰   拾   元   角   分</w:t>
      </w:r>
      <w:r>
        <w:rPr>
          <w:rFonts w:hint="eastAsia" w:ascii="宋体" w:hAnsi="宋体" w:eastAsia="宋体" w:cs="宋体"/>
          <w:color w:val="auto"/>
          <w:szCs w:val="21"/>
          <w:highlight w:val="none"/>
        </w:rPr>
        <w:t xml:space="preserve"> ；</w:t>
      </w:r>
      <w:r>
        <w:rPr>
          <w:rFonts w:hint="eastAsia" w:ascii="宋体" w:hAnsi="宋体" w:eastAsia="宋体" w:cs="宋体"/>
          <w:b/>
          <w:bCs/>
          <w:color w:val="auto"/>
          <w:szCs w:val="21"/>
          <w:highlight w:val="none"/>
        </w:rPr>
        <w:t>不含税价为</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大写：人民币</w:t>
      </w:r>
      <w:r>
        <w:rPr>
          <w:rFonts w:hint="eastAsia" w:ascii="宋体" w:hAnsi="宋体" w:eastAsia="宋体" w:cs="宋体"/>
          <w:color w:val="auto"/>
          <w:szCs w:val="21"/>
          <w:highlight w:val="none"/>
          <w:u w:val="single"/>
        </w:rPr>
        <w:t xml:space="preserve">   亿   仟   佰   拾   万   仟   佰   拾   元   角   分  </w:t>
      </w:r>
      <w:r>
        <w:rPr>
          <w:rFonts w:hint="eastAsia" w:ascii="宋体" w:hAnsi="宋体" w:eastAsia="宋体" w:cs="宋体"/>
          <w:color w:val="auto"/>
          <w:szCs w:val="21"/>
          <w:highlight w:val="none"/>
        </w:rPr>
        <w:t>作为该工程的投标报价，按上述</w:t>
      </w:r>
      <w:r>
        <w:rPr>
          <w:rFonts w:hint="eastAsia" w:ascii="宋体" w:hAnsi="宋体" w:eastAsia="宋体" w:cs="宋体"/>
          <w:color w:val="auto"/>
          <w:highlight w:val="none"/>
        </w:rPr>
        <w:t>采购</w:t>
      </w:r>
      <w:r>
        <w:rPr>
          <w:rFonts w:hint="eastAsia" w:ascii="宋体" w:hAnsi="宋体" w:eastAsia="宋体" w:cs="宋体"/>
          <w:color w:val="auto"/>
          <w:szCs w:val="21"/>
          <w:highlight w:val="none"/>
        </w:rPr>
        <w:t>图纸、合同条款、工程建设标准、工程量清单及补充通知的条件要求承包上述工程的施工、竣工，并承担任何质量缺陷保修责任。</w:t>
      </w:r>
    </w:p>
    <w:p w14:paraId="0DDBF47D">
      <w:pPr>
        <w:tabs>
          <w:tab w:val="left" w:pos="7560"/>
        </w:tabs>
        <w:spacing w:line="460" w:lineRule="exact"/>
        <w:ind w:firstLine="49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2、我方已详细审核全部</w:t>
      </w:r>
      <w:r>
        <w:rPr>
          <w:rFonts w:hint="eastAsia" w:ascii="宋体" w:hAnsi="宋体" w:eastAsia="宋体" w:cs="宋体"/>
          <w:color w:val="auto"/>
          <w:highlight w:val="none"/>
        </w:rPr>
        <w:t>采购</w:t>
      </w:r>
      <w:r>
        <w:rPr>
          <w:rFonts w:hint="eastAsia" w:ascii="宋体" w:hAnsi="宋体" w:eastAsia="宋体" w:cs="宋体"/>
          <w:color w:val="auto"/>
          <w:szCs w:val="21"/>
          <w:highlight w:val="none"/>
        </w:rPr>
        <w:t>文件，包括补充通知及有关附件。</w:t>
      </w:r>
    </w:p>
    <w:p w14:paraId="4DCF4AB4">
      <w:pPr>
        <w:tabs>
          <w:tab w:val="left" w:pos="7560"/>
        </w:tabs>
        <w:spacing w:line="460" w:lineRule="exact"/>
        <w:ind w:firstLine="49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3、一旦我方中标，我方保证按工程施工合同中规定的结算原则、付款方式、工期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日历日内完成并移交全部工程。</w:t>
      </w:r>
    </w:p>
    <w:p w14:paraId="640CCBFC">
      <w:pPr>
        <w:tabs>
          <w:tab w:val="left" w:pos="7560"/>
        </w:tabs>
        <w:spacing w:line="460" w:lineRule="exact"/>
        <w:ind w:firstLine="49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4、我方承诺在投标文件中所提交的所有资料均真实有效，若有虚假，我方愿意接受按弄虚作假骗取中标的有关规定进行处理，并承担相应的法律责任。</w:t>
      </w:r>
    </w:p>
    <w:p w14:paraId="09134050">
      <w:pPr>
        <w:tabs>
          <w:tab w:val="left" w:pos="7560"/>
        </w:tabs>
        <w:spacing w:line="460" w:lineRule="exact"/>
        <w:ind w:firstLine="49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5、我方同意所提交的投标文件在</w:t>
      </w:r>
      <w:r>
        <w:rPr>
          <w:rFonts w:hint="eastAsia" w:ascii="宋体" w:hAnsi="宋体" w:eastAsia="宋体" w:cs="宋体"/>
          <w:color w:val="auto"/>
          <w:highlight w:val="none"/>
        </w:rPr>
        <w:t>采购</w:t>
      </w:r>
      <w:r>
        <w:rPr>
          <w:rFonts w:hint="eastAsia" w:ascii="宋体" w:hAnsi="宋体" w:eastAsia="宋体" w:cs="宋体"/>
          <w:color w:val="auto"/>
          <w:szCs w:val="21"/>
          <w:highlight w:val="none"/>
        </w:rPr>
        <w:t>文件的投标人须知中投标有效期内有效，在此期间内如果中标，我方将受此约束。</w:t>
      </w:r>
    </w:p>
    <w:p w14:paraId="71C5D934">
      <w:pPr>
        <w:tabs>
          <w:tab w:val="left" w:pos="7560"/>
        </w:tabs>
        <w:spacing w:line="460" w:lineRule="exact"/>
        <w:ind w:firstLine="49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6、除非另外达成协议并生效，你方的中标通知书和本投标文件将成为约束双方的合同文件的组成部分。</w:t>
      </w:r>
    </w:p>
    <w:p w14:paraId="2ECE5729">
      <w:pPr>
        <w:tabs>
          <w:tab w:val="left" w:pos="7560"/>
        </w:tabs>
        <w:spacing w:line="460" w:lineRule="exact"/>
        <w:rPr>
          <w:rFonts w:hint="eastAsia" w:ascii="宋体" w:hAnsi="宋体" w:eastAsia="宋体" w:cs="宋体"/>
          <w:color w:val="auto"/>
          <w:szCs w:val="21"/>
          <w:highlight w:val="none"/>
        </w:rPr>
      </w:pPr>
    </w:p>
    <w:p w14:paraId="000DC76B">
      <w:pPr>
        <w:spacing w:line="46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（盖公司法人公章）</w:t>
      </w:r>
    </w:p>
    <w:p w14:paraId="3606C12C">
      <w:pPr>
        <w:spacing w:line="46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单位地址：</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14:paraId="1FBA615E">
      <w:pPr>
        <w:spacing w:line="460" w:lineRule="exact"/>
        <w:ind w:left="2310" w:hanging="2310" w:hangingChars="11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（签字或盖私章）      邮政编码：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电话：</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 xml:space="preserve"> 传真：</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14:paraId="18B2283B">
      <w:pPr>
        <w:spacing w:line="460" w:lineRule="exact"/>
        <w:ind w:firstLine="2310" w:firstLineChars="11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项目负责人（拟派驻）：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联系电话：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1671482">
      <w:pPr>
        <w:spacing w:line="460" w:lineRule="exact"/>
        <w:ind w:firstLine="6300" w:firstLineChars="3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7C4F0F68">
      <w:pPr>
        <w:spacing w:line="460" w:lineRule="exact"/>
        <w:ind w:firstLine="6300" w:firstLineChars="3000"/>
        <w:rPr>
          <w:rFonts w:hint="eastAsia" w:ascii="宋体" w:hAnsi="宋体" w:eastAsia="宋体" w:cs="宋体"/>
          <w:color w:val="auto"/>
          <w:szCs w:val="21"/>
          <w:highlight w:val="none"/>
        </w:rPr>
      </w:pPr>
    </w:p>
    <w:p w14:paraId="4B7A0265">
      <w:pPr>
        <w:spacing w:line="46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 （注：1、本投标函须每页加盖投标人公司法人公章；本投标文件必须按规定的格式打印,手写、涂改无效。2、大写金额数字用“零、壹、贰、叁、肆、伍、陆、柒、捌、玖”填写。</w:t>
      </w:r>
    </w:p>
    <w:p w14:paraId="7ABCFD0B">
      <w:pPr>
        <w:keepNext w:val="0"/>
        <w:keepLines w:val="0"/>
        <w:tabs>
          <w:tab w:val="left" w:pos="720"/>
        </w:tabs>
        <w:spacing w:before="0" w:after="0" w:line="460" w:lineRule="exact"/>
        <w:jc w:val="left"/>
        <w:outlineLvl w:val="9"/>
        <w:rPr>
          <w:rFonts w:hint="eastAsia" w:ascii="宋体" w:hAnsi="宋体" w:eastAsia="宋体" w:cs="宋体"/>
          <w:b/>
          <w:color w:val="auto"/>
          <w:sz w:val="32"/>
          <w:szCs w:val="20"/>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32"/>
          <w:szCs w:val="20"/>
          <w:highlight w:val="none"/>
        </w:rPr>
        <w:t xml:space="preserve"> 附件6：报价总表</w:t>
      </w:r>
    </w:p>
    <w:p w14:paraId="343100DC">
      <w:pPr>
        <w:spacing w:line="460" w:lineRule="exact"/>
        <w:jc w:val="center"/>
        <w:rPr>
          <w:rFonts w:hint="eastAsia" w:ascii="宋体" w:hAnsi="宋体" w:eastAsia="宋体" w:cs="宋体"/>
          <w:b/>
          <w:color w:val="auto"/>
          <w:kern w:val="0"/>
          <w:sz w:val="24"/>
          <w:highlight w:val="none"/>
          <w:lang w:val="en-US" w:eastAsia="zh-CN"/>
        </w:rPr>
      </w:pPr>
      <w:r>
        <w:rPr>
          <w:rFonts w:hint="eastAsia" w:ascii="宋体" w:hAnsi="宋体" w:eastAsia="宋体" w:cs="宋体"/>
          <w:b/>
          <w:color w:val="auto"/>
          <w:sz w:val="28"/>
          <w:szCs w:val="28"/>
          <w:highlight w:val="none"/>
        </w:rPr>
        <w:t>报价总表</w:t>
      </w:r>
    </w:p>
    <w:tbl>
      <w:tblPr>
        <w:tblStyle w:val="9"/>
        <w:tblW w:w="4967" w:type="pct"/>
        <w:jc w:val="center"/>
        <w:tblLayout w:type="fixed"/>
        <w:tblCellMar>
          <w:top w:w="0" w:type="dxa"/>
          <w:left w:w="108" w:type="dxa"/>
          <w:bottom w:w="0" w:type="dxa"/>
          <w:right w:w="108" w:type="dxa"/>
        </w:tblCellMar>
      </w:tblPr>
      <w:tblGrid>
        <w:gridCol w:w="437"/>
        <w:gridCol w:w="1349"/>
        <w:gridCol w:w="1978"/>
        <w:gridCol w:w="1887"/>
        <w:gridCol w:w="410"/>
        <w:gridCol w:w="1015"/>
        <w:gridCol w:w="1533"/>
        <w:gridCol w:w="616"/>
      </w:tblGrid>
      <w:tr w14:paraId="7AAB020F">
        <w:tblPrEx>
          <w:tblCellMar>
            <w:top w:w="0" w:type="dxa"/>
            <w:left w:w="108" w:type="dxa"/>
            <w:bottom w:w="0" w:type="dxa"/>
            <w:right w:w="108" w:type="dxa"/>
          </w:tblCellMar>
        </w:tblPrEx>
        <w:trPr>
          <w:trHeight w:val="847" w:hRule="atLeast"/>
          <w:jc w:val="center"/>
        </w:trPr>
        <w:tc>
          <w:tcPr>
            <w:tcW w:w="5000" w:type="pct"/>
            <w:gridSpan w:val="8"/>
            <w:tcBorders>
              <w:top w:val="nil"/>
              <w:left w:val="nil"/>
              <w:bottom w:val="nil"/>
              <w:right w:val="nil"/>
            </w:tcBorders>
            <w:noWrap/>
            <w:vAlign w:val="center"/>
          </w:tcPr>
          <w:p w14:paraId="627BB842">
            <w:pPr>
              <w:widowControl/>
              <w:textAlignment w:val="center"/>
              <w:rPr>
                <w:rFonts w:hint="eastAsia" w:ascii="宋体" w:hAnsi="宋体" w:eastAsia="宋体" w:cs="宋体"/>
                <w:b/>
                <w:bCs/>
                <w:color w:val="auto"/>
                <w:kern w:val="0"/>
                <w:sz w:val="32"/>
                <w:szCs w:val="32"/>
                <w:highlight w:val="none"/>
                <w:lang w:bidi="ar"/>
              </w:rPr>
            </w:pPr>
          </w:p>
          <w:p w14:paraId="0D1B50D3">
            <w:pPr>
              <w:widowControl/>
              <w:jc w:val="center"/>
              <w:textAlignment w:val="center"/>
              <w:rPr>
                <w:rFonts w:hint="eastAsia" w:ascii="宋体" w:hAnsi="宋体" w:eastAsia="宋体" w:cs="宋体"/>
                <w:b/>
                <w:bCs/>
                <w:color w:val="auto"/>
                <w:sz w:val="32"/>
                <w:szCs w:val="32"/>
                <w:highlight w:val="none"/>
              </w:rPr>
            </w:pPr>
            <w:r>
              <w:rPr>
                <w:rFonts w:hint="eastAsia" w:ascii="宋体" w:hAnsi="宋体" w:eastAsia="宋体" w:cs="宋体"/>
                <w:b/>
                <w:bCs/>
                <w:color w:val="auto"/>
                <w:kern w:val="0"/>
                <w:sz w:val="24"/>
                <w:szCs w:val="24"/>
                <w:highlight w:val="none"/>
                <w:u w:val="none"/>
                <w:lang w:val="en-US" w:eastAsia="zh-CN" w:bidi="ar"/>
              </w:rPr>
              <w:t>城工集团照明工程劳务分包—（沙田中学、应急消防基地、生物技术产业园）</w:t>
            </w:r>
            <w:r>
              <w:rPr>
                <w:rFonts w:hint="eastAsia" w:ascii="宋体" w:hAnsi="宋体" w:eastAsia="宋体" w:cs="宋体"/>
                <w:b/>
                <w:bCs/>
                <w:color w:val="auto"/>
                <w:kern w:val="0"/>
                <w:sz w:val="24"/>
                <w:highlight w:val="none"/>
                <w:lang w:bidi="ar"/>
              </w:rPr>
              <w:br w:type="textWrapping"/>
            </w:r>
            <w:r>
              <w:rPr>
                <w:rFonts w:hint="eastAsia" w:ascii="宋体" w:hAnsi="宋体" w:eastAsia="宋体" w:cs="宋体"/>
                <w:b/>
                <w:bCs/>
                <w:color w:val="auto"/>
                <w:kern w:val="0"/>
                <w:sz w:val="24"/>
                <w:highlight w:val="none"/>
                <w:lang w:bidi="ar"/>
              </w:rPr>
              <w:t>投标费用汇总表</w:t>
            </w:r>
          </w:p>
        </w:tc>
      </w:tr>
      <w:tr w14:paraId="31979304">
        <w:tblPrEx>
          <w:tblCellMar>
            <w:top w:w="0" w:type="dxa"/>
            <w:left w:w="108" w:type="dxa"/>
            <w:bottom w:w="0" w:type="dxa"/>
            <w:right w:w="108" w:type="dxa"/>
          </w:tblCellMar>
        </w:tblPrEx>
        <w:trPr>
          <w:trHeight w:val="688"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14:paraId="06B46919">
            <w:pPr>
              <w:widowControl/>
              <w:jc w:val="center"/>
              <w:textAlignment w:val="center"/>
              <w:rPr>
                <w:rFonts w:hint="eastAsia" w:ascii="宋体" w:hAnsi="宋体" w:eastAsia="宋体" w:cs="宋体"/>
                <w:b/>
                <w:bCs/>
                <w:color w:val="auto"/>
                <w:kern w:val="0"/>
                <w:sz w:val="24"/>
                <w:highlight w:val="none"/>
                <w:lang w:bidi="ar"/>
              </w:rPr>
            </w:pPr>
            <w:r>
              <w:rPr>
                <w:rFonts w:hint="eastAsia" w:ascii="宋体" w:hAnsi="宋体" w:eastAsia="宋体" w:cs="宋体"/>
                <w:b/>
                <w:bCs/>
                <w:color w:val="auto"/>
                <w:kern w:val="0"/>
                <w:sz w:val="24"/>
                <w:highlight w:val="none"/>
                <w:lang w:bidi="ar"/>
              </w:rPr>
              <w:t>序号</w:t>
            </w:r>
          </w:p>
        </w:tc>
        <w:tc>
          <w:tcPr>
            <w:tcW w:w="731" w:type="pct"/>
            <w:tcBorders>
              <w:top w:val="single" w:color="000000" w:sz="4" w:space="0"/>
              <w:left w:val="single" w:color="000000" w:sz="4" w:space="0"/>
              <w:bottom w:val="single" w:color="000000" w:sz="4" w:space="0"/>
              <w:right w:val="single" w:color="000000" w:sz="4" w:space="0"/>
            </w:tcBorders>
            <w:noWrap/>
            <w:vAlign w:val="center"/>
          </w:tcPr>
          <w:p w14:paraId="669B9864">
            <w:pPr>
              <w:widowControl/>
              <w:jc w:val="center"/>
              <w:textAlignment w:val="center"/>
              <w:rPr>
                <w:rFonts w:hint="default" w:ascii="宋体" w:hAnsi="宋体" w:eastAsia="宋体" w:cs="宋体"/>
                <w:b/>
                <w:bCs/>
                <w:color w:val="auto"/>
                <w:kern w:val="0"/>
                <w:sz w:val="24"/>
                <w:highlight w:val="none"/>
                <w:lang w:val="en-US" w:eastAsia="zh-CN" w:bidi="ar"/>
              </w:rPr>
            </w:pPr>
            <w:r>
              <w:rPr>
                <w:rFonts w:hint="eastAsia" w:ascii="宋体" w:hAnsi="宋体" w:cs="宋体"/>
                <w:b/>
                <w:bCs/>
                <w:color w:val="auto"/>
                <w:kern w:val="0"/>
                <w:sz w:val="24"/>
                <w:highlight w:val="none"/>
                <w:lang w:val="en-US" w:eastAsia="zh-CN" w:bidi="ar"/>
              </w:rPr>
              <w:t>项目名称</w:t>
            </w:r>
          </w:p>
        </w:tc>
        <w:tc>
          <w:tcPr>
            <w:tcW w:w="1072" w:type="pct"/>
            <w:tcBorders>
              <w:top w:val="single" w:color="000000" w:sz="4" w:space="0"/>
              <w:left w:val="single" w:color="000000" w:sz="4" w:space="0"/>
              <w:bottom w:val="single" w:color="000000" w:sz="4" w:space="0"/>
              <w:right w:val="single" w:color="000000" w:sz="4" w:space="0"/>
            </w:tcBorders>
            <w:noWrap/>
            <w:vAlign w:val="center"/>
          </w:tcPr>
          <w:p w14:paraId="25858B66">
            <w:pPr>
              <w:widowControl/>
              <w:jc w:val="center"/>
              <w:textAlignment w:val="center"/>
              <w:rPr>
                <w:rFonts w:hint="eastAsia" w:ascii="宋体" w:hAnsi="宋体" w:eastAsia="宋体" w:cs="宋体"/>
                <w:b/>
                <w:bCs/>
                <w:color w:val="auto"/>
                <w:kern w:val="0"/>
                <w:sz w:val="24"/>
                <w:highlight w:val="none"/>
                <w:lang w:bidi="ar"/>
              </w:rPr>
            </w:pPr>
            <w:bookmarkStart w:id="25" w:name="OLE_LINK1"/>
            <w:r>
              <w:rPr>
                <w:rFonts w:hint="eastAsia" w:ascii="宋体" w:hAnsi="宋体" w:eastAsia="宋体" w:cs="宋体"/>
                <w:b/>
                <w:bCs/>
                <w:color w:val="auto"/>
                <w:kern w:val="0"/>
                <w:sz w:val="24"/>
                <w:highlight w:val="none"/>
                <w:lang w:bidi="ar"/>
              </w:rPr>
              <w:t>采购控制价</w:t>
            </w:r>
            <w:bookmarkEnd w:id="25"/>
          </w:p>
        </w:tc>
        <w:tc>
          <w:tcPr>
            <w:tcW w:w="1022" w:type="pct"/>
            <w:tcBorders>
              <w:top w:val="single" w:color="000000" w:sz="4" w:space="0"/>
              <w:left w:val="single" w:color="000000" w:sz="4" w:space="0"/>
              <w:bottom w:val="single" w:color="000000" w:sz="4" w:space="0"/>
              <w:right w:val="single" w:color="000000" w:sz="4" w:space="0"/>
            </w:tcBorders>
            <w:noWrap/>
            <w:vAlign w:val="center"/>
          </w:tcPr>
          <w:p w14:paraId="5B646EBD">
            <w:pPr>
              <w:widowControl/>
              <w:jc w:val="center"/>
              <w:textAlignment w:val="center"/>
              <w:rPr>
                <w:rFonts w:hint="eastAsia" w:ascii="宋体" w:hAnsi="宋体" w:eastAsia="宋体" w:cs="宋体"/>
                <w:b/>
                <w:bCs/>
                <w:color w:val="auto"/>
                <w:kern w:val="0"/>
                <w:sz w:val="24"/>
                <w:highlight w:val="none"/>
                <w:lang w:bidi="ar"/>
              </w:rPr>
            </w:pPr>
            <w:r>
              <w:rPr>
                <w:rFonts w:hint="eastAsia" w:ascii="宋体" w:hAnsi="宋体" w:eastAsia="宋体" w:cs="宋体"/>
                <w:b/>
                <w:bCs/>
                <w:color w:val="auto"/>
                <w:kern w:val="0"/>
                <w:sz w:val="24"/>
                <w:highlight w:val="none"/>
                <w:lang w:bidi="ar"/>
              </w:rPr>
              <w:t>采购限价（元）</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14:paraId="149D3E94">
            <w:pPr>
              <w:widowControl/>
              <w:jc w:val="center"/>
              <w:textAlignment w:val="center"/>
              <w:rPr>
                <w:rFonts w:hint="eastAsia" w:ascii="宋体" w:hAnsi="宋体" w:eastAsia="宋体" w:cs="宋体"/>
                <w:b/>
                <w:bCs/>
                <w:color w:val="auto"/>
                <w:kern w:val="0"/>
                <w:sz w:val="24"/>
                <w:highlight w:val="none"/>
                <w:lang w:bidi="ar"/>
              </w:rPr>
            </w:pPr>
            <w:r>
              <w:rPr>
                <w:rFonts w:hint="eastAsia" w:ascii="宋体" w:hAnsi="宋体" w:eastAsia="宋体" w:cs="宋体"/>
                <w:b/>
                <w:bCs/>
                <w:color w:val="auto"/>
                <w:kern w:val="0"/>
                <w:sz w:val="24"/>
                <w:highlight w:val="none"/>
                <w:lang w:bidi="ar"/>
              </w:rPr>
              <w:t>投标人报价（不含税）</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45A6B28">
            <w:pPr>
              <w:widowControl/>
              <w:jc w:val="center"/>
              <w:textAlignment w:val="center"/>
              <w:rPr>
                <w:rFonts w:hint="eastAsia" w:ascii="宋体" w:hAnsi="宋体" w:eastAsia="宋体" w:cs="宋体"/>
                <w:b/>
                <w:bCs/>
                <w:color w:val="auto"/>
                <w:kern w:val="0"/>
                <w:sz w:val="24"/>
                <w:highlight w:val="none"/>
                <w:lang w:bidi="ar"/>
              </w:rPr>
            </w:pPr>
            <w:r>
              <w:rPr>
                <w:rFonts w:hint="eastAsia" w:ascii="宋体" w:hAnsi="宋体" w:eastAsia="宋体" w:cs="宋体"/>
                <w:b/>
                <w:bCs/>
                <w:color w:val="auto"/>
                <w:kern w:val="0"/>
                <w:sz w:val="24"/>
                <w:highlight w:val="none"/>
                <w:lang w:bidi="ar"/>
              </w:rPr>
              <w:t>投标人报价（含税）</w:t>
            </w:r>
          </w:p>
        </w:tc>
        <w:tc>
          <w:tcPr>
            <w:tcW w:w="333" w:type="pct"/>
            <w:tcBorders>
              <w:top w:val="single" w:color="000000" w:sz="4" w:space="0"/>
              <w:left w:val="single" w:color="000000" w:sz="4" w:space="0"/>
              <w:bottom w:val="single" w:color="000000" w:sz="4" w:space="0"/>
              <w:right w:val="single" w:color="000000" w:sz="4" w:space="0"/>
            </w:tcBorders>
            <w:noWrap/>
            <w:vAlign w:val="center"/>
          </w:tcPr>
          <w:p w14:paraId="726030A3">
            <w:pPr>
              <w:widowControl/>
              <w:jc w:val="center"/>
              <w:textAlignment w:val="center"/>
              <w:rPr>
                <w:rFonts w:hint="eastAsia" w:ascii="宋体" w:hAnsi="宋体" w:eastAsia="宋体" w:cs="宋体"/>
                <w:b/>
                <w:bCs/>
                <w:color w:val="auto"/>
                <w:kern w:val="0"/>
                <w:sz w:val="24"/>
                <w:highlight w:val="none"/>
                <w:lang w:bidi="ar"/>
              </w:rPr>
            </w:pPr>
            <w:r>
              <w:rPr>
                <w:rFonts w:hint="eastAsia" w:ascii="宋体" w:hAnsi="宋体" w:eastAsia="宋体" w:cs="宋体"/>
                <w:b/>
                <w:bCs/>
                <w:color w:val="auto"/>
                <w:kern w:val="0"/>
                <w:sz w:val="24"/>
                <w:highlight w:val="none"/>
                <w:lang w:bidi="ar"/>
              </w:rPr>
              <w:t>备注</w:t>
            </w:r>
          </w:p>
        </w:tc>
      </w:tr>
      <w:tr w14:paraId="10A85076">
        <w:tblPrEx>
          <w:tblCellMar>
            <w:top w:w="0" w:type="dxa"/>
            <w:left w:w="108" w:type="dxa"/>
            <w:bottom w:w="0" w:type="dxa"/>
            <w:right w:w="108" w:type="dxa"/>
          </w:tblCellMar>
        </w:tblPrEx>
        <w:trPr>
          <w:trHeight w:val="743"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14:paraId="24B207A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w:t>
            </w:r>
          </w:p>
        </w:tc>
        <w:tc>
          <w:tcPr>
            <w:tcW w:w="731" w:type="pct"/>
            <w:tcBorders>
              <w:top w:val="single" w:color="000000" w:sz="4" w:space="0"/>
              <w:left w:val="single" w:color="000000" w:sz="4" w:space="0"/>
              <w:bottom w:val="single" w:color="000000" w:sz="4" w:space="0"/>
              <w:right w:val="single" w:color="000000" w:sz="4" w:space="0"/>
            </w:tcBorders>
            <w:noWrap/>
            <w:vAlign w:val="center"/>
          </w:tcPr>
          <w:p w14:paraId="6F9CE848">
            <w:pPr>
              <w:widowControl/>
              <w:jc w:val="left"/>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沙田中学</w:t>
            </w:r>
          </w:p>
        </w:tc>
        <w:tc>
          <w:tcPr>
            <w:tcW w:w="1072" w:type="pct"/>
            <w:tcBorders>
              <w:top w:val="single" w:color="000000" w:sz="4" w:space="0"/>
              <w:left w:val="single" w:color="000000" w:sz="4" w:space="0"/>
              <w:bottom w:val="single" w:color="000000" w:sz="4" w:space="0"/>
              <w:right w:val="single" w:color="000000" w:sz="4" w:space="0"/>
            </w:tcBorders>
            <w:noWrap w:val="0"/>
            <w:vAlign w:val="center"/>
          </w:tcPr>
          <w:p w14:paraId="41D41293">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val="en-US" w:eastAsia="zh-CN" w:bidi="ar"/>
              </w:rPr>
              <w:t>220012.53</w:t>
            </w:r>
          </w:p>
        </w:tc>
        <w:tc>
          <w:tcPr>
            <w:tcW w:w="1022" w:type="pct"/>
            <w:tcBorders>
              <w:top w:val="single" w:color="000000" w:sz="4" w:space="0"/>
              <w:left w:val="single" w:color="000000" w:sz="4" w:space="0"/>
              <w:bottom w:val="single" w:color="auto" w:sz="4" w:space="0"/>
              <w:right w:val="single" w:color="000000" w:sz="4" w:space="0"/>
            </w:tcBorders>
            <w:noWrap/>
            <w:vAlign w:val="center"/>
          </w:tcPr>
          <w:p w14:paraId="73F140E8">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 xml:space="preserve"> </w:t>
            </w:r>
            <w:r>
              <w:rPr>
                <w:rFonts w:hint="eastAsia" w:ascii="宋体" w:hAnsi="宋体" w:eastAsia="宋体" w:cs="宋体"/>
                <w:color w:val="auto"/>
                <w:kern w:val="0"/>
                <w:sz w:val="24"/>
                <w:highlight w:val="none"/>
                <w:lang w:val="en-US" w:eastAsia="zh-CN" w:bidi="ar"/>
              </w:rPr>
              <w:t xml:space="preserve"> 220012.53</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14:paraId="0F4DDD05">
            <w:pPr>
              <w:jc w:val="right"/>
              <w:rPr>
                <w:rFonts w:hint="eastAsia" w:ascii="宋体" w:hAnsi="宋体" w:eastAsia="宋体" w:cs="宋体"/>
                <w:color w:val="auto"/>
                <w:sz w:val="24"/>
                <w:highlight w:val="none"/>
              </w:rPr>
            </w:pP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5CD4237">
            <w:pPr>
              <w:rPr>
                <w:rFonts w:hint="eastAsia" w:ascii="宋体" w:hAnsi="宋体" w:eastAsia="宋体" w:cs="宋体"/>
                <w:color w:val="auto"/>
                <w:sz w:val="24"/>
                <w:highlight w:val="none"/>
              </w:rPr>
            </w:pPr>
          </w:p>
        </w:tc>
        <w:tc>
          <w:tcPr>
            <w:tcW w:w="333" w:type="pct"/>
            <w:tcBorders>
              <w:top w:val="single" w:color="000000" w:sz="4" w:space="0"/>
              <w:left w:val="single" w:color="000000" w:sz="4" w:space="0"/>
              <w:bottom w:val="single" w:color="000000" w:sz="4" w:space="0"/>
              <w:right w:val="single" w:color="000000" w:sz="4" w:space="0"/>
            </w:tcBorders>
            <w:noWrap/>
            <w:vAlign w:val="center"/>
          </w:tcPr>
          <w:p w14:paraId="0885BA59">
            <w:pPr>
              <w:rPr>
                <w:rFonts w:hint="eastAsia" w:ascii="宋体" w:hAnsi="宋体" w:eastAsia="宋体" w:cs="宋体"/>
                <w:color w:val="auto"/>
                <w:sz w:val="24"/>
                <w:highlight w:val="none"/>
              </w:rPr>
            </w:pPr>
          </w:p>
        </w:tc>
      </w:tr>
      <w:tr w14:paraId="60E820D3">
        <w:tblPrEx>
          <w:tblCellMar>
            <w:top w:w="0" w:type="dxa"/>
            <w:left w:w="108" w:type="dxa"/>
            <w:bottom w:w="0" w:type="dxa"/>
            <w:right w:w="108" w:type="dxa"/>
          </w:tblCellMar>
        </w:tblPrEx>
        <w:trPr>
          <w:trHeight w:val="743"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14:paraId="5C17F145">
            <w:pPr>
              <w:widowControl/>
              <w:jc w:val="center"/>
              <w:textAlignment w:val="center"/>
              <w:rPr>
                <w:rFonts w:hint="eastAsia" w:ascii="宋体" w:hAnsi="宋体" w:eastAsia="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2</w:t>
            </w:r>
          </w:p>
        </w:tc>
        <w:tc>
          <w:tcPr>
            <w:tcW w:w="731" w:type="pct"/>
            <w:tcBorders>
              <w:top w:val="single" w:color="000000" w:sz="4" w:space="0"/>
              <w:left w:val="single" w:color="000000" w:sz="4" w:space="0"/>
              <w:bottom w:val="single" w:color="000000" w:sz="4" w:space="0"/>
              <w:right w:val="single" w:color="000000" w:sz="4" w:space="0"/>
            </w:tcBorders>
            <w:noWrap/>
            <w:vAlign w:val="center"/>
          </w:tcPr>
          <w:p w14:paraId="00CC1949">
            <w:pPr>
              <w:widowControl/>
              <w:jc w:val="left"/>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应急消防基地</w:t>
            </w:r>
          </w:p>
        </w:tc>
        <w:tc>
          <w:tcPr>
            <w:tcW w:w="1072" w:type="pct"/>
            <w:tcBorders>
              <w:top w:val="single" w:color="000000" w:sz="4" w:space="0"/>
              <w:left w:val="single" w:color="000000" w:sz="4" w:space="0"/>
              <w:bottom w:val="single" w:color="000000" w:sz="4" w:space="0"/>
              <w:right w:val="single" w:color="000000" w:sz="4" w:space="0"/>
            </w:tcBorders>
            <w:noWrap w:val="0"/>
            <w:vAlign w:val="center"/>
          </w:tcPr>
          <w:p w14:paraId="735A7D35">
            <w:pPr>
              <w:widowControl/>
              <w:jc w:val="center"/>
              <w:textAlignment w:val="center"/>
              <w:rPr>
                <w:rFonts w:hint="eastAsia" w:ascii="宋体" w:hAnsi="宋体" w:eastAsia="宋体" w:cs="宋体"/>
                <w:color w:val="auto"/>
                <w:kern w:val="0"/>
                <w:sz w:val="24"/>
                <w:highlight w:val="none"/>
                <w:lang w:val="en-US" w:eastAsia="zh-CN" w:bidi="ar"/>
              </w:rPr>
            </w:pPr>
            <w:r>
              <w:rPr>
                <w:rFonts w:hint="eastAsia" w:ascii="宋体" w:hAnsi="宋体" w:eastAsia="宋体" w:cs="宋体"/>
                <w:color w:val="auto"/>
                <w:kern w:val="0"/>
                <w:sz w:val="24"/>
                <w:highlight w:val="none"/>
                <w:lang w:val="en-US" w:eastAsia="zh-CN" w:bidi="ar"/>
              </w:rPr>
              <w:t>339542.07</w:t>
            </w:r>
          </w:p>
        </w:tc>
        <w:tc>
          <w:tcPr>
            <w:tcW w:w="1022" w:type="pct"/>
            <w:tcBorders>
              <w:top w:val="single" w:color="000000" w:sz="4" w:space="0"/>
              <w:left w:val="single" w:color="000000" w:sz="4" w:space="0"/>
              <w:bottom w:val="single" w:color="auto" w:sz="4" w:space="0"/>
              <w:right w:val="single" w:color="000000" w:sz="4" w:space="0"/>
            </w:tcBorders>
            <w:noWrap/>
            <w:vAlign w:val="center"/>
          </w:tcPr>
          <w:p w14:paraId="6AB514B7">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val="en-US" w:eastAsia="zh-CN" w:bidi="ar"/>
              </w:rPr>
              <w:t>339542.07</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14:paraId="2EB37609">
            <w:pPr>
              <w:jc w:val="right"/>
              <w:rPr>
                <w:rFonts w:hint="eastAsia" w:ascii="宋体" w:hAnsi="宋体" w:eastAsia="宋体" w:cs="宋体"/>
                <w:color w:val="auto"/>
                <w:sz w:val="24"/>
                <w:highlight w:val="none"/>
              </w:rPr>
            </w:pP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09CC9A0">
            <w:pPr>
              <w:rPr>
                <w:rFonts w:hint="eastAsia" w:ascii="宋体" w:hAnsi="宋体" w:eastAsia="宋体" w:cs="宋体"/>
                <w:color w:val="auto"/>
                <w:sz w:val="24"/>
                <w:highlight w:val="none"/>
              </w:rPr>
            </w:pPr>
          </w:p>
        </w:tc>
        <w:tc>
          <w:tcPr>
            <w:tcW w:w="333" w:type="pct"/>
            <w:tcBorders>
              <w:top w:val="single" w:color="000000" w:sz="4" w:space="0"/>
              <w:left w:val="single" w:color="000000" w:sz="4" w:space="0"/>
              <w:bottom w:val="single" w:color="000000" w:sz="4" w:space="0"/>
              <w:right w:val="single" w:color="000000" w:sz="4" w:space="0"/>
            </w:tcBorders>
            <w:noWrap/>
            <w:vAlign w:val="center"/>
          </w:tcPr>
          <w:p w14:paraId="6DE6EE87">
            <w:pPr>
              <w:rPr>
                <w:rFonts w:hint="eastAsia" w:ascii="宋体" w:hAnsi="宋体" w:eastAsia="宋体" w:cs="宋体"/>
                <w:color w:val="auto"/>
                <w:sz w:val="24"/>
                <w:highlight w:val="none"/>
              </w:rPr>
            </w:pPr>
          </w:p>
        </w:tc>
      </w:tr>
      <w:tr w14:paraId="09C4F6CC">
        <w:tblPrEx>
          <w:tblCellMar>
            <w:top w:w="0" w:type="dxa"/>
            <w:left w:w="108" w:type="dxa"/>
            <w:bottom w:w="0" w:type="dxa"/>
            <w:right w:w="108" w:type="dxa"/>
          </w:tblCellMar>
        </w:tblPrEx>
        <w:trPr>
          <w:trHeight w:val="743" w:hRule="atLeast"/>
          <w:jc w:val="center"/>
        </w:trPr>
        <w:tc>
          <w:tcPr>
            <w:tcW w:w="236" w:type="pct"/>
            <w:tcBorders>
              <w:top w:val="single" w:color="000000" w:sz="4" w:space="0"/>
              <w:left w:val="single" w:color="000000" w:sz="4" w:space="0"/>
              <w:bottom w:val="single" w:color="000000" w:sz="4" w:space="0"/>
              <w:right w:val="single" w:color="000000" w:sz="4" w:space="0"/>
            </w:tcBorders>
            <w:noWrap/>
            <w:vAlign w:val="center"/>
          </w:tcPr>
          <w:p w14:paraId="7F5184C0">
            <w:pPr>
              <w:widowControl/>
              <w:jc w:val="center"/>
              <w:textAlignment w:val="center"/>
              <w:rPr>
                <w:rFonts w:hint="eastAsia" w:ascii="宋体" w:hAnsi="宋体" w:eastAsia="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3</w:t>
            </w:r>
          </w:p>
        </w:tc>
        <w:tc>
          <w:tcPr>
            <w:tcW w:w="731" w:type="pct"/>
            <w:tcBorders>
              <w:top w:val="single" w:color="000000" w:sz="4" w:space="0"/>
              <w:left w:val="single" w:color="000000" w:sz="4" w:space="0"/>
              <w:bottom w:val="single" w:color="000000" w:sz="4" w:space="0"/>
              <w:right w:val="single" w:color="000000" w:sz="4" w:space="0"/>
            </w:tcBorders>
            <w:noWrap/>
            <w:vAlign w:val="center"/>
          </w:tcPr>
          <w:p w14:paraId="464328AC">
            <w:pPr>
              <w:widowControl/>
              <w:jc w:val="left"/>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生物技术产业园</w:t>
            </w:r>
          </w:p>
        </w:tc>
        <w:tc>
          <w:tcPr>
            <w:tcW w:w="1072" w:type="pct"/>
            <w:tcBorders>
              <w:top w:val="single" w:color="000000" w:sz="4" w:space="0"/>
              <w:left w:val="single" w:color="000000" w:sz="4" w:space="0"/>
              <w:bottom w:val="single" w:color="000000" w:sz="4" w:space="0"/>
              <w:right w:val="single" w:color="000000" w:sz="4" w:space="0"/>
            </w:tcBorders>
            <w:noWrap w:val="0"/>
            <w:vAlign w:val="center"/>
          </w:tcPr>
          <w:p w14:paraId="408BB357">
            <w:pPr>
              <w:widowControl/>
              <w:jc w:val="center"/>
              <w:textAlignment w:val="center"/>
              <w:rPr>
                <w:rFonts w:hint="eastAsia" w:ascii="宋体" w:hAnsi="宋体" w:eastAsia="宋体" w:cs="宋体"/>
                <w:color w:val="auto"/>
                <w:kern w:val="0"/>
                <w:sz w:val="24"/>
                <w:highlight w:val="none"/>
                <w:lang w:val="en-US" w:eastAsia="zh-CN" w:bidi="ar"/>
              </w:rPr>
            </w:pPr>
            <w:r>
              <w:rPr>
                <w:rFonts w:hint="eastAsia" w:ascii="宋体" w:hAnsi="宋体" w:eastAsia="宋体" w:cs="宋体"/>
                <w:color w:val="auto"/>
                <w:kern w:val="0"/>
                <w:sz w:val="24"/>
                <w:highlight w:val="none"/>
                <w:lang w:val="en-US" w:eastAsia="zh-CN" w:bidi="ar"/>
              </w:rPr>
              <w:t>870262.9</w:t>
            </w:r>
          </w:p>
        </w:tc>
        <w:tc>
          <w:tcPr>
            <w:tcW w:w="1022" w:type="pct"/>
            <w:tcBorders>
              <w:top w:val="single" w:color="000000" w:sz="4" w:space="0"/>
              <w:left w:val="single" w:color="000000" w:sz="4" w:space="0"/>
              <w:bottom w:val="single" w:color="auto" w:sz="4" w:space="0"/>
              <w:right w:val="single" w:color="000000" w:sz="4" w:space="0"/>
            </w:tcBorders>
            <w:noWrap/>
            <w:vAlign w:val="center"/>
          </w:tcPr>
          <w:p w14:paraId="07E475E5">
            <w:pPr>
              <w:widowControl/>
              <w:jc w:val="center"/>
              <w:textAlignment w:val="center"/>
              <w:rPr>
                <w:rFonts w:hint="default" w:ascii="宋体" w:hAnsi="宋体" w:eastAsia="宋体" w:cs="宋体"/>
                <w:color w:val="auto"/>
                <w:kern w:val="0"/>
                <w:sz w:val="24"/>
                <w:highlight w:val="none"/>
                <w:lang w:val="en-US" w:bidi="ar"/>
              </w:rPr>
            </w:pPr>
            <w:r>
              <w:rPr>
                <w:rFonts w:hint="eastAsia" w:ascii="宋体" w:hAnsi="宋体" w:eastAsia="宋体" w:cs="宋体"/>
                <w:color w:val="auto"/>
                <w:kern w:val="0"/>
                <w:sz w:val="24"/>
                <w:highlight w:val="none"/>
                <w:lang w:val="en-US" w:eastAsia="zh-CN" w:bidi="ar"/>
              </w:rPr>
              <w:t>831101.</w:t>
            </w:r>
            <w:r>
              <w:rPr>
                <w:rFonts w:hint="eastAsia" w:ascii="宋体" w:hAnsi="宋体" w:cs="宋体"/>
                <w:color w:val="auto"/>
                <w:kern w:val="0"/>
                <w:sz w:val="24"/>
                <w:highlight w:val="none"/>
                <w:lang w:val="en-US" w:eastAsia="zh-CN" w:bidi="ar"/>
              </w:rPr>
              <w:t>07</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14:paraId="57B45D4A">
            <w:pPr>
              <w:jc w:val="right"/>
              <w:rPr>
                <w:rFonts w:hint="eastAsia" w:ascii="宋体" w:hAnsi="宋体" w:eastAsia="宋体" w:cs="宋体"/>
                <w:color w:val="auto"/>
                <w:sz w:val="24"/>
                <w:highlight w:val="none"/>
              </w:rPr>
            </w:pP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7697226">
            <w:pPr>
              <w:rPr>
                <w:rFonts w:hint="eastAsia" w:ascii="宋体" w:hAnsi="宋体" w:eastAsia="宋体" w:cs="宋体"/>
                <w:color w:val="auto"/>
                <w:sz w:val="24"/>
                <w:highlight w:val="none"/>
              </w:rPr>
            </w:pPr>
          </w:p>
        </w:tc>
        <w:tc>
          <w:tcPr>
            <w:tcW w:w="333" w:type="pct"/>
            <w:tcBorders>
              <w:top w:val="single" w:color="000000" w:sz="4" w:space="0"/>
              <w:left w:val="single" w:color="000000" w:sz="4" w:space="0"/>
              <w:bottom w:val="single" w:color="000000" w:sz="4" w:space="0"/>
              <w:right w:val="single" w:color="000000" w:sz="4" w:space="0"/>
            </w:tcBorders>
            <w:noWrap/>
            <w:vAlign w:val="center"/>
          </w:tcPr>
          <w:p w14:paraId="66548C20">
            <w:pPr>
              <w:rPr>
                <w:rFonts w:hint="eastAsia" w:ascii="宋体" w:hAnsi="宋体" w:eastAsia="宋体" w:cs="宋体"/>
                <w:color w:val="auto"/>
                <w:sz w:val="24"/>
                <w:highlight w:val="none"/>
              </w:rPr>
            </w:pPr>
          </w:p>
        </w:tc>
      </w:tr>
      <w:tr w14:paraId="549A3BE5">
        <w:tblPrEx>
          <w:tblCellMar>
            <w:top w:w="0" w:type="dxa"/>
            <w:left w:w="108" w:type="dxa"/>
            <w:bottom w:w="0" w:type="dxa"/>
            <w:right w:w="108" w:type="dxa"/>
          </w:tblCellMar>
        </w:tblPrEx>
        <w:trPr>
          <w:trHeight w:val="743" w:hRule="atLeast"/>
          <w:jc w:val="center"/>
        </w:trPr>
        <w:tc>
          <w:tcPr>
            <w:tcW w:w="968" w:type="pct"/>
            <w:gridSpan w:val="2"/>
            <w:tcBorders>
              <w:top w:val="single" w:color="000000" w:sz="4" w:space="0"/>
              <w:left w:val="single" w:color="000000" w:sz="4" w:space="0"/>
              <w:bottom w:val="single" w:color="000000" w:sz="4" w:space="0"/>
              <w:right w:val="single" w:color="000000" w:sz="4" w:space="0"/>
            </w:tcBorders>
            <w:noWrap/>
            <w:vAlign w:val="center"/>
          </w:tcPr>
          <w:p w14:paraId="3742FC2B">
            <w:pPr>
              <w:widowControl/>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合计</w:t>
            </w:r>
          </w:p>
        </w:tc>
        <w:tc>
          <w:tcPr>
            <w:tcW w:w="1072" w:type="pct"/>
            <w:tcBorders>
              <w:top w:val="single" w:color="000000" w:sz="4" w:space="0"/>
              <w:left w:val="single" w:color="000000" w:sz="4" w:space="0"/>
              <w:bottom w:val="single" w:color="000000" w:sz="4" w:space="0"/>
              <w:right w:val="single" w:color="000000" w:sz="4" w:space="0"/>
            </w:tcBorders>
            <w:noWrap w:val="0"/>
            <w:vAlign w:val="center"/>
          </w:tcPr>
          <w:p w14:paraId="0A245883">
            <w:pPr>
              <w:widowControl/>
              <w:jc w:val="center"/>
              <w:textAlignment w:val="center"/>
              <w:rPr>
                <w:rFonts w:hint="default" w:ascii="宋体" w:hAnsi="宋体" w:eastAsia="宋体" w:cs="宋体"/>
                <w:color w:val="auto"/>
                <w:kern w:val="0"/>
                <w:sz w:val="24"/>
                <w:highlight w:val="none"/>
                <w:lang w:val="en-US" w:eastAsia="zh-CN" w:bidi="ar"/>
              </w:rPr>
            </w:pPr>
            <w:r>
              <w:rPr>
                <w:rFonts w:hint="default" w:ascii="宋体" w:hAnsi="宋体" w:eastAsia="宋体" w:cs="宋体"/>
                <w:color w:val="auto"/>
                <w:kern w:val="0"/>
                <w:sz w:val="24"/>
                <w:highlight w:val="none"/>
                <w:lang w:val="en-US" w:eastAsia="zh-CN" w:bidi="ar"/>
              </w:rPr>
              <w:t>1429817.50</w:t>
            </w:r>
            <w:r>
              <w:rPr>
                <w:rFonts w:hint="default" w:ascii="宋体" w:hAnsi="宋体" w:eastAsia="宋体" w:cs="宋体"/>
                <w:sz w:val="28"/>
                <w:szCs w:val="28"/>
                <w:lang w:val="en-US" w:eastAsia="zh-CN"/>
              </w:rPr>
              <w:t xml:space="preserve"> </w:t>
            </w:r>
          </w:p>
        </w:tc>
        <w:tc>
          <w:tcPr>
            <w:tcW w:w="1022" w:type="pct"/>
            <w:tcBorders>
              <w:top w:val="single" w:color="000000" w:sz="4" w:space="0"/>
              <w:left w:val="single" w:color="000000" w:sz="4" w:space="0"/>
              <w:bottom w:val="single" w:color="auto" w:sz="4" w:space="0"/>
              <w:right w:val="single" w:color="000000" w:sz="4" w:space="0"/>
            </w:tcBorders>
            <w:noWrap/>
            <w:vAlign w:val="center"/>
          </w:tcPr>
          <w:p w14:paraId="2E2C628F">
            <w:pPr>
              <w:widowControl/>
              <w:jc w:val="center"/>
              <w:textAlignment w:val="center"/>
              <w:rPr>
                <w:rFonts w:hint="default" w:ascii="宋体" w:hAnsi="宋体" w:eastAsia="宋体" w:cs="宋体"/>
                <w:color w:val="auto"/>
                <w:kern w:val="0"/>
                <w:sz w:val="24"/>
                <w:highlight w:val="none"/>
                <w:lang w:val="en-US" w:eastAsia="zh-CN" w:bidi="ar"/>
              </w:rPr>
            </w:pPr>
            <w:r>
              <w:rPr>
                <w:rFonts w:hint="eastAsia" w:ascii="宋体" w:hAnsi="宋体" w:eastAsia="宋体" w:cs="宋体"/>
                <w:color w:val="auto"/>
                <w:kern w:val="0"/>
                <w:sz w:val="24"/>
                <w:highlight w:val="none"/>
                <w:lang w:val="en-US" w:eastAsia="zh-CN" w:bidi="ar"/>
              </w:rPr>
              <w:t>1390655.67</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14:paraId="46F9F399">
            <w:pPr>
              <w:jc w:val="right"/>
              <w:rPr>
                <w:rFonts w:hint="eastAsia" w:ascii="宋体" w:hAnsi="宋体" w:eastAsia="宋体" w:cs="宋体"/>
                <w:color w:val="auto"/>
                <w:sz w:val="24"/>
                <w:highlight w:val="none"/>
              </w:rPr>
            </w:pP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FE20023">
            <w:pPr>
              <w:rPr>
                <w:rFonts w:hint="eastAsia" w:ascii="宋体" w:hAnsi="宋体" w:eastAsia="宋体" w:cs="宋体"/>
                <w:color w:val="auto"/>
                <w:sz w:val="24"/>
                <w:highlight w:val="none"/>
              </w:rPr>
            </w:pPr>
          </w:p>
        </w:tc>
        <w:tc>
          <w:tcPr>
            <w:tcW w:w="333" w:type="pct"/>
            <w:tcBorders>
              <w:top w:val="single" w:color="000000" w:sz="4" w:space="0"/>
              <w:left w:val="single" w:color="000000" w:sz="4" w:space="0"/>
              <w:bottom w:val="single" w:color="000000" w:sz="4" w:space="0"/>
              <w:right w:val="single" w:color="000000" w:sz="4" w:space="0"/>
            </w:tcBorders>
            <w:noWrap/>
            <w:vAlign w:val="center"/>
          </w:tcPr>
          <w:p w14:paraId="2B024AEB">
            <w:pPr>
              <w:rPr>
                <w:rFonts w:hint="eastAsia" w:ascii="宋体" w:hAnsi="宋体" w:eastAsia="宋体" w:cs="宋体"/>
                <w:color w:val="auto"/>
                <w:sz w:val="24"/>
                <w:highlight w:val="none"/>
              </w:rPr>
            </w:pPr>
          </w:p>
        </w:tc>
      </w:tr>
      <w:tr w14:paraId="4EB51A78">
        <w:tblPrEx>
          <w:tblCellMar>
            <w:top w:w="0" w:type="dxa"/>
            <w:left w:w="108" w:type="dxa"/>
            <w:bottom w:w="0" w:type="dxa"/>
            <w:right w:w="108" w:type="dxa"/>
          </w:tblCellMar>
        </w:tblPrEx>
        <w:trPr>
          <w:trHeight w:val="399" w:hRule="atLeast"/>
          <w:jc w:val="center"/>
        </w:trPr>
        <w:tc>
          <w:tcPr>
            <w:tcW w:w="2040" w:type="pct"/>
            <w:gridSpan w:val="3"/>
            <w:vMerge w:val="restart"/>
            <w:tcBorders>
              <w:top w:val="single" w:color="000000" w:sz="4" w:space="0"/>
              <w:left w:val="single" w:color="000000" w:sz="4" w:space="0"/>
              <w:bottom w:val="single" w:color="000000" w:sz="4" w:space="0"/>
              <w:right w:val="single" w:color="auto" w:sz="4" w:space="0"/>
            </w:tcBorders>
            <w:noWrap/>
            <w:vAlign w:val="center"/>
          </w:tcPr>
          <w:p w14:paraId="1A273625">
            <w:pPr>
              <w:widowControl/>
              <w:jc w:val="center"/>
              <w:textAlignment w:val="center"/>
              <w:rPr>
                <w:rFonts w:hint="eastAsia" w:ascii="宋体" w:hAnsi="宋体" w:eastAsia="宋体" w:cs="宋体"/>
                <w:b/>
                <w:bCs/>
                <w:color w:val="auto"/>
                <w:sz w:val="24"/>
                <w:highlight w:val="none"/>
              </w:rPr>
            </w:pPr>
            <w:r>
              <w:rPr>
                <w:rFonts w:hint="eastAsia" w:ascii="宋体" w:hAnsi="宋体" w:eastAsia="宋体" w:cs="宋体"/>
                <w:b/>
                <w:bCs/>
                <w:color w:val="auto"/>
                <w:kern w:val="0"/>
                <w:sz w:val="24"/>
                <w:highlight w:val="none"/>
                <w:lang w:bidi="ar"/>
              </w:rPr>
              <w:t>汇总报价</w:t>
            </w:r>
          </w:p>
        </w:tc>
        <w:tc>
          <w:tcPr>
            <w:tcW w:w="1244" w:type="pct"/>
            <w:gridSpan w:val="2"/>
            <w:tcBorders>
              <w:top w:val="single" w:color="auto" w:sz="4" w:space="0"/>
              <w:left w:val="single" w:color="auto" w:sz="4" w:space="0"/>
              <w:bottom w:val="single" w:color="auto" w:sz="4" w:space="0"/>
              <w:right w:val="single" w:color="auto" w:sz="4" w:space="0"/>
            </w:tcBorders>
            <w:noWrap/>
            <w:vAlign w:val="center"/>
          </w:tcPr>
          <w:p w14:paraId="3B2713CA">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小写：（含税     %）</w:t>
            </w:r>
          </w:p>
        </w:tc>
        <w:tc>
          <w:tcPr>
            <w:tcW w:w="1714" w:type="pct"/>
            <w:gridSpan w:val="3"/>
            <w:tcBorders>
              <w:top w:val="single" w:color="000000" w:sz="4" w:space="0"/>
              <w:left w:val="single" w:color="auto" w:sz="4" w:space="0"/>
              <w:bottom w:val="single" w:color="000000" w:sz="4" w:space="0"/>
              <w:right w:val="single" w:color="000000" w:sz="4" w:space="0"/>
            </w:tcBorders>
            <w:noWrap/>
            <w:vAlign w:val="center"/>
          </w:tcPr>
          <w:p w14:paraId="5AD85881">
            <w:pPr>
              <w:jc w:val="center"/>
              <w:rPr>
                <w:rFonts w:hint="eastAsia" w:ascii="宋体" w:hAnsi="宋体" w:eastAsia="宋体" w:cs="宋体"/>
                <w:color w:val="auto"/>
                <w:sz w:val="18"/>
                <w:szCs w:val="18"/>
                <w:highlight w:val="none"/>
              </w:rPr>
            </w:pPr>
          </w:p>
        </w:tc>
      </w:tr>
      <w:tr w14:paraId="6CD399C7">
        <w:tblPrEx>
          <w:tblCellMar>
            <w:top w:w="0" w:type="dxa"/>
            <w:left w:w="108" w:type="dxa"/>
            <w:bottom w:w="0" w:type="dxa"/>
            <w:right w:w="108" w:type="dxa"/>
          </w:tblCellMar>
        </w:tblPrEx>
        <w:trPr>
          <w:trHeight w:val="491" w:hRule="atLeast"/>
          <w:jc w:val="center"/>
        </w:trPr>
        <w:tc>
          <w:tcPr>
            <w:tcW w:w="2040" w:type="pct"/>
            <w:gridSpan w:val="3"/>
            <w:vMerge w:val="continue"/>
            <w:tcBorders>
              <w:top w:val="single" w:color="000000" w:sz="4" w:space="0"/>
              <w:left w:val="single" w:color="000000" w:sz="4" w:space="0"/>
              <w:bottom w:val="single" w:color="000000" w:sz="4" w:space="0"/>
              <w:right w:val="single" w:color="000000" w:sz="4" w:space="0"/>
            </w:tcBorders>
            <w:noWrap/>
            <w:vAlign w:val="center"/>
          </w:tcPr>
          <w:p w14:paraId="25C94A05">
            <w:pPr>
              <w:jc w:val="center"/>
              <w:rPr>
                <w:rFonts w:hint="eastAsia" w:ascii="宋体" w:hAnsi="宋体" w:eastAsia="宋体" w:cs="宋体"/>
                <w:b/>
                <w:bCs/>
                <w:color w:val="auto"/>
                <w:sz w:val="24"/>
                <w:highlight w:val="none"/>
              </w:rPr>
            </w:pPr>
          </w:p>
        </w:tc>
        <w:tc>
          <w:tcPr>
            <w:tcW w:w="1244" w:type="pct"/>
            <w:gridSpan w:val="2"/>
            <w:tcBorders>
              <w:top w:val="single" w:color="auto" w:sz="4" w:space="0"/>
              <w:left w:val="nil"/>
              <w:bottom w:val="single" w:color="000000" w:sz="4" w:space="0"/>
              <w:right w:val="single" w:color="000000" w:sz="4" w:space="0"/>
            </w:tcBorders>
            <w:noWrap/>
            <w:vAlign w:val="center"/>
          </w:tcPr>
          <w:p w14:paraId="4CAD5411">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大写：（含税     %）</w:t>
            </w:r>
          </w:p>
        </w:tc>
        <w:tc>
          <w:tcPr>
            <w:tcW w:w="1714" w:type="pct"/>
            <w:gridSpan w:val="3"/>
            <w:tcBorders>
              <w:top w:val="single" w:color="000000" w:sz="4" w:space="0"/>
              <w:left w:val="single" w:color="000000" w:sz="4" w:space="0"/>
              <w:bottom w:val="single" w:color="000000" w:sz="4" w:space="0"/>
              <w:right w:val="single" w:color="000000" w:sz="4" w:space="0"/>
            </w:tcBorders>
            <w:noWrap/>
            <w:vAlign w:val="center"/>
          </w:tcPr>
          <w:p w14:paraId="5886A49A">
            <w:pPr>
              <w:jc w:val="center"/>
              <w:rPr>
                <w:rFonts w:hint="eastAsia" w:ascii="宋体" w:hAnsi="宋体" w:eastAsia="宋体" w:cs="宋体"/>
                <w:color w:val="auto"/>
                <w:sz w:val="18"/>
                <w:szCs w:val="18"/>
                <w:highlight w:val="none"/>
              </w:rPr>
            </w:pPr>
          </w:p>
        </w:tc>
      </w:tr>
    </w:tbl>
    <w:p w14:paraId="7146DE7A">
      <w:pPr>
        <w:keepNext/>
        <w:keepLines/>
        <w:tabs>
          <w:tab w:val="left" w:pos="720"/>
        </w:tabs>
        <w:spacing w:before="260" w:after="260" w:line="413" w:lineRule="auto"/>
        <w:outlineLvl w:val="2"/>
        <w:rPr>
          <w:rFonts w:hint="eastAsia" w:ascii="宋体" w:hAnsi="宋体" w:eastAsia="宋体" w:cs="宋体"/>
          <w:b/>
          <w:color w:val="auto"/>
          <w:sz w:val="28"/>
          <w:szCs w:val="28"/>
          <w:highlight w:val="none"/>
        </w:rPr>
      </w:pPr>
    </w:p>
    <w:p w14:paraId="144E13C4">
      <w:pPr>
        <w:rPr>
          <w:rFonts w:hint="eastAsia" w:ascii="宋体" w:hAnsi="宋体" w:eastAsia="宋体" w:cs="宋体"/>
          <w:b/>
          <w:color w:val="auto"/>
          <w:szCs w:val="21"/>
          <w:highlight w:val="none"/>
        </w:rPr>
      </w:pPr>
    </w:p>
    <w:p w14:paraId="72BC04BD">
      <w:pPr>
        <w:rPr>
          <w:rFonts w:hint="eastAsia" w:ascii="宋体" w:hAnsi="宋体" w:eastAsia="宋体" w:cs="宋体"/>
          <w:b/>
          <w:color w:val="auto"/>
          <w:szCs w:val="21"/>
          <w:highlight w:val="none"/>
        </w:rPr>
      </w:pPr>
    </w:p>
    <w:p w14:paraId="06678549">
      <w:pPr>
        <w:rPr>
          <w:rFonts w:hint="eastAsia" w:ascii="宋体" w:hAnsi="宋体" w:eastAsia="宋体" w:cs="宋体"/>
          <w:b/>
          <w:color w:val="auto"/>
          <w:szCs w:val="21"/>
          <w:highlight w:val="none"/>
        </w:rPr>
      </w:pPr>
    </w:p>
    <w:p w14:paraId="63D180EC">
      <w:pPr>
        <w:spacing w:line="460" w:lineRule="exac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（盖公司法人公章）</w:t>
      </w:r>
    </w:p>
    <w:p w14:paraId="61349AF5">
      <w:pPr>
        <w:spacing w:line="460" w:lineRule="exac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单位地址：</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p>
    <w:p w14:paraId="6B435ED5">
      <w:pPr>
        <w:spacing w:line="460" w:lineRule="exac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（签字或盖私章）</w:t>
      </w:r>
    </w:p>
    <w:p w14:paraId="01FC6E8D">
      <w:pPr>
        <w:spacing w:line="460" w:lineRule="exac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电话：</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 xml:space="preserve"> 传真：</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ab/>
      </w:r>
    </w:p>
    <w:p w14:paraId="246BA8E4">
      <w:pPr>
        <w:spacing w:line="460" w:lineRule="exact"/>
        <w:rPr>
          <w:rFonts w:hint="eastAsia" w:ascii="宋体" w:hAnsi="宋体" w:eastAsia="宋体" w:cs="宋体"/>
          <w:color w:val="auto"/>
          <w:szCs w:val="21"/>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ED49C4E">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 </w:t>
      </w:r>
    </w:p>
    <w:p w14:paraId="7F0CAD47">
      <w:pPr>
        <w:rPr>
          <w:rFonts w:hint="eastAsia" w:ascii="宋体" w:hAnsi="宋体" w:eastAsia="宋体" w:cs="宋体"/>
          <w:b/>
          <w:color w:val="auto"/>
          <w:szCs w:val="21"/>
          <w:highlight w:val="none"/>
        </w:rPr>
      </w:pPr>
    </w:p>
    <w:p w14:paraId="33467868">
      <w:pPr>
        <w:rPr>
          <w:rFonts w:hint="eastAsia" w:ascii="宋体" w:hAnsi="宋体" w:eastAsia="宋体" w:cs="宋体"/>
          <w:b/>
          <w:color w:val="auto"/>
          <w:szCs w:val="21"/>
          <w:highlight w:val="none"/>
        </w:rPr>
      </w:pPr>
    </w:p>
    <w:p w14:paraId="15687D4C">
      <w:pPr>
        <w:rPr>
          <w:rFonts w:hint="eastAsia" w:ascii="宋体" w:hAnsi="宋体" w:eastAsia="宋体" w:cs="宋体"/>
          <w:b/>
          <w:color w:val="auto"/>
          <w:szCs w:val="21"/>
          <w:highlight w:val="none"/>
        </w:rPr>
      </w:pPr>
    </w:p>
    <w:p w14:paraId="528E7A94">
      <w:pPr>
        <w:rPr>
          <w:rFonts w:hint="eastAsia" w:ascii="宋体" w:hAnsi="宋体" w:eastAsia="宋体" w:cs="宋体"/>
          <w:b/>
          <w:color w:val="auto"/>
          <w:szCs w:val="21"/>
          <w:highlight w:val="none"/>
        </w:rPr>
      </w:pPr>
    </w:p>
    <w:p w14:paraId="5EBBBF8A">
      <w:pPr>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（注：1、本投标函须每页加盖投标人公司法人公章；本投标文件必须按规定的格式打印,手写、涂改无效。2、大写金额数字用“零、壹、贰、叁、肆、伍、陆、柒、捌、玖”填写。）</w:t>
      </w:r>
    </w:p>
    <w:p w14:paraId="3BE4E728">
      <w:pPr>
        <w:rPr>
          <w:rFonts w:hint="eastAsia" w:ascii="宋体" w:hAnsi="宋体" w:eastAsia="宋体" w:cs="宋体"/>
          <w:color w:val="auto"/>
          <w:szCs w:val="21"/>
          <w:highlight w:val="none"/>
        </w:rPr>
      </w:pPr>
    </w:p>
    <w:p w14:paraId="595F8325">
      <w:pPr>
        <w:keepNext/>
        <w:keepLines/>
        <w:tabs>
          <w:tab w:val="left" w:pos="720"/>
        </w:tabs>
        <w:spacing w:before="260" w:after="260"/>
        <w:outlineLvl w:val="2"/>
        <w:rPr>
          <w:rFonts w:hint="eastAsia" w:ascii="宋体" w:hAnsi="宋体" w:eastAsia="宋体" w:cs="宋体"/>
          <w:b/>
          <w:color w:val="auto"/>
          <w:kern w:val="0"/>
          <w:sz w:val="24"/>
          <w:highlight w:val="none"/>
        </w:rPr>
        <w:sectPr>
          <w:footerReference r:id="rId4" w:type="default"/>
          <w:pgSz w:w="11906" w:h="16838"/>
          <w:pgMar w:top="1134" w:right="1418" w:bottom="1134" w:left="1418" w:header="851" w:footer="992" w:gutter="0"/>
          <w:pgNumType w:start="1"/>
          <w:cols w:space="720" w:num="1"/>
          <w:docGrid w:type="lines" w:linePitch="312" w:charSpace="0"/>
        </w:sectPr>
      </w:pPr>
    </w:p>
    <w:p w14:paraId="2C8770D7">
      <w:pPr>
        <w:keepNext/>
        <w:keepLines/>
        <w:tabs>
          <w:tab w:val="left" w:pos="720"/>
        </w:tabs>
        <w:spacing w:before="260" w:after="260"/>
        <w:outlineLvl w:val="2"/>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 xml:space="preserve"> 附件7：工程量清单</w:t>
      </w:r>
    </w:p>
    <w:p w14:paraId="0F609F6F">
      <w:pPr>
        <w:keepNext/>
        <w:keepLines/>
        <w:tabs>
          <w:tab w:val="left" w:pos="720"/>
        </w:tabs>
        <w:spacing w:before="260" w:after="260"/>
        <w:outlineLvl w:val="2"/>
        <w:rPr>
          <w:rFonts w:hint="eastAsia" w:ascii="宋体" w:hAnsi="宋体" w:eastAsia="宋体" w:cs="宋体"/>
          <w:b/>
          <w:color w:val="auto"/>
          <w:sz w:val="32"/>
          <w:szCs w:val="20"/>
          <w:highlight w:val="none"/>
        </w:rPr>
        <w:sectPr>
          <w:pgSz w:w="11906" w:h="16838"/>
          <w:pgMar w:top="1134" w:right="1418" w:bottom="1134" w:left="1418" w:header="851" w:footer="992" w:gutter="0"/>
          <w:pgNumType w:start="1"/>
          <w:cols w:space="720" w:num="1"/>
          <w:docGrid w:type="lines" w:linePitch="312" w:charSpace="0"/>
        </w:sectPr>
      </w:pPr>
    </w:p>
    <w:bookmarkEnd w:id="16"/>
    <w:bookmarkEnd w:id="17"/>
    <w:p w14:paraId="5AB12087">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bookmarkStart w:id="26" w:name="_Toc188989191"/>
      <w:bookmarkStart w:id="27" w:name="_Toc222777568"/>
      <w:bookmarkStart w:id="28" w:name="_Toc206142701"/>
      <w:r>
        <w:rPr>
          <w:rFonts w:hint="eastAsia" w:ascii="宋体" w:hAnsi="宋体" w:eastAsia="宋体" w:cs="宋体"/>
          <w:b/>
          <w:color w:val="auto"/>
          <w:sz w:val="32"/>
          <w:szCs w:val="20"/>
          <w:highlight w:val="none"/>
        </w:rPr>
        <w:t xml:space="preserve">附件8： </w:t>
      </w:r>
      <w:bookmarkStart w:id="29" w:name="_Toc369339235"/>
      <w:bookmarkStart w:id="30" w:name="_Toc367273965"/>
      <w:bookmarkStart w:id="31" w:name="_Toc371174881"/>
      <w:bookmarkStart w:id="32" w:name="_Toc417479599"/>
      <w:bookmarkStart w:id="33" w:name="_Toc309224398"/>
      <w:bookmarkStart w:id="34" w:name="_Toc289852516"/>
      <w:bookmarkStart w:id="35" w:name="_Toc367273907"/>
      <w:r>
        <w:rPr>
          <w:rFonts w:hint="eastAsia" w:ascii="宋体" w:hAnsi="宋体" w:eastAsia="宋体" w:cs="宋体"/>
          <w:b/>
          <w:color w:val="auto"/>
          <w:sz w:val="32"/>
          <w:szCs w:val="20"/>
          <w:highlight w:val="none"/>
        </w:rPr>
        <w:t>包含但不限于以下资料</w:t>
      </w:r>
      <w:bookmarkEnd w:id="29"/>
      <w:bookmarkEnd w:id="30"/>
      <w:bookmarkEnd w:id="31"/>
      <w:bookmarkEnd w:id="32"/>
      <w:bookmarkEnd w:id="33"/>
      <w:bookmarkEnd w:id="34"/>
      <w:bookmarkEnd w:id="35"/>
      <w:r>
        <w:rPr>
          <w:rFonts w:hint="eastAsia" w:ascii="宋体" w:hAnsi="宋体" w:eastAsia="宋体" w:cs="宋体"/>
          <w:b/>
          <w:color w:val="auto"/>
          <w:sz w:val="32"/>
          <w:szCs w:val="20"/>
          <w:highlight w:val="none"/>
        </w:rPr>
        <w:t>（复印加盖公章）</w:t>
      </w:r>
    </w:p>
    <w:p w14:paraId="3A9DF1A1">
      <w:pPr>
        <w:keepNext/>
        <w:keepLines/>
        <w:tabs>
          <w:tab w:val="left" w:pos="720"/>
        </w:tabs>
        <w:spacing w:before="260" w:after="260" w:line="413" w:lineRule="auto"/>
        <w:outlineLvl w:val="2"/>
        <w:rPr>
          <w:rFonts w:hint="eastAsia" w:ascii="宋体" w:hAnsi="宋体" w:eastAsia="宋体" w:cs="宋体"/>
          <w:b/>
          <w:color w:val="auto"/>
          <w:sz w:val="32"/>
          <w:szCs w:val="20"/>
          <w:highlight w:val="none"/>
        </w:rPr>
      </w:pPr>
    </w:p>
    <w:p w14:paraId="66713499">
      <w:pPr>
        <w:numPr>
          <w:ilvl w:val="0"/>
          <w:numId w:val="4"/>
        </w:numPr>
        <w:snapToGrid w:val="0"/>
        <w:spacing w:line="360" w:lineRule="auto"/>
        <w:ind w:left="1256" w:leftChars="428" w:hanging="357" w:hangingChars="14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投标人的营业执照</w:t>
      </w:r>
    </w:p>
    <w:p w14:paraId="68C40FB6">
      <w:pPr>
        <w:numPr>
          <w:ilvl w:val="0"/>
          <w:numId w:val="4"/>
        </w:numPr>
        <w:snapToGrid w:val="0"/>
        <w:spacing w:line="360" w:lineRule="auto"/>
        <w:ind w:left="1256" w:leftChars="428" w:hanging="357" w:hangingChars="14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投标人的资质证书</w:t>
      </w:r>
    </w:p>
    <w:p w14:paraId="73A67EBC">
      <w:pPr>
        <w:numPr>
          <w:ilvl w:val="0"/>
          <w:numId w:val="4"/>
        </w:numPr>
        <w:snapToGrid w:val="0"/>
        <w:spacing w:line="360" w:lineRule="auto"/>
        <w:ind w:left="1256" w:leftChars="428" w:hanging="357" w:hangingChars="14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投标人的安全生产许可证</w:t>
      </w:r>
    </w:p>
    <w:p w14:paraId="3C493B15">
      <w:pPr>
        <w:numPr>
          <w:ilvl w:val="0"/>
          <w:numId w:val="4"/>
        </w:numPr>
        <w:snapToGrid w:val="0"/>
        <w:spacing w:line="360" w:lineRule="auto"/>
        <w:ind w:left="1256" w:leftChars="428" w:hanging="357" w:hangingChars="14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电子税务局纳税人信息截图</w:t>
      </w:r>
    </w:p>
    <w:p w14:paraId="7C239E11">
      <w:pPr>
        <w:snapToGrid w:val="0"/>
        <w:spacing w:line="360" w:lineRule="auto"/>
        <w:ind w:left="586" w:leftChars="279"/>
        <w:rPr>
          <w:rFonts w:hint="eastAsia" w:ascii="宋体" w:hAnsi="宋体" w:eastAsia="宋体" w:cs="宋体"/>
          <w:color w:val="auto"/>
          <w:sz w:val="24"/>
          <w:szCs w:val="28"/>
          <w:highlight w:val="none"/>
        </w:rPr>
      </w:pPr>
    </w:p>
    <w:p w14:paraId="348F807E">
      <w:pPr>
        <w:snapToGrid w:val="0"/>
        <w:spacing w:line="360" w:lineRule="auto"/>
        <w:rPr>
          <w:rFonts w:hint="eastAsia" w:ascii="宋体" w:hAnsi="宋体" w:eastAsia="宋体" w:cs="宋体"/>
          <w:color w:val="auto"/>
          <w:sz w:val="24"/>
          <w:szCs w:val="28"/>
          <w:highlight w:val="none"/>
        </w:rPr>
      </w:pPr>
    </w:p>
    <w:p w14:paraId="6F15BBA5">
      <w:pPr>
        <w:snapToGrid w:val="0"/>
        <w:spacing w:line="360" w:lineRule="auto"/>
        <w:rPr>
          <w:rFonts w:hint="eastAsia" w:ascii="宋体" w:hAnsi="宋体" w:eastAsia="宋体" w:cs="宋体"/>
          <w:color w:val="auto"/>
          <w:sz w:val="22"/>
          <w:highlight w:val="none"/>
        </w:rPr>
      </w:pPr>
      <w:r>
        <w:rPr>
          <w:rFonts w:hint="eastAsia" w:ascii="宋体" w:hAnsi="宋体" w:eastAsia="宋体" w:cs="宋体"/>
          <w:color w:val="auto"/>
          <w:sz w:val="22"/>
          <w:highlight w:val="none"/>
        </w:rPr>
        <w:t>电子税务局纳税人信息截图示例（须可见公司全称）：</w:t>
      </w:r>
    </w:p>
    <w:p w14:paraId="7247A2C3">
      <w:pPr>
        <w:widowControl/>
        <w:spacing w:line="360" w:lineRule="auto"/>
        <w:jc w:val="left"/>
        <w:textAlignment w:val="center"/>
        <w:rPr>
          <w:rFonts w:hint="eastAsia" w:ascii="宋体" w:hAnsi="宋体" w:eastAsia="宋体" w:cs="宋体"/>
          <w:b/>
          <w:color w:val="auto"/>
          <w:sz w:val="32"/>
          <w:szCs w:val="20"/>
          <w:highlight w:val="none"/>
        </w:rPr>
      </w:pPr>
      <w:r>
        <w:rPr>
          <w:rFonts w:hint="eastAsia" w:ascii="宋体" w:hAnsi="宋体" w:eastAsia="宋体" w:cs="宋体"/>
          <w:b/>
          <w:color w:val="auto"/>
          <w:kern w:val="0"/>
          <w:sz w:val="32"/>
          <w:szCs w:val="20"/>
          <w:highlight w:val="none"/>
        </w:rPr>
        <w:drawing>
          <wp:inline distT="0" distB="0" distL="114300" distR="114300">
            <wp:extent cx="5749925" cy="2116455"/>
            <wp:effectExtent l="0" t="0" r="3175" b="17145"/>
            <wp:docPr id="1" name="图片 1" descr="fdac1346bddc18d9ac38ecd6300d9b4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dac1346bddc18d9ac38ecd6300d9b4a_"/>
                    <pic:cNvPicPr>
                      <a:picLocks noChangeAspect="1"/>
                    </pic:cNvPicPr>
                  </pic:nvPicPr>
                  <pic:blipFill>
                    <a:blip r:embed="rId9"/>
                    <a:stretch>
                      <a:fillRect/>
                    </a:stretch>
                  </pic:blipFill>
                  <pic:spPr>
                    <a:xfrm>
                      <a:off x="0" y="0"/>
                      <a:ext cx="5749925" cy="2116455"/>
                    </a:xfrm>
                    <a:prstGeom prst="rect">
                      <a:avLst/>
                    </a:prstGeom>
                    <a:noFill/>
                    <a:ln>
                      <a:noFill/>
                    </a:ln>
                  </pic:spPr>
                </pic:pic>
              </a:graphicData>
            </a:graphic>
          </wp:inline>
        </w:drawing>
      </w:r>
      <w:r>
        <w:rPr>
          <w:rFonts w:hint="eastAsia" w:ascii="宋体" w:hAnsi="宋体" w:eastAsia="宋体" w:cs="宋体"/>
          <w:b/>
          <w:color w:val="auto"/>
          <w:kern w:val="0"/>
          <w:sz w:val="32"/>
          <w:szCs w:val="20"/>
          <w:highlight w:val="none"/>
        </w:rPr>
        <w:br w:type="page"/>
      </w:r>
      <w:bookmarkEnd w:id="26"/>
      <w:bookmarkEnd w:id="27"/>
      <w:bookmarkEnd w:id="28"/>
      <w:r>
        <w:rPr>
          <w:rFonts w:hint="eastAsia" w:ascii="宋体" w:hAnsi="宋体" w:eastAsia="宋体" w:cs="宋体"/>
          <w:b/>
          <w:color w:val="auto"/>
          <w:sz w:val="32"/>
          <w:szCs w:val="20"/>
          <w:highlight w:val="none"/>
        </w:rPr>
        <w:t>附件9：其他资料（如有）</w:t>
      </w:r>
    </w:p>
    <w:p w14:paraId="12AEAB18">
      <w:pPr>
        <w:tabs>
          <w:tab w:val="left" w:pos="840"/>
        </w:tabs>
        <w:spacing w:line="360" w:lineRule="auto"/>
        <w:ind w:firstLine="424" w:firstLineChars="202"/>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（1）企业实力的相关证明材料（不作强制性要求，由投标人自行编制，并附相关证明材料；联合体参加投标时，可根据本项目评标办法要求提交）；</w:t>
      </w:r>
    </w:p>
    <w:p w14:paraId="549377E4">
      <w:pPr>
        <w:tabs>
          <w:tab w:val="left" w:pos="840"/>
        </w:tabs>
        <w:spacing w:line="360" w:lineRule="auto"/>
        <w:ind w:firstLine="424" w:firstLineChars="202"/>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（2）其他辅助说明资料。（如有，附相关证明资料复印件，格式自定）</w:t>
      </w:r>
    </w:p>
    <w:p w14:paraId="628CFD0B">
      <w:pPr>
        <w:tabs>
          <w:tab w:val="left" w:pos="840"/>
        </w:tabs>
        <w:spacing w:line="360" w:lineRule="auto"/>
        <w:ind w:firstLine="424" w:firstLineChars="202"/>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备注：上述投标人提供的相关辅助说明材料，均须加盖企业法人公章；如以联合体形式投标的，由联合体牵头人加盖公司法人公章。</w:t>
      </w:r>
    </w:p>
    <w:p w14:paraId="285EF026">
      <w:pPr>
        <w:tabs>
          <w:tab w:val="left" w:pos="840"/>
        </w:tabs>
        <w:spacing w:line="360" w:lineRule="auto"/>
        <w:ind w:firstLine="424" w:firstLineChars="202"/>
        <w:rPr>
          <w:rFonts w:hint="eastAsia" w:ascii="宋体" w:hAnsi="宋体" w:eastAsia="宋体" w:cs="宋体"/>
          <w:color w:val="auto"/>
          <w:kern w:val="0"/>
          <w:szCs w:val="21"/>
          <w:highlight w:val="none"/>
        </w:rPr>
      </w:pPr>
    </w:p>
    <w:p w14:paraId="67E873AB">
      <w:pPr>
        <w:tabs>
          <w:tab w:val="left" w:pos="840"/>
        </w:tabs>
        <w:spacing w:line="360" w:lineRule="auto"/>
        <w:ind w:firstLine="424" w:firstLineChars="202"/>
        <w:rPr>
          <w:rFonts w:hint="eastAsia" w:ascii="宋体" w:hAnsi="宋体" w:eastAsia="宋体" w:cs="宋体"/>
          <w:color w:val="auto"/>
          <w:kern w:val="0"/>
          <w:szCs w:val="21"/>
          <w:highlight w:val="none"/>
        </w:rPr>
      </w:pPr>
    </w:p>
    <w:p w14:paraId="039C2258">
      <w:pPr>
        <w:tabs>
          <w:tab w:val="left" w:pos="840"/>
        </w:tabs>
        <w:spacing w:line="360" w:lineRule="auto"/>
        <w:ind w:firstLine="424" w:firstLineChars="202"/>
        <w:rPr>
          <w:rFonts w:hint="eastAsia" w:ascii="宋体" w:hAnsi="宋体" w:eastAsia="宋体" w:cs="宋体"/>
          <w:color w:val="auto"/>
          <w:kern w:val="0"/>
          <w:szCs w:val="21"/>
          <w:highlight w:val="none"/>
        </w:rPr>
      </w:pPr>
    </w:p>
    <w:p w14:paraId="2B781A34">
      <w:pPr>
        <w:tabs>
          <w:tab w:val="left" w:pos="840"/>
        </w:tabs>
        <w:spacing w:line="360" w:lineRule="auto"/>
        <w:ind w:firstLine="424" w:firstLineChars="202"/>
        <w:rPr>
          <w:rFonts w:hint="eastAsia" w:ascii="宋体" w:hAnsi="宋体" w:eastAsia="宋体" w:cs="宋体"/>
          <w:color w:val="auto"/>
          <w:kern w:val="0"/>
          <w:szCs w:val="21"/>
          <w:highlight w:val="none"/>
        </w:rPr>
      </w:pPr>
    </w:p>
    <w:p w14:paraId="0FB9D269">
      <w:pPr>
        <w:tabs>
          <w:tab w:val="left" w:pos="840"/>
        </w:tabs>
        <w:spacing w:line="360" w:lineRule="auto"/>
        <w:ind w:firstLine="424" w:firstLineChars="202"/>
        <w:rPr>
          <w:rFonts w:hint="eastAsia" w:ascii="宋体" w:hAnsi="宋体" w:eastAsia="宋体" w:cs="宋体"/>
          <w:color w:val="auto"/>
          <w:kern w:val="0"/>
          <w:szCs w:val="21"/>
          <w:highlight w:val="none"/>
        </w:rPr>
      </w:pPr>
    </w:p>
    <w:p w14:paraId="7FD4565A">
      <w:pPr>
        <w:tabs>
          <w:tab w:val="left" w:pos="840"/>
        </w:tabs>
        <w:spacing w:line="360" w:lineRule="auto"/>
        <w:ind w:firstLine="424" w:firstLineChars="202"/>
        <w:rPr>
          <w:rFonts w:hint="eastAsia" w:ascii="宋体" w:hAnsi="宋体" w:eastAsia="宋体" w:cs="宋体"/>
          <w:color w:val="auto"/>
          <w:kern w:val="0"/>
          <w:szCs w:val="21"/>
          <w:highlight w:val="none"/>
        </w:rPr>
      </w:pPr>
    </w:p>
    <w:p w14:paraId="00098D16">
      <w:pPr>
        <w:tabs>
          <w:tab w:val="left" w:pos="840"/>
        </w:tabs>
        <w:spacing w:line="360" w:lineRule="auto"/>
        <w:ind w:firstLine="424" w:firstLineChars="202"/>
        <w:rPr>
          <w:rFonts w:hint="eastAsia" w:ascii="宋体" w:hAnsi="宋体" w:eastAsia="宋体" w:cs="宋体"/>
          <w:color w:val="auto"/>
          <w:kern w:val="0"/>
          <w:szCs w:val="21"/>
          <w:highlight w:val="none"/>
        </w:rPr>
      </w:pPr>
    </w:p>
    <w:p w14:paraId="06F60C51">
      <w:pPr>
        <w:tabs>
          <w:tab w:val="left" w:pos="840"/>
        </w:tabs>
        <w:spacing w:line="360" w:lineRule="auto"/>
        <w:ind w:firstLine="424" w:firstLineChars="202"/>
        <w:rPr>
          <w:rFonts w:hint="eastAsia" w:ascii="宋体" w:hAnsi="宋体" w:eastAsia="宋体" w:cs="宋体"/>
          <w:color w:val="auto"/>
          <w:kern w:val="0"/>
          <w:szCs w:val="21"/>
          <w:highlight w:val="none"/>
        </w:rPr>
      </w:pPr>
    </w:p>
    <w:p w14:paraId="77EF4CA0">
      <w:pPr>
        <w:tabs>
          <w:tab w:val="left" w:pos="840"/>
        </w:tabs>
        <w:spacing w:line="360" w:lineRule="auto"/>
        <w:ind w:firstLine="424" w:firstLineChars="202"/>
        <w:rPr>
          <w:rFonts w:hint="eastAsia" w:ascii="宋体" w:hAnsi="宋体" w:eastAsia="宋体" w:cs="宋体"/>
          <w:color w:val="auto"/>
          <w:kern w:val="0"/>
          <w:szCs w:val="21"/>
          <w:highlight w:val="none"/>
        </w:rPr>
      </w:pPr>
    </w:p>
    <w:p w14:paraId="7DE7D72C">
      <w:pPr>
        <w:tabs>
          <w:tab w:val="left" w:pos="840"/>
        </w:tabs>
        <w:spacing w:line="360" w:lineRule="auto"/>
        <w:ind w:firstLine="424" w:firstLineChars="202"/>
        <w:rPr>
          <w:rFonts w:hint="eastAsia" w:ascii="宋体" w:hAnsi="宋体" w:eastAsia="宋体" w:cs="宋体"/>
          <w:color w:val="auto"/>
          <w:kern w:val="0"/>
          <w:szCs w:val="21"/>
          <w:highlight w:val="none"/>
        </w:rPr>
      </w:pPr>
    </w:p>
    <w:p w14:paraId="42CA4E22">
      <w:pPr>
        <w:tabs>
          <w:tab w:val="left" w:pos="840"/>
        </w:tabs>
        <w:spacing w:line="360" w:lineRule="auto"/>
        <w:ind w:firstLine="424" w:firstLineChars="202"/>
        <w:rPr>
          <w:rFonts w:hint="eastAsia" w:ascii="宋体" w:hAnsi="宋体" w:eastAsia="宋体" w:cs="宋体"/>
          <w:color w:val="auto"/>
          <w:kern w:val="0"/>
          <w:szCs w:val="21"/>
          <w:highlight w:val="none"/>
        </w:rPr>
      </w:pPr>
    </w:p>
    <w:p w14:paraId="3514DF8C">
      <w:pPr>
        <w:tabs>
          <w:tab w:val="left" w:pos="840"/>
        </w:tabs>
        <w:spacing w:line="360" w:lineRule="auto"/>
        <w:ind w:firstLine="424" w:firstLineChars="202"/>
        <w:rPr>
          <w:rFonts w:hint="eastAsia" w:ascii="宋体" w:hAnsi="宋体" w:eastAsia="宋体" w:cs="宋体"/>
          <w:color w:val="auto"/>
          <w:kern w:val="0"/>
          <w:szCs w:val="21"/>
          <w:highlight w:val="none"/>
        </w:rPr>
      </w:pPr>
    </w:p>
    <w:p w14:paraId="10010698">
      <w:pPr>
        <w:tabs>
          <w:tab w:val="left" w:pos="840"/>
        </w:tabs>
        <w:spacing w:line="360" w:lineRule="auto"/>
        <w:ind w:firstLine="424" w:firstLineChars="202"/>
        <w:rPr>
          <w:rFonts w:hint="eastAsia" w:ascii="宋体" w:hAnsi="宋体" w:eastAsia="宋体" w:cs="宋体"/>
          <w:color w:val="auto"/>
          <w:kern w:val="0"/>
          <w:szCs w:val="21"/>
          <w:highlight w:val="none"/>
        </w:rPr>
      </w:pPr>
    </w:p>
    <w:p w14:paraId="7460AA4B">
      <w:pPr>
        <w:tabs>
          <w:tab w:val="left" w:pos="840"/>
        </w:tabs>
        <w:spacing w:line="360" w:lineRule="auto"/>
        <w:ind w:firstLine="424" w:firstLineChars="202"/>
        <w:rPr>
          <w:rFonts w:hint="eastAsia" w:ascii="宋体" w:hAnsi="宋体" w:eastAsia="宋体" w:cs="宋体"/>
          <w:color w:val="auto"/>
          <w:kern w:val="0"/>
          <w:szCs w:val="21"/>
          <w:highlight w:val="none"/>
        </w:rPr>
      </w:pPr>
    </w:p>
    <w:p w14:paraId="04C2F70E">
      <w:pPr>
        <w:tabs>
          <w:tab w:val="left" w:pos="840"/>
        </w:tabs>
        <w:spacing w:line="360" w:lineRule="auto"/>
        <w:ind w:firstLine="424" w:firstLineChars="202"/>
        <w:rPr>
          <w:rFonts w:hint="eastAsia" w:ascii="宋体" w:hAnsi="宋体" w:eastAsia="宋体" w:cs="宋体"/>
          <w:color w:val="auto"/>
          <w:kern w:val="0"/>
          <w:szCs w:val="21"/>
          <w:highlight w:val="none"/>
        </w:rPr>
      </w:pPr>
    </w:p>
    <w:p w14:paraId="4C70143D">
      <w:pPr>
        <w:tabs>
          <w:tab w:val="left" w:pos="840"/>
        </w:tabs>
        <w:spacing w:line="360" w:lineRule="auto"/>
        <w:ind w:firstLine="424" w:firstLineChars="202"/>
        <w:rPr>
          <w:rFonts w:hint="eastAsia" w:ascii="宋体" w:hAnsi="宋体" w:eastAsia="宋体" w:cs="宋体"/>
          <w:color w:val="auto"/>
          <w:kern w:val="0"/>
          <w:szCs w:val="21"/>
          <w:highlight w:val="none"/>
        </w:rPr>
      </w:pPr>
    </w:p>
    <w:p w14:paraId="2679B349">
      <w:pPr>
        <w:tabs>
          <w:tab w:val="left" w:pos="840"/>
        </w:tabs>
        <w:spacing w:line="360" w:lineRule="auto"/>
        <w:ind w:firstLine="424" w:firstLineChars="202"/>
        <w:rPr>
          <w:rFonts w:hint="eastAsia" w:ascii="宋体" w:hAnsi="宋体" w:eastAsia="宋体" w:cs="宋体"/>
          <w:color w:val="auto"/>
          <w:kern w:val="0"/>
          <w:szCs w:val="21"/>
          <w:highlight w:val="none"/>
        </w:rPr>
      </w:pPr>
    </w:p>
    <w:p w14:paraId="2BFA5BDC">
      <w:pPr>
        <w:tabs>
          <w:tab w:val="left" w:pos="840"/>
        </w:tabs>
        <w:spacing w:line="360" w:lineRule="auto"/>
        <w:ind w:firstLine="424" w:firstLineChars="202"/>
        <w:rPr>
          <w:rFonts w:hint="eastAsia" w:ascii="宋体" w:hAnsi="宋体" w:eastAsia="宋体" w:cs="宋体"/>
          <w:color w:val="auto"/>
          <w:kern w:val="0"/>
          <w:szCs w:val="21"/>
          <w:highlight w:val="none"/>
        </w:rPr>
      </w:pPr>
    </w:p>
    <w:p w14:paraId="03C51B53">
      <w:pPr>
        <w:tabs>
          <w:tab w:val="left" w:pos="840"/>
        </w:tabs>
        <w:spacing w:line="360" w:lineRule="auto"/>
        <w:ind w:firstLine="424" w:firstLineChars="202"/>
        <w:rPr>
          <w:rFonts w:hint="eastAsia" w:ascii="宋体" w:hAnsi="宋体" w:eastAsia="宋体" w:cs="宋体"/>
          <w:color w:val="auto"/>
          <w:kern w:val="0"/>
          <w:szCs w:val="21"/>
          <w:highlight w:val="none"/>
        </w:rPr>
      </w:pPr>
    </w:p>
    <w:p w14:paraId="49C76EB9">
      <w:pPr>
        <w:tabs>
          <w:tab w:val="left" w:pos="840"/>
        </w:tabs>
        <w:spacing w:line="360" w:lineRule="auto"/>
        <w:ind w:firstLine="424" w:firstLineChars="202"/>
        <w:rPr>
          <w:rFonts w:hint="eastAsia" w:ascii="宋体" w:hAnsi="宋体" w:eastAsia="宋体" w:cs="宋体"/>
          <w:color w:val="auto"/>
          <w:kern w:val="0"/>
          <w:szCs w:val="21"/>
          <w:highlight w:val="none"/>
        </w:rPr>
      </w:pPr>
    </w:p>
    <w:p w14:paraId="3520DD16">
      <w:pPr>
        <w:tabs>
          <w:tab w:val="left" w:pos="840"/>
        </w:tabs>
        <w:spacing w:line="360" w:lineRule="auto"/>
        <w:ind w:firstLine="424" w:firstLineChars="202"/>
        <w:rPr>
          <w:rFonts w:hint="eastAsia" w:ascii="宋体" w:hAnsi="宋体" w:eastAsia="宋体" w:cs="宋体"/>
          <w:color w:val="auto"/>
          <w:kern w:val="0"/>
          <w:szCs w:val="21"/>
          <w:highlight w:val="none"/>
        </w:rPr>
      </w:pPr>
    </w:p>
    <w:p w14:paraId="04E3C552">
      <w:pPr>
        <w:tabs>
          <w:tab w:val="left" w:pos="840"/>
        </w:tabs>
        <w:spacing w:line="360" w:lineRule="auto"/>
        <w:ind w:firstLine="424" w:firstLineChars="202"/>
        <w:rPr>
          <w:rFonts w:hint="eastAsia" w:ascii="宋体" w:hAnsi="宋体" w:eastAsia="宋体" w:cs="宋体"/>
          <w:color w:val="auto"/>
          <w:kern w:val="0"/>
          <w:szCs w:val="21"/>
          <w:highlight w:val="none"/>
        </w:rPr>
      </w:pPr>
    </w:p>
    <w:p w14:paraId="674262D6">
      <w:pPr>
        <w:tabs>
          <w:tab w:val="left" w:pos="840"/>
        </w:tabs>
        <w:spacing w:line="360" w:lineRule="auto"/>
        <w:ind w:firstLine="424" w:firstLineChars="202"/>
        <w:rPr>
          <w:rFonts w:hint="eastAsia" w:ascii="宋体" w:hAnsi="宋体" w:eastAsia="宋体" w:cs="宋体"/>
          <w:color w:val="auto"/>
          <w:kern w:val="0"/>
          <w:szCs w:val="21"/>
          <w:highlight w:val="none"/>
        </w:rPr>
      </w:pPr>
    </w:p>
    <w:p w14:paraId="6AC6B69D">
      <w:pPr>
        <w:tabs>
          <w:tab w:val="left" w:pos="840"/>
        </w:tabs>
        <w:spacing w:line="360" w:lineRule="auto"/>
        <w:rPr>
          <w:rFonts w:hint="eastAsia" w:ascii="宋体" w:hAnsi="宋体" w:eastAsia="宋体" w:cs="宋体"/>
          <w:color w:val="auto"/>
          <w:kern w:val="0"/>
          <w:szCs w:val="21"/>
          <w:highlight w:val="none"/>
        </w:rPr>
      </w:pPr>
    </w:p>
    <w:p w14:paraId="78D2CFFC">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szCs w:val="28"/>
          <w:highlight w:val="none"/>
        </w:rPr>
        <w:br w:type="page"/>
      </w:r>
    </w:p>
    <w:p w14:paraId="7D693F4E">
      <w:pPr>
        <w:ind w:firstLine="480" w:firstLineChars="200"/>
        <w:rPr>
          <w:rFonts w:hint="eastAsia" w:ascii="宋体" w:hAnsi="宋体" w:eastAsia="宋体" w:cs="宋体"/>
          <w:color w:val="auto"/>
          <w:sz w:val="24"/>
          <w:highlight w:val="none"/>
        </w:rPr>
      </w:pPr>
    </w:p>
    <w:p w14:paraId="5FB9A80C">
      <w:pPr>
        <w:widowControl/>
        <w:spacing w:line="360" w:lineRule="auto"/>
        <w:ind w:left="980"/>
        <w:jc w:val="center"/>
        <w:rPr>
          <w:rFonts w:hint="eastAsia" w:ascii="宋体" w:hAnsi="宋体" w:eastAsia="宋体" w:cs="宋体"/>
          <w:color w:val="auto"/>
          <w:kern w:val="0"/>
          <w:sz w:val="84"/>
          <w:szCs w:val="20"/>
          <w:highlight w:val="none"/>
        </w:rPr>
      </w:pPr>
    </w:p>
    <w:p w14:paraId="0F6B9E01">
      <w:pPr>
        <w:widowControl/>
        <w:spacing w:line="360" w:lineRule="auto"/>
        <w:ind w:left="980"/>
        <w:jc w:val="center"/>
        <w:rPr>
          <w:rFonts w:hint="eastAsia" w:ascii="宋体" w:hAnsi="宋体" w:eastAsia="宋体" w:cs="宋体"/>
          <w:color w:val="auto"/>
          <w:kern w:val="0"/>
          <w:sz w:val="84"/>
          <w:szCs w:val="20"/>
          <w:highlight w:val="none"/>
        </w:rPr>
      </w:pPr>
    </w:p>
    <w:p w14:paraId="52C16C96">
      <w:pPr>
        <w:ind w:firstLine="420" w:firstLineChars="200"/>
        <w:rPr>
          <w:rFonts w:hint="eastAsia" w:ascii="宋体" w:hAnsi="宋体" w:eastAsia="宋体" w:cs="宋体"/>
          <w:color w:val="auto"/>
          <w:szCs w:val="21"/>
          <w:highlight w:val="none"/>
        </w:rPr>
      </w:pPr>
    </w:p>
    <w:p w14:paraId="1477B676">
      <w:pPr>
        <w:ind w:firstLine="420" w:firstLineChars="200"/>
        <w:rPr>
          <w:rFonts w:hint="eastAsia" w:ascii="宋体" w:hAnsi="宋体" w:eastAsia="宋体" w:cs="宋体"/>
          <w:color w:val="auto"/>
          <w:szCs w:val="21"/>
          <w:highlight w:val="none"/>
        </w:rPr>
      </w:pPr>
    </w:p>
    <w:p w14:paraId="569FB3AA">
      <w:pPr>
        <w:ind w:firstLine="420" w:firstLineChars="200"/>
        <w:rPr>
          <w:rFonts w:hint="eastAsia" w:ascii="宋体" w:hAnsi="宋体" w:eastAsia="宋体" w:cs="宋体"/>
          <w:color w:val="auto"/>
          <w:szCs w:val="21"/>
          <w:highlight w:val="none"/>
        </w:rPr>
      </w:pPr>
    </w:p>
    <w:p w14:paraId="2A22F139">
      <w:pPr>
        <w:ind w:firstLine="420" w:firstLineChars="200"/>
        <w:rPr>
          <w:rFonts w:hint="eastAsia" w:ascii="宋体" w:hAnsi="宋体" w:eastAsia="宋体" w:cs="宋体"/>
          <w:color w:val="auto"/>
          <w:szCs w:val="21"/>
          <w:highlight w:val="none"/>
        </w:rPr>
      </w:pPr>
    </w:p>
    <w:p w14:paraId="4334066D">
      <w:pPr>
        <w:ind w:firstLine="420" w:firstLineChars="200"/>
        <w:rPr>
          <w:rFonts w:hint="eastAsia" w:ascii="宋体" w:hAnsi="宋体" w:eastAsia="宋体" w:cs="宋体"/>
          <w:color w:val="auto"/>
          <w:szCs w:val="21"/>
          <w:highlight w:val="none"/>
        </w:rPr>
      </w:pPr>
    </w:p>
    <w:p w14:paraId="2B2904FD">
      <w:pPr>
        <w:ind w:firstLine="420" w:firstLineChars="200"/>
        <w:rPr>
          <w:rFonts w:hint="eastAsia" w:ascii="宋体" w:hAnsi="宋体" w:eastAsia="宋体" w:cs="宋体"/>
          <w:color w:val="auto"/>
          <w:szCs w:val="21"/>
          <w:highlight w:val="none"/>
        </w:rPr>
      </w:pPr>
    </w:p>
    <w:p w14:paraId="51A4C75B">
      <w:pPr>
        <w:ind w:firstLine="420" w:firstLineChars="200"/>
        <w:rPr>
          <w:rFonts w:hint="eastAsia" w:ascii="宋体" w:hAnsi="宋体" w:eastAsia="宋体" w:cs="宋体"/>
          <w:color w:val="auto"/>
          <w:szCs w:val="21"/>
          <w:highlight w:val="none"/>
        </w:rPr>
      </w:pPr>
    </w:p>
    <w:p w14:paraId="141FF69B">
      <w:pPr>
        <w:ind w:firstLine="420" w:firstLineChars="200"/>
        <w:rPr>
          <w:rFonts w:hint="eastAsia" w:ascii="宋体" w:hAnsi="宋体" w:eastAsia="宋体" w:cs="宋体"/>
          <w:color w:val="auto"/>
          <w:szCs w:val="21"/>
          <w:highlight w:val="none"/>
        </w:rPr>
      </w:pPr>
    </w:p>
    <w:p w14:paraId="37F71167">
      <w:pPr>
        <w:ind w:firstLine="420" w:firstLineChars="200"/>
        <w:rPr>
          <w:rFonts w:hint="eastAsia" w:ascii="宋体" w:hAnsi="宋体" w:eastAsia="宋体" w:cs="宋体"/>
          <w:color w:val="auto"/>
          <w:szCs w:val="21"/>
          <w:highlight w:val="none"/>
        </w:rPr>
      </w:pPr>
    </w:p>
    <w:p w14:paraId="67784622">
      <w:pPr>
        <w:ind w:firstLine="420" w:firstLineChars="200"/>
        <w:rPr>
          <w:rFonts w:hint="eastAsia" w:ascii="宋体" w:hAnsi="宋体" w:eastAsia="宋体" w:cs="宋体"/>
          <w:color w:val="auto"/>
          <w:szCs w:val="21"/>
          <w:highlight w:val="none"/>
        </w:rPr>
      </w:pPr>
    </w:p>
    <w:p w14:paraId="723CF8A5">
      <w:pPr>
        <w:ind w:firstLine="420" w:firstLineChars="200"/>
        <w:rPr>
          <w:rFonts w:hint="eastAsia" w:ascii="宋体" w:hAnsi="宋体" w:eastAsia="宋体" w:cs="宋体"/>
          <w:color w:val="auto"/>
          <w:szCs w:val="21"/>
          <w:highlight w:val="none"/>
        </w:rPr>
      </w:pPr>
    </w:p>
    <w:p w14:paraId="7F7FC50D">
      <w:pPr>
        <w:rPr>
          <w:rFonts w:hint="eastAsia" w:ascii="宋体" w:hAnsi="宋体" w:eastAsia="宋体" w:cs="宋体"/>
          <w:color w:val="auto"/>
          <w:highlight w:val="none"/>
        </w:rPr>
      </w:pPr>
    </w:p>
    <w:p w14:paraId="2D069EE1">
      <w:pPr>
        <w:widowControl/>
        <w:snapToGrid w:val="0"/>
        <w:spacing w:line="360" w:lineRule="auto"/>
        <w:ind w:firstLine="800" w:firstLineChars="250"/>
        <w:jc w:val="center"/>
        <w:rPr>
          <w:rFonts w:hint="eastAsia" w:ascii="宋体" w:hAnsi="宋体" w:eastAsia="宋体" w:cs="宋体"/>
          <w:color w:val="auto"/>
          <w:sz w:val="32"/>
          <w:highlight w:val="none"/>
        </w:rPr>
      </w:pPr>
      <w:r>
        <w:rPr>
          <w:rFonts w:hint="eastAsia" w:ascii="宋体" w:hAnsi="宋体" w:eastAsia="宋体" w:cs="宋体"/>
          <w:color w:val="auto"/>
          <w:sz w:val="32"/>
          <w:highlight w:val="none"/>
        </w:rPr>
        <w:t>第四部分 合同样本</w:t>
      </w:r>
    </w:p>
    <w:p w14:paraId="3E591406">
      <w:pPr>
        <w:spacing w:line="360" w:lineRule="auto"/>
        <w:ind w:firstLine="420" w:firstLineChars="200"/>
        <w:jc w:val="left"/>
        <w:rPr>
          <w:rFonts w:hint="eastAsia" w:ascii="宋体" w:hAnsi="宋体" w:eastAsia="宋体" w:cs="宋体"/>
          <w:color w:val="auto"/>
          <w:highlight w:val="none"/>
        </w:rPr>
      </w:pPr>
    </w:p>
    <w:p w14:paraId="452BC0BB">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160D3E0A">
      <w:pPr>
        <w:spacing w:line="360" w:lineRule="auto"/>
        <w:ind w:firstLine="420" w:firstLineChars="200"/>
        <w:jc w:val="left"/>
        <w:rPr>
          <w:rFonts w:hint="eastAsia" w:ascii="宋体" w:hAnsi="宋体" w:eastAsia="宋体" w:cs="宋体"/>
          <w:color w:val="auto"/>
          <w:highlight w:val="none"/>
        </w:rPr>
      </w:pPr>
    </w:p>
    <w:p w14:paraId="10421C7B">
      <w:pPr>
        <w:spacing w:line="360" w:lineRule="auto"/>
        <w:ind w:firstLine="420" w:firstLineChars="200"/>
        <w:jc w:val="left"/>
        <w:rPr>
          <w:rFonts w:hint="eastAsia" w:ascii="宋体" w:hAnsi="宋体" w:eastAsia="宋体" w:cs="宋体"/>
          <w:color w:val="auto"/>
          <w:highlight w:val="none"/>
        </w:rPr>
      </w:pPr>
    </w:p>
    <w:p w14:paraId="01B5225C">
      <w:pPr>
        <w:spacing w:line="360" w:lineRule="auto"/>
        <w:ind w:firstLine="420" w:firstLineChars="200"/>
        <w:jc w:val="left"/>
        <w:rPr>
          <w:rFonts w:hint="eastAsia" w:ascii="宋体" w:hAnsi="宋体" w:eastAsia="宋体" w:cs="宋体"/>
          <w:color w:val="auto"/>
          <w:highlight w:val="none"/>
        </w:rPr>
      </w:pPr>
    </w:p>
    <w:p w14:paraId="183778F4">
      <w:pPr>
        <w:spacing w:line="360" w:lineRule="auto"/>
        <w:ind w:firstLine="420" w:firstLineChars="200"/>
        <w:jc w:val="left"/>
        <w:rPr>
          <w:rFonts w:hint="eastAsia" w:ascii="宋体" w:hAnsi="宋体" w:eastAsia="宋体" w:cs="宋体"/>
          <w:color w:val="auto"/>
          <w:highlight w:val="none"/>
        </w:rPr>
      </w:pPr>
    </w:p>
    <w:p w14:paraId="4B6C011B">
      <w:pPr>
        <w:spacing w:line="360" w:lineRule="auto"/>
        <w:ind w:firstLine="420" w:firstLineChars="200"/>
        <w:jc w:val="left"/>
        <w:rPr>
          <w:rFonts w:hint="eastAsia" w:ascii="宋体" w:hAnsi="宋体" w:eastAsia="宋体" w:cs="宋体"/>
          <w:color w:val="auto"/>
          <w:highlight w:val="none"/>
        </w:rPr>
      </w:pPr>
    </w:p>
    <w:p w14:paraId="3CF967E8">
      <w:pPr>
        <w:spacing w:line="360" w:lineRule="auto"/>
        <w:ind w:firstLine="420" w:firstLineChars="200"/>
        <w:jc w:val="left"/>
        <w:rPr>
          <w:rFonts w:hint="eastAsia" w:ascii="宋体" w:hAnsi="宋体" w:eastAsia="宋体" w:cs="宋体"/>
          <w:color w:val="auto"/>
          <w:highlight w:val="none"/>
        </w:rPr>
      </w:pPr>
    </w:p>
    <w:p w14:paraId="3FF42D8D">
      <w:pPr>
        <w:spacing w:line="360" w:lineRule="auto"/>
        <w:ind w:firstLine="420" w:firstLineChars="200"/>
        <w:jc w:val="left"/>
        <w:rPr>
          <w:rFonts w:hint="eastAsia" w:ascii="宋体" w:hAnsi="宋体" w:eastAsia="宋体" w:cs="宋体"/>
          <w:color w:val="auto"/>
          <w:highlight w:val="none"/>
        </w:rPr>
      </w:pPr>
    </w:p>
    <w:p w14:paraId="3AF629C2">
      <w:pPr>
        <w:spacing w:line="360" w:lineRule="auto"/>
        <w:ind w:firstLine="420" w:firstLineChars="200"/>
        <w:jc w:val="left"/>
        <w:rPr>
          <w:rFonts w:hint="eastAsia" w:ascii="宋体" w:hAnsi="宋体" w:eastAsia="宋体" w:cs="宋体"/>
          <w:color w:val="auto"/>
          <w:highlight w:val="none"/>
        </w:rPr>
      </w:pPr>
    </w:p>
    <w:p w14:paraId="51D3FEF3">
      <w:pPr>
        <w:spacing w:line="360" w:lineRule="auto"/>
        <w:ind w:firstLine="420" w:firstLineChars="200"/>
        <w:jc w:val="left"/>
        <w:rPr>
          <w:rFonts w:hint="eastAsia" w:ascii="宋体" w:hAnsi="宋体" w:eastAsia="宋体" w:cs="宋体"/>
          <w:color w:val="auto"/>
          <w:highlight w:val="none"/>
        </w:rPr>
      </w:pPr>
    </w:p>
    <w:p w14:paraId="2CCE7BD3">
      <w:pPr>
        <w:spacing w:line="360" w:lineRule="auto"/>
        <w:ind w:firstLine="420" w:firstLineChars="200"/>
        <w:jc w:val="left"/>
        <w:rPr>
          <w:rFonts w:hint="eastAsia" w:ascii="宋体" w:hAnsi="宋体" w:eastAsia="宋体" w:cs="宋体"/>
          <w:color w:val="auto"/>
          <w:highlight w:val="none"/>
        </w:rPr>
      </w:pPr>
    </w:p>
    <w:p w14:paraId="059DC204">
      <w:pPr>
        <w:jc w:val="both"/>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 xml:space="preserve">                       </w:t>
      </w:r>
    </w:p>
    <w:p w14:paraId="02DF5F64">
      <w:pPr>
        <w:jc w:val="both"/>
        <w:rPr>
          <w:rFonts w:hint="eastAsia" w:ascii="宋体" w:hAnsi="宋体" w:eastAsia="宋体" w:cs="宋体"/>
          <w:b/>
          <w:i/>
          <w:color w:val="auto"/>
          <w:sz w:val="52"/>
          <w:highlight w:val="none"/>
          <w:u w:val="single"/>
        </w:rPr>
      </w:pPr>
    </w:p>
    <w:p w14:paraId="592F90F8">
      <w:pPr>
        <w:jc w:val="center"/>
        <w:rPr>
          <w:rFonts w:hint="eastAsia" w:ascii="宋体" w:hAnsi="宋体" w:eastAsia="宋体" w:cs="宋体"/>
          <w:color w:val="auto"/>
          <w:sz w:val="52"/>
          <w:highlight w:val="none"/>
        </w:rPr>
      </w:pPr>
      <w:r>
        <w:rPr>
          <w:rFonts w:hint="eastAsia" w:ascii="宋体" w:hAnsi="宋体" w:eastAsia="宋体" w:cs="宋体"/>
          <w:color w:val="auto"/>
          <w:sz w:val="52"/>
          <w:highlight w:val="none"/>
        </w:rPr>
        <w:t>劳务分包施工合同</w:t>
      </w:r>
    </w:p>
    <w:p w14:paraId="4C6CA8A5">
      <w:pPr>
        <w:jc w:val="center"/>
        <w:rPr>
          <w:rFonts w:hint="eastAsia" w:ascii="宋体" w:hAnsi="宋体" w:eastAsia="宋体" w:cs="宋体"/>
          <w:color w:val="auto"/>
          <w:sz w:val="52"/>
          <w:highlight w:val="none"/>
        </w:rPr>
      </w:pPr>
    </w:p>
    <w:p w14:paraId="28645F01">
      <w:pPr>
        <w:tabs>
          <w:tab w:val="left" w:pos="1780"/>
        </w:tabs>
        <w:jc w:val="left"/>
        <w:rPr>
          <w:rFonts w:hint="eastAsia" w:ascii="宋体" w:hAnsi="宋体" w:eastAsia="宋体" w:cs="宋体"/>
          <w:color w:val="auto"/>
          <w:sz w:val="28"/>
          <w:highlight w:val="none"/>
        </w:rPr>
      </w:pPr>
      <w:r>
        <w:rPr>
          <w:rFonts w:hint="eastAsia" w:ascii="宋体" w:hAnsi="宋体" w:eastAsia="宋体" w:cs="宋体"/>
          <w:color w:val="auto"/>
          <w:sz w:val="28"/>
          <w:highlight w:val="none"/>
        </w:rPr>
        <w:tab/>
      </w:r>
    </w:p>
    <w:p w14:paraId="3704DF99">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rPr>
      </w:pPr>
    </w:p>
    <w:p w14:paraId="58618C0A">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u w:val="single"/>
          <w:lang w:val="en-US" w:eastAsia="zh-CN"/>
        </w:rPr>
      </w:pPr>
      <w:r>
        <w:rPr>
          <w:rFonts w:hint="eastAsia" w:ascii="宋体" w:hAnsi="宋体" w:eastAsia="宋体" w:cs="宋体"/>
          <w:b/>
          <w:bCs w:val="0"/>
          <w:sz w:val="32"/>
          <w:szCs w:val="32"/>
        </w:rPr>
        <w:t>工程名称：</w:t>
      </w:r>
      <w:r>
        <w:rPr>
          <w:rFonts w:hint="eastAsia" w:ascii="宋体" w:hAnsi="宋体" w:eastAsia="宋体" w:cs="宋体"/>
          <w:b/>
          <w:bCs w:val="0"/>
          <w:sz w:val="32"/>
          <w:szCs w:val="32"/>
          <w:u w:val="single"/>
          <w:lang w:val="en-US" w:eastAsia="zh-CN"/>
        </w:rPr>
        <w:t>城工集团照明工程劳务分包—（沙田中学、应急消防基地、生物技术产业园）</w:t>
      </w:r>
    </w:p>
    <w:p w14:paraId="2B4FA486">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rPr>
      </w:pPr>
    </w:p>
    <w:p w14:paraId="2E1EA84E">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u w:val="single"/>
          <w:lang w:val="en-US" w:eastAsia="zh-CN"/>
        </w:rPr>
      </w:pPr>
      <w:r>
        <w:rPr>
          <w:rFonts w:hint="eastAsia" w:ascii="宋体" w:hAnsi="宋体" w:eastAsia="宋体" w:cs="宋体"/>
          <w:b/>
          <w:bCs w:val="0"/>
          <w:sz w:val="32"/>
          <w:szCs w:val="32"/>
        </w:rPr>
        <w:t>工程地点：</w:t>
      </w:r>
      <w:r>
        <w:rPr>
          <w:rFonts w:hint="eastAsia" w:ascii="宋体" w:hAnsi="宋体" w:eastAsia="宋体" w:cs="宋体"/>
          <w:b/>
          <w:bCs w:val="0"/>
          <w:sz w:val="32"/>
          <w:szCs w:val="32"/>
          <w:u w:val="single"/>
        </w:rPr>
        <w:t xml:space="preserve"> 东莞市沙田镇</w:t>
      </w:r>
      <w:r>
        <w:rPr>
          <w:rFonts w:hint="eastAsia" w:ascii="宋体" w:hAnsi="宋体" w:eastAsia="宋体" w:cs="宋体"/>
          <w:b/>
          <w:bCs w:val="0"/>
          <w:sz w:val="32"/>
          <w:szCs w:val="32"/>
          <w:u w:val="single"/>
          <w:lang w:val="en-US" w:eastAsia="zh-CN"/>
        </w:rPr>
        <w:t xml:space="preserve"> </w:t>
      </w:r>
      <w:r>
        <w:rPr>
          <w:rFonts w:hint="eastAsia" w:ascii="宋体" w:hAnsi="宋体" w:cs="宋体"/>
          <w:b/>
          <w:bCs w:val="0"/>
          <w:sz w:val="32"/>
          <w:szCs w:val="32"/>
          <w:u w:val="single"/>
          <w:lang w:val="en-US" w:eastAsia="zh-CN"/>
        </w:rPr>
        <w:t>、</w:t>
      </w:r>
      <w:r>
        <w:rPr>
          <w:rFonts w:hint="eastAsia" w:ascii="宋体" w:hAnsi="宋体" w:eastAsia="宋体" w:cs="宋体"/>
          <w:b/>
          <w:bCs w:val="0"/>
          <w:sz w:val="32"/>
          <w:szCs w:val="32"/>
          <w:u w:val="single"/>
        </w:rPr>
        <w:t>东莞市万江街道</w:t>
      </w:r>
      <w:r>
        <w:rPr>
          <w:rFonts w:hint="eastAsia" w:ascii="宋体" w:hAnsi="宋体" w:cs="宋体"/>
          <w:b/>
          <w:bCs w:val="0"/>
          <w:sz w:val="32"/>
          <w:szCs w:val="32"/>
          <w:u w:val="single"/>
          <w:lang w:eastAsia="zh-CN"/>
        </w:rPr>
        <w:t>、</w:t>
      </w:r>
      <w:r>
        <w:rPr>
          <w:rFonts w:hint="eastAsia" w:ascii="宋体" w:hAnsi="宋体" w:eastAsia="宋体" w:cs="宋体"/>
          <w:b/>
          <w:bCs w:val="0"/>
          <w:sz w:val="32"/>
          <w:szCs w:val="32"/>
          <w:u w:val="single"/>
        </w:rPr>
        <w:t>东莞市松山湖</w:t>
      </w:r>
      <w:r>
        <w:rPr>
          <w:rFonts w:hint="eastAsia" w:ascii="宋体" w:hAnsi="宋体" w:eastAsia="宋体" w:cs="宋体"/>
          <w:b/>
          <w:bCs w:val="0"/>
          <w:sz w:val="32"/>
          <w:szCs w:val="32"/>
          <w:u w:val="single"/>
          <w:lang w:val="en-US" w:eastAsia="zh-CN"/>
        </w:rPr>
        <w:t xml:space="preserve">    </w:t>
      </w:r>
    </w:p>
    <w:p w14:paraId="6189E67F">
      <w:pPr>
        <w:keepNext w:val="0"/>
        <w:keepLines w:val="0"/>
        <w:pageBreakBefore w:val="0"/>
        <w:widowControl w:val="0"/>
        <w:tabs>
          <w:tab w:val="left" w:pos="1780"/>
        </w:tabs>
        <w:kinsoku/>
        <w:wordWrap/>
        <w:overflowPunct/>
        <w:topLinePunct w:val="0"/>
        <w:autoSpaceDE/>
        <w:autoSpaceDN/>
        <w:bidi w:val="0"/>
        <w:adjustRightInd/>
        <w:snapToGrid/>
        <w:spacing w:before="287" w:beforeLines="100" w:after="287" w:afterLines="100" w:line="480" w:lineRule="exact"/>
        <w:ind w:right="-210" w:rightChars="-100"/>
        <w:jc w:val="both"/>
        <w:textAlignment w:val="auto"/>
        <w:rPr>
          <w:rFonts w:hint="eastAsia" w:ascii="宋体" w:hAnsi="宋体" w:eastAsia="宋体" w:cs="宋体"/>
          <w:b/>
          <w:bCs w:val="0"/>
          <w:sz w:val="32"/>
          <w:szCs w:val="32"/>
          <w:u w:val="single"/>
          <w:lang w:val="en-US" w:eastAsia="zh-CN"/>
        </w:rPr>
      </w:pPr>
    </w:p>
    <w:p w14:paraId="44A71DA6">
      <w:pPr>
        <w:keepNext w:val="0"/>
        <w:keepLines w:val="0"/>
        <w:pageBreakBefore w:val="0"/>
        <w:widowControl w:val="0"/>
        <w:kinsoku/>
        <w:wordWrap/>
        <w:overflowPunct/>
        <w:topLinePunct w:val="0"/>
        <w:autoSpaceDE/>
        <w:autoSpaceDN/>
        <w:bidi w:val="0"/>
        <w:adjustRightInd/>
        <w:snapToGrid/>
        <w:spacing w:before="287" w:beforeLines="100" w:after="287" w:afterLines="100" w:line="360" w:lineRule="auto"/>
        <w:ind w:left="-210" w:leftChars="-100" w:right="-210" w:rightChars="-100" w:firstLine="643" w:firstLineChars="200"/>
        <w:jc w:val="both"/>
        <w:textAlignment w:val="auto"/>
        <w:rPr>
          <w:rFonts w:hint="eastAsia" w:ascii="宋体" w:hAnsi="宋体" w:eastAsia="宋体" w:cs="宋体"/>
          <w:b/>
          <w:bCs w:val="0"/>
          <w:sz w:val="32"/>
          <w:szCs w:val="32"/>
        </w:rPr>
      </w:pPr>
    </w:p>
    <w:p w14:paraId="581BAC91">
      <w:pPr>
        <w:keepNext w:val="0"/>
        <w:keepLines w:val="0"/>
        <w:pageBreakBefore w:val="0"/>
        <w:widowControl w:val="0"/>
        <w:tabs>
          <w:tab w:val="left" w:pos="7035"/>
          <w:tab w:val="left" w:pos="7245"/>
          <w:tab w:val="left" w:pos="7455"/>
        </w:tabs>
        <w:kinsoku/>
        <w:wordWrap/>
        <w:overflowPunct/>
        <w:topLinePunct w:val="0"/>
        <w:autoSpaceDE/>
        <w:autoSpaceDN/>
        <w:bidi w:val="0"/>
        <w:adjustRightInd/>
        <w:snapToGrid/>
        <w:spacing w:before="287" w:beforeLines="100" w:after="287" w:afterLines="100" w:line="360" w:lineRule="auto"/>
        <w:ind w:right="-210" w:rightChars="-100"/>
        <w:jc w:val="both"/>
        <w:textAlignment w:val="auto"/>
        <w:rPr>
          <w:rFonts w:hint="eastAsia" w:ascii="宋体" w:hAnsi="宋体" w:eastAsia="宋体" w:cs="宋体"/>
          <w:b/>
          <w:bCs w:val="0"/>
          <w:sz w:val="32"/>
          <w:szCs w:val="32"/>
        </w:rPr>
      </w:pPr>
    </w:p>
    <w:p w14:paraId="683C57F8">
      <w:pPr>
        <w:keepNext w:val="0"/>
        <w:keepLines w:val="0"/>
        <w:pageBreakBefore w:val="0"/>
        <w:widowControl w:val="0"/>
        <w:tabs>
          <w:tab w:val="left" w:pos="7035"/>
          <w:tab w:val="left" w:pos="7245"/>
          <w:tab w:val="left" w:pos="7455"/>
        </w:tabs>
        <w:kinsoku/>
        <w:wordWrap/>
        <w:overflowPunct/>
        <w:topLinePunct w:val="0"/>
        <w:autoSpaceDE/>
        <w:autoSpaceDN/>
        <w:bidi w:val="0"/>
        <w:adjustRightInd/>
        <w:snapToGrid/>
        <w:spacing w:before="287" w:beforeLines="100" w:after="287" w:afterLines="100" w:line="360" w:lineRule="auto"/>
        <w:ind w:right="-210" w:rightChars="-100"/>
        <w:jc w:val="both"/>
        <w:textAlignment w:val="auto"/>
        <w:rPr>
          <w:rFonts w:hint="eastAsia" w:ascii="宋体" w:hAnsi="宋体" w:eastAsia="宋体" w:cs="宋体"/>
          <w:b/>
          <w:bCs w:val="0"/>
          <w:sz w:val="32"/>
          <w:szCs w:val="32"/>
          <w:u w:val="single"/>
        </w:rPr>
      </w:pPr>
      <w:r>
        <w:rPr>
          <w:rFonts w:hint="eastAsia" w:ascii="宋体" w:hAnsi="宋体" w:eastAsia="宋体" w:cs="宋体"/>
          <w:b/>
          <w:bCs w:val="0"/>
          <w:sz w:val="32"/>
          <w:szCs w:val="32"/>
        </w:rPr>
        <w:t>（甲方）：</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u w:val="single"/>
          <w:lang w:val="en-US" w:eastAsia="zh-CN"/>
        </w:rPr>
        <w:t>东莞城工集团照明工程有限公司</w:t>
      </w:r>
    </w:p>
    <w:p w14:paraId="1805F98F">
      <w:pPr>
        <w:keepNext w:val="0"/>
        <w:keepLines w:val="0"/>
        <w:pageBreakBefore w:val="0"/>
        <w:widowControl w:val="0"/>
        <w:tabs>
          <w:tab w:val="left" w:pos="7140"/>
          <w:tab w:val="left" w:pos="7350"/>
        </w:tabs>
        <w:kinsoku/>
        <w:wordWrap/>
        <w:overflowPunct/>
        <w:topLinePunct w:val="0"/>
        <w:autoSpaceDE/>
        <w:autoSpaceDN/>
        <w:bidi w:val="0"/>
        <w:adjustRightInd/>
        <w:snapToGrid/>
        <w:spacing w:before="287" w:beforeLines="100" w:after="287" w:afterLines="100" w:line="360" w:lineRule="auto"/>
        <w:ind w:right="-210" w:rightChars="-100"/>
        <w:jc w:val="both"/>
        <w:textAlignment w:val="auto"/>
        <w:rPr>
          <w:rFonts w:hint="eastAsia" w:ascii="宋体" w:hAnsi="宋体" w:eastAsia="宋体" w:cs="宋体"/>
          <w:b/>
          <w:bCs w:val="0"/>
          <w:sz w:val="32"/>
          <w:szCs w:val="32"/>
        </w:rPr>
      </w:pPr>
    </w:p>
    <w:p w14:paraId="1F4FC027">
      <w:pPr>
        <w:keepNext w:val="0"/>
        <w:keepLines w:val="0"/>
        <w:pageBreakBefore w:val="0"/>
        <w:widowControl w:val="0"/>
        <w:tabs>
          <w:tab w:val="left" w:pos="7140"/>
          <w:tab w:val="left" w:pos="7350"/>
        </w:tabs>
        <w:kinsoku/>
        <w:wordWrap/>
        <w:overflowPunct/>
        <w:topLinePunct w:val="0"/>
        <w:autoSpaceDE/>
        <w:autoSpaceDN/>
        <w:bidi w:val="0"/>
        <w:adjustRightInd/>
        <w:snapToGrid/>
        <w:spacing w:before="287" w:beforeLines="100" w:after="287" w:afterLines="100" w:line="360" w:lineRule="auto"/>
        <w:ind w:right="-210" w:rightChars="-100"/>
        <w:jc w:val="both"/>
        <w:textAlignment w:val="auto"/>
        <w:rPr>
          <w:rFonts w:hint="eastAsia" w:ascii="宋体" w:hAnsi="宋体" w:eastAsia="宋体" w:cs="宋体"/>
          <w:b/>
          <w:bCs w:val="0"/>
          <w:sz w:val="32"/>
          <w:szCs w:val="32"/>
        </w:rPr>
      </w:pPr>
      <w:r>
        <w:rPr>
          <w:rFonts w:hint="eastAsia" w:ascii="宋体" w:hAnsi="宋体" w:eastAsia="宋体" w:cs="宋体"/>
          <w:b/>
          <w:bCs w:val="0"/>
          <w:sz w:val="32"/>
          <w:szCs w:val="32"/>
        </w:rPr>
        <w:t>（乙方）：</w:t>
      </w:r>
      <w:r>
        <w:rPr>
          <w:rFonts w:hint="eastAsia" w:ascii="宋体" w:hAnsi="宋体" w:eastAsia="宋体" w:cs="宋体"/>
          <w:b/>
          <w:bCs w:val="0"/>
          <w:sz w:val="32"/>
          <w:szCs w:val="32"/>
          <w:u w:val="single"/>
          <w:lang w:val="en-US" w:eastAsia="zh-CN"/>
        </w:rPr>
        <w:t xml:space="preserve"> </w:t>
      </w:r>
      <w:r>
        <w:rPr>
          <w:rFonts w:hint="eastAsia" w:ascii="宋体" w:hAnsi="宋体" w:cs="宋体"/>
          <w:b/>
          <w:bCs w:val="0"/>
          <w:sz w:val="32"/>
          <w:szCs w:val="32"/>
          <w:u w:val="single"/>
          <w:lang w:val="en-US" w:eastAsia="zh-CN"/>
        </w:rPr>
        <w:t xml:space="preserve">                           </w:t>
      </w:r>
      <w:r>
        <w:rPr>
          <w:rFonts w:hint="eastAsia" w:ascii="宋体" w:hAnsi="宋体" w:eastAsia="宋体" w:cs="宋体"/>
          <w:b/>
          <w:bCs w:val="0"/>
          <w:sz w:val="32"/>
          <w:szCs w:val="32"/>
          <w:u w:val="single"/>
          <w:lang w:val="en-US" w:eastAsia="zh-CN"/>
        </w:rPr>
        <w:t xml:space="preserve">  </w:t>
      </w:r>
    </w:p>
    <w:p w14:paraId="4963DBC6">
      <w:pPr>
        <w:keepNext w:val="0"/>
        <w:keepLines w:val="0"/>
        <w:pageBreakBefore w:val="0"/>
        <w:widowControl w:val="0"/>
        <w:tabs>
          <w:tab w:val="left" w:pos="630"/>
        </w:tabs>
        <w:kinsoku/>
        <w:wordWrap/>
        <w:overflowPunct/>
        <w:topLinePunct w:val="0"/>
        <w:autoSpaceDE/>
        <w:autoSpaceDN/>
        <w:bidi w:val="0"/>
        <w:adjustRightInd/>
        <w:snapToGrid/>
        <w:spacing w:before="287" w:beforeLines="100" w:after="287" w:afterLines="100" w:line="360" w:lineRule="auto"/>
        <w:ind w:right="-210" w:rightChars="-100" w:firstLine="482" w:firstLineChars="150"/>
        <w:jc w:val="both"/>
        <w:textAlignment w:val="auto"/>
        <w:rPr>
          <w:rFonts w:hint="eastAsia" w:ascii="宋体" w:hAnsi="宋体" w:eastAsia="宋体" w:cs="宋体"/>
          <w:b/>
          <w:bCs w:val="0"/>
          <w:sz w:val="32"/>
          <w:szCs w:val="32"/>
        </w:rPr>
      </w:pPr>
    </w:p>
    <w:p w14:paraId="4F70EC4D">
      <w:pPr>
        <w:keepNext w:val="0"/>
        <w:keepLines w:val="0"/>
        <w:pageBreakBefore w:val="0"/>
        <w:widowControl w:val="0"/>
        <w:tabs>
          <w:tab w:val="left" w:pos="630"/>
        </w:tabs>
        <w:kinsoku/>
        <w:wordWrap/>
        <w:overflowPunct/>
        <w:topLinePunct w:val="0"/>
        <w:autoSpaceDE/>
        <w:autoSpaceDN/>
        <w:bidi w:val="0"/>
        <w:adjustRightInd/>
        <w:snapToGrid/>
        <w:spacing w:before="287" w:beforeLines="100" w:after="287" w:afterLines="100" w:line="360" w:lineRule="auto"/>
        <w:ind w:right="-210" w:rightChars="-100" w:firstLine="482" w:firstLineChars="150"/>
        <w:jc w:val="both"/>
        <w:textAlignment w:val="auto"/>
        <w:rPr>
          <w:rFonts w:hint="eastAsia" w:ascii="宋体" w:hAnsi="宋体" w:eastAsia="宋体" w:cs="宋体"/>
          <w:b/>
          <w:bCs w:val="0"/>
          <w:sz w:val="32"/>
          <w:szCs w:val="32"/>
        </w:rPr>
      </w:pPr>
    </w:p>
    <w:p w14:paraId="067ACB3C">
      <w:pPr>
        <w:keepNext w:val="0"/>
        <w:keepLines w:val="0"/>
        <w:pageBreakBefore w:val="0"/>
        <w:widowControl w:val="0"/>
        <w:tabs>
          <w:tab w:val="left" w:pos="630"/>
        </w:tabs>
        <w:kinsoku/>
        <w:wordWrap/>
        <w:overflowPunct/>
        <w:topLinePunct w:val="0"/>
        <w:autoSpaceDE/>
        <w:autoSpaceDN/>
        <w:bidi w:val="0"/>
        <w:adjustRightInd/>
        <w:snapToGrid/>
        <w:spacing w:before="287" w:beforeLines="100" w:after="287" w:afterLines="100" w:line="360" w:lineRule="auto"/>
        <w:ind w:right="-210" w:rightChars="-100" w:firstLine="482" w:firstLineChars="150"/>
        <w:jc w:val="both"/>
        <w:textAlignment w:val="auto"/>
        <w:rPr>
          <w:rFonts w:hint="default" w:ascii="宋体" w:hAnsi="宋体" w:eastAsia="宋体" w:cs="宋体"/>
          <w:b/>
          <w:bCs w:val="0"/>
          <w:sz w:val="32"/>
          <w:szCs w:val="32"/>
          <w:u w:val="single"/>
          <w:lang w:val="en-US" w:eastAsia="zh-CN"/>
        </w:rPr>
      </w:pPr>
      <w:r>
        <w:rPr>
          <w:rFonts w:hint="eastAsia" w:ascii="宋体" w:hAnsi="宋体" w:eastAsia="宋体" w:cs="宋体"/>
          <w:b/>
          <w:bCs w:val="0"/>
          <w:sz w:val="32"/>
          <w:szCs w:val="32"/>
        </w:rPr>
        <w:t>签约地点：</w:t>
      </w:r>
      <w:r>
        <w:rPr>
          <w:rFonts w:hint="eastAsia" w:ascii="宋体" w:hAnsi="宋体" w:eastAsia="宋体" w:cs="宋体"/>
          <w:b/>
          <w:bCs w:val="0"/>
          <w:sz w:val="32"/>
          <w:szCs w:val="32"/>
          <w:u w:val="single"/>
        </w:rPr>
        <w:t xml:space="preserve"> 东莞</w:t>
      </w:r>
      <w:r>
        <w:rPr>
          <w:rFonts w:hint="eastAsia" w:ascii="宋体" w:hAnsi="宋体" w:eastAsia="宋体" w:cs="宋体"/>
          <w:b/>
          <w:bCs w:val="0"/>
          <w:sz w:val="32"/>
          <w:szCs w:val="32"/>
          <w:u w:val="single"/>
          <w:lang w:val="en-US" w:eastAsia="zh-CN"/>
        </w:rPr>
        <w:t>市</w:t>
      </w:r>
      <w:r>
        <w:rPr>
          <w:rFonts w:hint="eastAsia" w:ascii="宋体" w:hAnsi="宋体" w:eastAsia="宋体" w:cs="宋体"/>
          <w:b/>
          <w:bCs w:val="0"/>
          <w:sz w:val="32"/>
          <w:szCs w:val="32"/>
          <w:u w:val="single"/>
        </w:rPr>
        <w:t>南城</w:t>
      </w:r>
      <w:r>
        <w:rPr>
          <w:rFonts w:hint="eastAsia" w:ascii="宋体" w:hAnsi="宋体" w:cs="宋体"/>
          <w:b/>
          <w:bCs w:val="0"/>
          <w:sz w:val="32"/>
          <w:szCs w:val="32"/>
          <w:u w:val="single"/>
          <w:lang w:val="en-US" w:eastAsia="zh-CN"/>
        </w:rPr>
        <w:t>街道</w:t>
      </w:r>
      <w:r>
        <w:rPr>
          <w:rFonts w:hint="eastAsia" w:ascii="宋体" w:hAnsi="宋体" w:eastAsia="宋体" w:cs="宋体"/>
          <w:b/>
          <w:bCs w:val="0"/>
          <w:sz w:val="32"/>
          <w:szCs w:val="32"/>
          <w:u w:val="single"/>
          <w:lang w:val="en-US" w:eastAsia="zh-CN"/>
        </w:rPr>
        <w:t xml:space="preserve">     </w:t>
      </w:r>
    </w:p>
    <w:p w14:paraId="756D1712">
      <w:pPr>
        <w:keepNext w:val="0"/>
        <w:keepLines w:val="0"/>
        <w:pageBreakBefore w:val="0"/>
        <w:widowControl w:val="0"/>
        <w:tabs>
          <w:tab w:val="left" w:pos="630"/>
        </w:tabs>
        <w:kinsoku/>
        <w:wordWrap/>
        <w:overflowPunct/>
        <w:topLinePunct w:val="0"/>
        <w:autoSpaceDE/>
        <w:autoSpaceDN/>
        <w:bidi w:val="0"/>
        <w:adjustRightInd/>
        <w:snapToGrid/>
        <w:spacing w:before="287" w:beforeLines="100" w:after="287" w:afterLines="100" w:line="360" w:lineRule="auto"/>
        <w:ind w:right="-210" w:rightChars="-100" w:firstLine="482" w:firstLineChars="150"/>
        <w:jc w:val="left"/>
        <w:textAlignment w:val="auto"/>
        <w:rPr>
          <w:rFonts w:hint="eastAsia" w:ascii="宋体" w:hAnsi="宋体" w:eastAsia="宋体" w:cs="宋体"/>
          <w:b/>
          <w:bCs w:val="0"/>
          <w:sz w:val="32"/>
          <w:szCs w:val="32"/>
        </w:rPr>
        <w:sectPr>
          <w:footerReference r:id="rId6" w:type="first"/>
          <w:footerReference r:id="rId5" w:type="default"/>
          <w:pgSz w:w="11906" w:h="16838"/>
          <w:pgMar w:top="1440" w:right="1797" w:bottom="1440" w:left="1797" w:header="720" w:footer="992" w:gutter="0"/>
          <w:pgNumType w:start="0"/>
          <w:cols w:space="720" w:num="1"/>
          <w:titlePg/>
          <w:docGrid w:linePitch="286" w:charSpace="0"/>
        </w:sectPr>
      </w:pPr>
      <w:r>
        <w:rPr>
          <w:rFonts w:hint="eastAsia" w:ascii="宋体" w:hAnsi="宋体" w:eastAsia="宋体" w:cs="宋体"/>
          <w:b/>
          <w:bCs w:val="0"/>
          <w:sz w:val="32"/>
          <w:szCs w:val="32"/>
        </w:rPr>
        <w:t>签订日期：</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u w:val="single"/>
          <w:lang w:val="en-US" w:eastAsia="zh-CN"/>
        </w:rPr>
        <w:t xml:space="preserve"> </w:t>
      </w:r>
      <w:r>
        <w:rPr>
          <w:rFonts w:hint="eastAsia" w:ascii="宋体" w:hAnsi="宋体" w:cs="宋体"/>
          <w:b/>
          <w:bCs w:val="0"/>
          <w:sz w:val="32"/>
          <w:szCs w:val="32"/>
          <w:u w:val="single"/>
          <w:lang w:val="en-US" w:eastAsia="zh-CN"/>
        </w:rPr>
        <w:t>2025</w:t>
      </w:r>
      <w:r>
        <w:rPr>
          <w:rFonts w:hint="eastAsia" w:ascii="宋体" w:hAnsi="宋体" w:eastAsia="宋体" w:cs="宋体"/>
          <w:b/>
          <w:bCs w:val="0"/>
          <w:sz w:val="32"/>
          <w:szCs w:val="32"/>
          <w:u w:val="single"/>
          <w:lang w:val="en-US" w:eastAsia="zh-CN"/>
        </w:rPr>
        <w:t xml:space="preserve">   </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rPr>
        <w:t>年</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u w:val="single"/>
          <w:lang w:val="en-US" w:eastAsia="zh-CN"/>
        </w:rPr>
        <w:t xml:space="preserve">    </w:t>
      </w:r>
      <w:r>
        <w:rPr>
          <w:rFonts w:hint="eastAsia" w:ascii="宋体" w:hAnsi="宋体" w:eastAsia="宋体" w:cs="宋体"/>
          <w:b/>
          <w:bCs w:val="0"/>
          <w:sz w:val="32"/>
          <w:szCs w:val="32"/>
        </w:rPr>
        <w:t>月</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u w:val="single"/>
          <w:lang w:val="en-US" w:eastAsia="zh-CN"/>
        </w:rPr>
        <w:t xml:space="preserve"> </w:t>
      </w:r>
      <w:r>
        <w:rPr>
          <w:rFonts w:hint="eastAsia" w:ascii="宋体" w:hAnsi="宋体" w:eastAsia="宋体" w:cs="宋体"/>
          <w:b/>
          <w:bCs w:val="0"/>
          <w:sz w:val="32"/>
          <w:szCs w:val="32"/>
          <w:u w:val="single"/>
        </w:rPr>
        <w:t xml:space="preserve"> </w:t>
      </w:r>
      <w:r>
        <w:rPr>
          <w:rFonts w:hint="eastAsia" w:ascii="宋体" w:hAnsi="宋体" w:eastAsia="宋体" w:cs="宋体"/>
          <w:b/>
          <w:bCs w:val="0"/>
          <w:sz w:val="32"/>
          <w:szCs w:val="32"/>
        </w:rPr>
        <w:t>日</w:t>
      </w:r>
    </w:p>
    <w:p w14:paraId="646F80BA">
      <w:pPr>
        <w:pStyle w:val="2"/>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44"/>
          <w:szCs w:val="44"/>
        </w:rPr>
      </w:pPr>
      <w:r>
        <w:rPr>
          <w:rFonts w:hint="eastAsia" w:ascii="仿宋_GB2312" w:hAnsi="仿宋_GB2312" w:eastAsia="仿宋_GB2312" w:cs="仿宋_GB2312"/>
          <w:b w:val="0"/>
          <w:kern w:val="2"/>
          <w:sz w:val="44"/>
          <w:szCs w:val="44"/>
          <w:highlight w:val="none"/>
          <w:lang w:val="en-US" w:eastAsia="zh-CN" w:bidi="ar-SA"/>
        </w:rPr>
        <w:t>建设工程施工劳务分包合同</w:t>
      </w:r>
    </w:p>
    <w:p w14:paraId="5D826742">
      <w:pPr>
        <w:spacing w:line="360" w:lineRule="auto"/>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工程承包单位：东莞城工集团照明工程有限公司（甲方）</w:t>
      </w:r>
    </w:p>
    <w:p w14:paraId="1FC79317">
      <w:pPr>
        <w:spacing w:line="360" w:lineRule="auto"/>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劳务分包单位：</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lang w:val="en-US" w:eastAsia="zh-CN"/>
        </w:rPr>
        <w:t>（乙方）</w:t>
      </w:r>
    </w:p>
    <w:p w14:paraId="2F4DEE3D">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依照《中华人民共和国合同法》、《中华人民共和国建筑法》及其它有关法律、行政法规， 遵循平等、自愿、公平和诚实信用的原则，双方就劳务分包事项协商达成一致，订立本合同。</w:t>
      </w:r>
    </w:p>
    <w:p w14:paraId="0D4186F9">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1、劳务分包工作对象及提供劳务内容：</w:t>
      </w:r>
    </w:p>
    <w:p w14:paraId="1D2DA58E">
      <w:pPr>
        <w:spacing w:line="360" w:lineRule="auto"/>
        <w:ind w:firstLine="480" w:firstLineChars="200"/>
        <w:rPr>
          <w:rFonts w:hint="eastAsia" w:ascii="仿宋_GB2312" w:hAnsi="仿宋_GB2312" w:eastAsia="仿宋_GB2312" w:cs="仿宋_GB2312"/>
          <w:sz w:val="24"/>
          <w:highlight w:val="none"/>
          <w:u w:val="single"/>
          <w:lang w:val="en-US" w:eastAsia="zh-CN"/>
        </w:rPr>
      </w:pPr>
      <w:r>
        <w:rPr>
          <w:rFonts w:hint="eastAsia" w:ascii="仿宋_GB2312" w:hAnsi="仿宋_GB2312" w:eastAsia="仿宋_GB2312" w:cs="仿宋_GB2312"/>
          <w:sz w:val="24"/>
          <w:highlight w:val="none"/>
          <w:lang w:val="en-US" w:eastAsia="zh-CN"/>
        </w:rPr>
        <w:t>1.1. 工程名称：</w:t>
      </w:r>
      <w:r>
        <w:rPr>
          <w:rFonts w:hint="eastAsia" w:ascii="仿宋_GB2312" w:hAnsi="仿宋_GB2312" w:eastAsia="仿宋_GB2312" w:cs="仿宋_GB2312"/>
          <w:sz w:val="24"/>
          <w:highlight w:val="none"/>
          <w:u w:val="single"/>
          <w:lang w:val="en-US" w:eastAsia="zh-CN"/>
        </w:rPr>
        <w:t>城工集团照明工程劳务分包—（沙田中学、应急消防基地、生物技术产业园）。</w:t>
      </w:r>
    </w:p>
    <w:p w14:paraId="65E6B357">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1.2 工程地点：</w:t>
      </w:r>
      <w:r>
        <w:rPr>
          <w:rFonts w:hint="eastAsia" w:ascii="仿宋_GB2312" w:hAnsi="仿宋_GB2312" w:eastAsia="仿宋_GB2312" w:cs="仿宋_GB2312"/>
          <w:sz w:val="24"/>
          <w:highlight w:val="none"/>
          <w:u w:val="single"/>
          <w:lang w:val="en-US" w:eastAsia="zh-CN"/>
        </w:rPr>
        <w:t>东莞市沙田镇 、东莞市万江街道、东莞市松山湖。</w:t>
      </w:r>
    </w:p>
    <w:p w14:paraId="1231C175">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1.3 承包内容：</w:t>
      </w:r>
    </w:p>
    <w:p w14:paraId="128A83E7">
      <w:pPr>
        <w:spacing w:line="360" w:lineRule="auto"/>
        <w:ind w:firstLine="482" w:firstLineChars="200"/>
        <w:rPr>
          <w:rFonts w:hint="default"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1.3.1沙田中学</w:t>
      </w:r>
    </w:p>
    <w:p w14:paraId="7B44CB49">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东莞市沙田中学（暂定名）景观照明劳务安装工程：包括草坪灯、庭院灯、篮球场灯、足球场灯、配电箱安装配套，包材料及安装辅材、含混凝土基础及接地；电缆头、电气配管敷设、送配电装置系统、电缆敷设（含灯具和电箱接线、配套管、接线盒、挖沟、回填、余方弃置等）、小型电缆砖砌手孔井。</w:t>
      </w:r>
    </w:p>
    <w:p w14:paraId="555DAF6B">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2）合同施工内容包括施工过程中多余土方弃置外运、包工完场清、包配合工程检测及验收等，所有施工内容及工程量最终按实计算）。</w:t>
      </w:r>
    </w:p>
    <w:p w14:paraId="5FFC45FC">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3）承包范围详见施工图纸、工程预算书、工程材料一览表及其它设计变更文件内容。</w:t>
      </w:r>
    </w:p>
    <w:p w14:paraId="3741CB8E">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4）施工过程中所发生超出合同范围的增减工程内容，乙方需在2个工作日内提交报价清单，甲方对乙方清单价格初步审定后，乙方需按要求进行完成。由此产生的费用如有争议由甲乙双方另行协商（协商价格不得高于市场价且不得高于公司其它项目类似工作价格）。具体工程量详见工程量清单。</w:t>
      </w:r>
    </w:p>
    <w:p w14:paraId="2FAF21F0">
      <w:pPr>
        <w:spacing w:line="360" w:lineRule="auto"/>
        <w:ind w:firstLine="482" w:firstLineChars="200"/>
        <w:rPr>
          <w:rFonts w:hint="default"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1.3.2 应急消防基地</w:t>
      </w:r>
    </w:p>
    <w:p w14:paraId="2E9FFE80">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1）泛光照明工程：图纸范围内的泛光照明工程的全部内容，包括但不限于以下主要包括以下施工内容：</w:t>
      </w:r>
    </w:p>
    <w:p w14:paraId="5D166E51">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fldChar w:fldCharType="begin"/>
      </w:r>
      <w:r>
        <w:rPr>
          <w:rFonts w:hint="eastAsia" w:ascii="仿宋_GB2312" w:hAnsi="仿宋_GB2312" w:eastAsia="仿宋_GB2312" w:cs="仿宋_GB2312"/>
          <w:sz w:val="24"/>
          <w:highlight w:val="none"/>
          <w:lang w:val="en-US" w:eastAsia="zh-CN"/>
        </w:rPr>
        <w:instrText xml:space="preserve"> = 1 \* GB3 \* MERGEFORMAT </w:instrText>
      </w:r>
      <w:r>
        <w:rPr>
          <w:rFonts w:hint="eastAsia" w:ascii="仿宋_GB2312" w:hAnsi="仿宋_GB2312" w:eastAsia="仿宋_GB2312" w:cs="仿宋_GB2312"/>
          <w:sz w:val="24"/>
          <w:highlight w:val="none"/>
          <w:lang w:val="en-US" w:eastAsia="zh-CN"/>
        </w:rPr>
        <w:fldChar w:fldCharType="separate"/>
      </w:r>
      <w:r>
        <w:rPr>
          <w:rFonts w:hint="eastAsia" w:ascii="仿宋_GB2312" w:hAnsi="仿宋_GB2312" w:eastAsia="仿宋_GB2312" w:cs="仿宋_GB2312"/>
          <w:sz w:val="24"/>
          <w:highlight w:val="none"/>
          <w:lang w:val="en-US" w:eastAsia="zh-CN"/>
        </w:rPr>
        <w:t>①</w:t>
      </w:r>
      <w:r>
        <w:rPr>
          <w:rFonts w:hint="eastAsia" w:ascii="仿宋_GB2312" w:hAnsi="仿宋_GB2312" w:eastAsia="仿宋_GB2312" w:cs="仿宋_GB2312"/>
          <w:sz w:val="24"/>
          <w:highlight w:val="none"/>
          <w:lang w:val="en-US" w:eastAsia="zh-CN"/>
        </w:rPr>
        <w:fldChar w:fldCharType="end"/>
      </w:r>
      <w:r>
        <w:rPr>
          <w:rFonts w:hint="eastAsia" w:ascii="仿宋_GB2312" w:hAnsi="仿宋_GB2312" w:eastAsia="仿宋_GB2312" w:cs="仿宋_GB2312"/>
          <w:sz w:val="24"/>
          <w:highlight w:val="none"/>
          <w:lang w:val="en-US" w:eastAsia="zh-CN"/>
        </w:rPr>
        <w:t>泛光照明施工图深化。</w:t>
      </w:r>
    </w:p>
    <w:p w14:paraId="103041C4">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②照明设备安装:包括泛光照明配电箱、电源开关、灯具、电线电缆等设备的安装。</w:t>
      </w:r>
    </w:p>
    <w:p w14:paraId="32EEBAE8">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③控制系统施工:包括控制箱、控制器的安装、控制线路等的安装等。</w:t>
      </w:r>
    </w:p>
    <w:p w14:paraId="29F41070">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fldChar w:fldCharType="begin"/>
      </w:r>
      <w:r>
        <w:rPr>
          <w:rFonts w:hint="eastAsia" w:ascii="仿宋_GB2312" w:hAnsi="仿宋_GB2312" w:eastAsia="仿宋_GB2312" w:cs="仿宋_GB2312"/>
          <w:sz w:val="24"/>
          <w:highlight w:val="none"/>
          <w:lang w:val="en-US" w:eastAsia="zh-CN"/>
        </w:rPr>
        <w:instrText xml:space="preserve"> = 4 \* GB3 \* MERGEFORMAT </w:instrText>
      </w:r>
      <w:r>
        <w:rPr>
          <w:rFonts w:hint="eastAsia" w:ascii="仿宋_GB2312" w:hAnsi="仿宋_GB2312" w:eastAsia="仿宋_GB2312" w:cs="仿宋_GB2312"/>
          <w:sz w:val="24"/>
          <w:highlight w:val="none"/>
          <w:lang w:val="en-US" w:eastAsia="zh-CN"/>
        </w:rPr>
        <w:fldChar w:fldCharType="separate"/>
      </w:r>
      <w:r>
        <w:rPr>
          <w:rFonts w:hint="eastAsia" w:ascii="仿宋_GB2312" w:hAnsi="仿宋_GB2312" w:eastAsia="仿宋_GB2312" w:cs="仿宋_GB2312"/>
          <w:sz w:val="24"/>
          <w:highlight w:val="none"/>
          <w:lang w:val="en-US" w:eastAsia="zh-CN"/>
        </w:rPr>
        <w:t>④</w:t>
      </w:r>
      <w:r>
        <w:rPr>
          <w:rFonts w:hint="eastAsia" w:ascii="仿宋_GB2312" w:hAnsi="仿宋_GB2312" w:eastAsia="仿宋_GB2312" w:cs="仿宋_GB2312"/>
          <w:sz w:val="24"/>
          <w:highlight w:val="none"/>
          <w:lang w:val="en-US" w:eastAsia="zh-CN"/>
        </w:rPr>
        <w:fldChar w:fldCharType="end"/>
      </w:r>
      <w:r>
        <w:rPr>
          <w:rFonts w:hint="eastAsia" w:ascii="仿宋_GB2312" w:hAnsi="仿宋_GB2312" w:eastAsia="仿宋_GB2312" w:cs="仿宋_GB2312"/>
          <w:sz w:val="24"/>
          <w:highlight w:val="none"/>
          <w:lang w:val="en-US" w:eastAsia="zh-CN"/>
        </w:rPr>
        <w:t>调试与验收:包括设备调试、系统测试、验收等。</w:t>
      </w:r>
    </w:p>
    <w:p w14:paraId="27FD44B0">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包括完成以上内容的其他措施项目(具体以预算清单和施工图为准）。</w:t>
      </w:r>
    </w:p>
    <w:p w14:paraId="78C97589">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合同范围内的施工内容及施工过程中所发生超出合同范围的增减工程内容（以建设单位确认的工程变更单为准），乙方不得以任何借口拒绝施工，否则甲方有权委托第三方施工，施工的所有费用全部由乙方承担（从乙方的工程款中直接扣除）。施工过程中所发生超出合同范围的增减工程内容，乙方需优先配合完成，由此产生的费用由甲乙双方另行协商。具体工程量详见工程量清单。</w:t>
      </w:r>
    </w:p>
    <w:p w14:paraId="74DD6624">
      <w:pPr>
        <w:spacing w:line="360" w:lineRule="auto"/>
        <w:ind w:firstLine="482" w:firstLineChars="200"/>
        <w:rPr>
          <w:rFonts w:hint="default"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1.3.3 生物技术产业园</w:t>
      </w:r>
    </w:p>
    <w:p w14:paraId="073404D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本项目泛光照明及景观电气工程包括：本工程所示泛光照明及景观电气工程全部工作，包含但不限于配电箱、开关电源、灯具、控制器、主机、交换机、线缆、线槽、桥架、电气配管等内容安装施工，以及预留、预埋管、盒、孔洞并在安装完进行孔洞堵补，电井、灯具设备基础制安，包括上述所涉及的开挖、回填土石方工程，其他零星工程、安全文明施工、工程资料及报建验收等全部工作。</w:t>
      </w:r>
      <w:r>
        <w:rPr>
          <w:rFonts w:hint="eastAsia" w:ascii="仿宋_GB2312" w:hAnsi="仿宋_GB2312" w:eastAsia="仿宋_GB2312" w:cs="仿宋_GB2312"/>
          <w:sz w:val="24"/>
          <w:highlight w:val="none"/>
        </w:rPr>
        <w:t>以上采购范围未尽事宜，详见工程量清单范围内分部分项内容，并满足设计要求具体内容按照施工图纸、图纸会审、设计变更通知，甲方修改通知等设计文件，并按照相关标准规范、施工组织设计、专项施工方案、分项工程技术交底等有关技术文件的要求施工，确保工程验收质量，并有义务协助工程通过主管部门验收合格。</w:t>
      </w:r>
    </w:p>
    <w:p w14:paraId="3CB35C85">
      <w:pPr>
        <w:spacing w:line="360" w:lineRule="auto"/>
        <w:ind w:firstLine="480" w:firstLineChars="200"/>
        <w:rPr>
          <w:rFonts w:hint="eastAsia" w:ascii="仿宋_GB2312" w:hAnsi="仿宋_GB2312" w:eastAsia="仿宋_GB2312" w:cs="仿宋_GB2312"/>
          <w:b w:val="0"/>
          <w:bCs w:val="0"/>
          <w:sz w:val="24"/>
          <w:highlight w:val="none"/>
        </w:rPr>
      </w:pPr>
      <w:r>
        <w:rPr>
          <w:rFonts w:hint="eastAsia" w:ascii="仿宋_GB2312" w:hAnsi="仿宋_GB2312" w:eastAsia="仿宋_GB2312" w:cs="仿宋_GB2312"/>
          <w:b w:val="0"/>
          <w:bCs w:val="0"/>
          <w:sz w:val="24"/>
          <w:highlight w:val="none"/>
          <w:lang w:val="en-US" w:eastAsia="zh-CN"/>
        </w:rPr>
        <w:t>1）深化设计</w:t>
      </w:r>
      <w:r>
        <w:rPr>
          <w:rFonts w:hint="eastAsia" w:ascii="仿宋_GB2312" w:hAnsi="仿宋_GB2312" w:eastAsia="仿宋_GB2312" w:cs="仿宋_GB2312"/>
          <w:b w:val="0"/>
          <w:bCs w:val="0"/>
          <w:sz w:val="24"/>
          <w:highlight w:val="none"/>
        </w:rPr>
        <w:t>根据采购人提供的采购基础图纸和采购要求进行泛光照明深化设计(满足设计规范及保证通过验收要求前提下)，提供深化设计图纸;</w:t>
      </w:r>
    </w:p>
    <w:p w14:paraId="39E292FF">
      <w:pPr>
        <w:spacing w:line="360" w:lineRule="auto"/>
        <w:ind w:firstLine="480" w:firstLineChars="200"/>
        <w:rPr>
          <w:rFonts w:hint="eastAsia" w:ascii="仿宋_GB2312" w:hAnsi="仿宋_GB2312" w:eastAsia="仿宋_GB2312" w:cs="仿宋_GB2312"/>
          <w:b w:val="0"/>
          <w:bCs w:val="0"/>
          <w:sz w:val="24"/>
          <w:highlight w:val="none"/>
        </w:rPr>
      </w:pPr>
      <w:r>
        <w:rPr>
          <w:rFonts w:hint="eastAsia" w:ascii="仿宋_GB2312" w:hAnsi="仿宋_GB2312" w:eastAsia="仿宋_GB2312" w:cs="仿宋_GB2312"/>
          <w:b w:val="0"/>
          <w:bCs w:val="0"/>
          <w:sz w:val="24"/>
          <w:highlight w:val="none"/>
          <w:lang w:val="en-US" w:eastAsia="zh-CN"/>
        </w:rPr>
        <w:t>2）</w:t>
      </w:r>
      <w:r>
        <w:rPr>
          <w:rFonts w:hint="eastAsia" w:ascii="仿宋_GB2312" w:hAnsi="仿宋_GB2312" w:eastAsia="仿宋_GB2312" w:cs="仿宋_GB2312"/>
          <w:b w:val="0"/>
          <w:bCs w:val="0"/>
          <w:sz w:val="24"/>
          <w:highlight w:val="none"/>
        </w:rPr>
        <w:t>安全文明</w:t>
      </w:r>
      <w:r>
        <w:rPr>
          <w:rFonts w:hint="eastAsia" w:ascii="仿宋_GB2312" w:hAnsi="仿宋_GB2312" w:eastAsia="仿宋_GB2312" w:cs="仿宋_GB2312"/>
          <w:b w:val="0"/>
          <w:bCs w:val="0"/>
          <w:sz w:val="24"/>
          <w:highlight w:val="none"/>
          <w:lang w:val="en-US" w:eastAsia="zh-CN"/>
        </w:rPr>
        <w:t>措施包括：本泛光照明景观电气工程</w:t>
      </w:r>
      <w:r>
        <w:rPr>
          <w:rFonts w:hint="eastAsia" w:ascii="仿宋_GB2312" w:hAnsi="仿宋_GB2312" w:eastAsia="仿宋_GB2312" w:cs="仿宋_GB2312"/>
          <w:b w:val="0"/>
          <w:bCs w:val="0"/>
          <w:sz w:val="24"/>
          <w:highlight w:val="none"/>
        </w:rPr>
        <w:t>施工红线范围内全部绿色施工安全防护相关维护，完成分包范围相关的安全文明施工。</w:t>
      </w:r>
    </w:p>
    <w:p w14:paraId="0CB3331F">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pacing w:val="10"/>
          <w:sz w:val="24"/>
          <w:szCs w:val="23"/>
          <w:u w:val="single"/>
          <w:lang w:val="en-US" w:eastAsia="zh-CN"/>
        </w:rPr>
      </w:pPr>
      <w:r>
        <w:rPr>
          <w:rFonts w:hint="eastAsia" w:ascii="仿宋_GB2312" w:hAnsi="仿宋_GB2312" w:eastAsia="仿宋_GB2312" w:cs="仿宋_GB2312"/>
          <w:b w:val="0"/>
          <w:bCs w:val="0"/>
          <w:sz w:val="24"/>
          <w:highlight w:val="none"/>
          <w:lang w:val="en-US" w:eastAsia="zh-CN"/>
        </w:rPr>
        <w:t>3）</w:t>
      </w:r>
      <w:r>
        <w:rPr>
          <w:rFonts w:hint="eastAsia" w:ascii="仿宋_GB2312" w:hAnsi="仿宋_GB2312" w:eastAsia="仿宋_GB2312" w:cs="仿宋_GB2312"/>
          <w:b w:val="0"/>
          <w:bCs w:val="0"/>
          <w:sz w:val="24"/>
          <w:highlight w:val="none"/>
        </w:rPr>
        <w:t>项目资料：包括不限于质检及安检等资料的编制及报送、技术支持及相关方案编制、专家送审等、协助项目部对外业务管理协调等。本合同范围内工程完工后，一个月内应提交一套符合东莞市建设工程电子档案线上审查通过的资料，确保按时按质完成项目验收相关资料。</w:t>
      </w:r>
    </w:p>
    <w:p w14:paraId="6E44A19A">
      <w:pPr>
        <w:keepNext w:val="0"/>
        <w:keepLines w:val="0"/>
        <w:pageBreakBefore w:val="0"/>
        <w:wordWrap/>
        <w:topLinePunct w:val="0"/>
        <w:bidi w:val="0"/>
        <w:spacing w:before="213" w:line="360" w:lineRule="auto"/>
        <w:ind w:left="0" w:right="100" w:rightChars="0" w:firstLine="480" w:firstLineChars="200"/>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1.4 承包方式：人工费(劳务费)清包，对分包人承包范围内的工程实行包人工、包机械、包工期、包质量、包保修等全部内容，包括甲方材料到货的卸货及机械费用。</w:t>
      </w:r>
    </w:p>
    <w:p w14:paraId="2147B870">
      <w:pPr>
        <w:keepNext w:val="0"/>
        <w:keepLines w:val="0"/>
        <w:pageBreakBefore w:val="0"/>
        <w:wordWrap/>
        <w:topLinePunct w:val="0"/>
        <w:bidi w:val="0"/>
        <w:spacing w:before="213" w:line="360" w:lineRule="auto"/>
        <w:ind w:left="0" w:right="100" w:rightChars="0" w:firstLine="480" w:firstLineChars="200"/>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1.5 安全文明施工项目：施工范围全部绿色施工安全防护相关维护，完成劳务范围相关的安全文明施工，包括①乙方负责配备安全员，甲供水电驳接点后的临水临电、场容场貌维护、材料堆放整理、工完场清、现场防火、高空作业防护、完成其工程范围相关内的临建、临水及临电（三级电箱）的接驳、安全警示标志牌、宣传标语、道路清洗、垃圾清运（清运至采购方指定地点）、施工相关的临时防护。②乙方负责垂直方向交叉作业防护、安全防护用品、垂直运输防护、应急预案、非正常情况施工防护、施工扬尘污染防治等费用，现场保洁、配合行政部门检查相关工作。若甲方需由乙方负责处理的，乙方应无条件施工。③乙方应根据甲方要求完成工人《劳务工人一人一档》资料。④其中安全帽、反光衣、配电箱、安全带由乙方提供采购计划、甲方统一购买，费用乙方承担。（其中：安全帽，反光衣，安全带，开关箱等按采购人当批次实际采购单价价格为准）。⑤关于施工场地整洁问题，乙方应当做到施工范围内场地清洁，做到工完场清。关于建筑垃圾清理，应清到甲方指定垃圾暂存点；在甲方各项内外部检查时，乙方应当积极配合做好场地整洁，</w:t>
      </w:r>
      <w:r>
        <w:rPr>
          <w:rFonts w:hint="eastAsia" w:ascii="仿宋_GB2312" w:hAnsi="仿宋_GB2312" w:eastAsia="仿宋_GB2312" w:cs="仿宋_GB2312"/>
          <w:sz w:val="24"/>
          <w:highlight w:val="none"/>
          <w:lang w:val="en-US" w:eastAsia="zh-CN"/>
        </w:rPr>
        <w:t>甲方保留合同价的1%做为保证金，如乙方未能及时履行时，甲方有权使用保证金用于场地清理；</w:t>
      </w:r>
      <w:r>
        <w:rPr>
          <w:rFonts w:hint="eastAsia" w:ascii="仿宋_GB2312" w:hAnsi="仿宋_GB2312" w:eastAsia="仿宋_GB2312" w:cs="仿宋_GB2312"/>
          <w:b w:val="0"/>
          <w:bCs w:val="0"/>
          <w:kern w:val="2"/>
          <w:sz w:val="24"/>
          <w:szCs w:val="20"/>
          <w:highlight w:val="none"/>
          <w:lang w:val="en-US" w:eastAsia="zh-CN" w:bidi="ar-SA"/>
        </w:rPr>
        <w:t>待甲方验收场地已清理整洁后方可退场。</w:t>
      </w:r>
    </w:p>
    <w:p w14:paraId="67E1A2BE">
      <w:pPr>
        <w:keepNext w:val="0"/>
        <w:keepLines w:val="0"/>
        <w:pageBreakBefore w:val="0"/>
        <w:wordWrap/>
        <w:topLinePunct w:val="0"/>
        <w:bidi w:val="0"/>
        <w:spacing w:line="360" w:lineRule="auto"/>
        <w:ind w:left="0" w:firstLine="480" w:firstLineChars="200"/>
        <w:rPr>
          <w:rFonts w:hint="eastAsia" w:ascii="仿宋_GB2312" w:hAnsi="仿宋_GB2312" w:eastAsia="仿宋_GB2312" w:cs="仿宋_GB2312"/>
          <w:b w:val="0"/>
          <w:bCs w:val="0"/>
          <w:kern w:val="2"/>
          <w:sz w:val="24"/>
          <w:szCs w:val="20"/>
          <w:highlight w:val="none"/>
          <w:lang w:val="en-US" w:eastAsia="zh-CN" w:bidi="ar-SA"/>
        </w:rPr>
      </w:pPr>
    </w:p>
    <w:p w14:paraId="0DB0FABE">
      <w:pPr>
        <w:keepNext w:val="0"/>
        <w:keepLines w:val="0"/>
        <w:pageBreakBefore w:val="0"/>
        <w:numPr>
          <w:ilvl w:val="0"/>
          <w:numId w:val="3"/>
        </w:numPr>
        <w:wordWrap/>
        <w:topLinePunct w:val="0"/>
        <w:bidi w:val="0"/>
        <w:spacing w:line="360" w:lineRule="auto"/>
        <w:ind w:left="0" w:leftChars="0" w:firstLine="490" w:firstLineChars="0"/>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合同价款：</w:t>
      </w:r>
    </w:p>
    <w:p w14:paraId="3FD5A4F5">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2.1 城工集团照明工程劳务分包—（沙田中学、应急消防基地、生物技术产业园）项目合同总金额为￥</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元（含税），大写人民币：</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元，不含税价为￥</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元（大写人民币：</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），税金为</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元（大写人民币：</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w:t>
      </w:r>
    </w:p>
    <w:p w14:paraId="22801D56">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b w:val="0"/>
          <w:bCs w:val="0"/>
          <w:kern w:val="2"/>
          <w:sz w:val="24"/>
          <w:szCs w:val="20"/>
          <w:highlight w:val="none"/>
          <w:lang w:val="en-US" w:eastAsia="zh-CN" w:bidi="ar-SA"/>
        </w:rPr>
      </w:pPr>
    </w:p>
    <w:p w14:paraId="113EA0A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2.1.1</w:t>
      </w:r>
      <w:r>
        <w:rPr>
          <w:rFonts w:hint="eastAsia" w:ascii="仿宋_GB2312" w:hAnsi="仿宋_GB2312" w:eastAsia="仿宋_GB2312" w:cs="仿宋_GB2312"/>
          <w:sz w:val="24"/>
          <w:highlight w:val="none"/>
          <w:u w:val="single"/>
          <w:lang w:val="en-US" w:eastAsia="zh-CN"/>
        </w:rPr>
        <w:t>东莞市沙田中学（暂定名）-绿化景观-安装工程-照明劳务分包</w:t>
      </w:r>
      <w:r>
        <w:rPr>
          <w:rFonts w:hint="eastAsia" w:ascii="仿宋_GB2312" w:hAnsi="仿宋_GB2312" w:eastAsia="仿宋_GB2312" w:cs="仿宋_GB2312"/>
          <w:b w:val="0"/>
          <w:bCs w:val="0"/>
          <w:kern w:val="2"/>
          <w:sz w:val="24"/>
          <w:szCs w:val="20"/>
          <w:highlight w:val="none"/>
          <w:u w:val="single"/>
          <w:lang w:val="en-US" w:eastAsia="zh-CN" w:bidi="ar-SA"/>
        </w:rPr>
        <w:t>工程</w:t>
      </w:r>
      <w:r>
        <w:rPr>
          <w:rFonts w:hint="eastAsia" w:ascii="仿宋_GB2312" w:hAnsi="仿宋_GB2312" w:eastAsia="仿宋_GB2312" w:cs="仿宋_GB2312"/>
          <w:b w:val="0"/>
          <w:bCs w:val="0"/>
          <w:kern w:val="2"/>
          <w:sz w:val="24"/>
          <w:szCs w:val="20"/>
          <w:highlight w:val="none"/>
          <w:lang w:val="en-US" w:eastAsia="zh-CN" w:bidi="ar-SA"/>
        </w:rPr>
        <w:t xml:space="preserve">合同(含税)价款：(大写)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 xml:space="preserve">，(小写)人民币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 xml:space="preserve">元(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%增值税专用发票)，(清单明细见附件《报价单》)。</w:t>
      </w:r>
    </w:p>
    <w:tbl>
      <w:tblPr>
        <w:tblStyle w:val="12"/>
        <w:tblW w:w="8005" w:type="dxa"/>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8"/>
        <w:gridCol w:w="1425"/>
        <w:gridCol w:w="1800"/>
        <w:gridCol w:w="2412"/>
      </w:tblGrid>
      <w:tr w14:paraId="110B6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368" w:type="dxa"/>
            <w:vAlign w:val="top"/>
          </w:tcPr>
          <w:p w14:paraId="47AEB68B">
            <w:pPr>
              <w:keepNext w:val="0"/>
              <w:keepLines w:val="0"/>
              <w:pageBreakBefore w:val="0"/>
              <w:wordWrap/>
              <w:topLinePunct w:val="0"/>
              <w:bidi w:val="0"/>
              <w:spacing w:before="209" w:line="360" w:lineRule="auto"/>
              <w:ind w:right="-100" w:rightChars="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不含税总价款(元)</w:t>
            </w:r>
          </w:p>
        </w:tc>
        <w:tc>
          <w:tcPr>
            <w:tcW w:w="1425" w:type="dxa"/>
            <w:vAlign w:val="top"/>
          </w:tcPr>
          <w:p w14:paraId="571731C9">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税率</w:t>
            </w:r>
          </w:p>
        </w:tc>
        <w:tc>
          <w:tcPr>
            <w:tcW w:w="1800" w:type="dxa"/>
            <w:vAlign w:val="top"/>
          </w:tcPr>
          <w:p w14:paraId="318A423F">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税额(元)</w:t>
            </w:r>
          </w:p>
        </w:tc>
        <w:tc>
          <w:tcPr>
            <w:tcW w:w="2412" w:type="dxa"/>
            <w:vAlign w:val="top"/>
          </w:tcPr>
          <w:p w14:paraId="1632BD1F">
            <w:pPr>
              <w:keepNext w:val="0"/>
              <w:keepLines w:val="0"/>
              <w:pageBreakBefore w:val="0"/>
              <w:wordWrap/>
              <w:topLinePunct w:val="0"/>
              <w:bidi w:val="0"/>
              <w:spacing w:before="209" w:line="360" w:lineRule="auto"/>
              <w:ind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价税合计(元)</w:t>
            </w:r>
          </w:p>
        </w:tc>
      </w:tr>
      <w:tr w14:paraId="36DEC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368" w:type="dxa"/>
            <w:vAlign w:val="top"/>
          </w:tcPr>
          <w:p w14:paraId="70C47538">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c>
          <w:tcPr>
            <w:tcW w:w="1425" w:type="dxa"/>
            <w:vAlign w:val="top"/>
          </w:tcPr>
          <w:p w14:paraId="6AD58618">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c>
          <w:tcPr>
            <w:tcW w:w="1800" w:type="dxa"/>
            <w:vAlign w:val="top"/>
          </w:tcPr>
          <w:p w14:paraId="75C9B85B">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c>
          <w:tcPr>
            <w:tcW w:w="2412" w:type="dxa"/>
            <w:vAlign w:val="top"/>
          </w:tcPr>
          <w:p w14:paraId="3909DE74">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r>
    </w:tbl>
    <w:p w14:paraId="314514F8">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rPr>
          <w:rFonts w:hint="eastAsia" w:ascii="仿宋_GB2312" w:hAnsi="仿宋_GB2312" w:eastAsia="仿宋_GB2312" w:cs="仿宋_GB2312"/>
          <w:sz w:val="24"/>
          <w:highlight w:val="none"/>
          <w:u w:val="single"/>
          <w:lang w:val="en-US" w:eastAsia="zh-CN"/>
        </w:rPr>
      </w:pPr>
    </w:p>
    <w:p w14:paraId="2DE79FE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sz w:val="24"/>
          <w:highlight w:val="none"/>
          <w:u w:val="none"/>
          <w:lang w:val="en-US" w:eastAsia="zh-CN"/>
        </w:rPr>
        <w:t>2.1.2</w:t>
      </w:r>
      <w:r>
        <w:rPr>
          <w:rFonts w:hint="eastAsia" w:ascii="仿宋_GB2312" w:hAnsi="仿宋_GB2312" w:eastAsia="仿宋_GB2312" w:cs="仿宋_GB2312"/>
          <w:sz w:val="24"/>
          <w:highlight w:val="none"/>
          <w:u w:val="single"/>
          <w:lang w:val="en-US" w:eastAsia="zh-CN"/>
        </w:rPr>
        <w:t>东莞市应急消防救援训练基地-泛光照明工程-照明劳务分包工程</w:t>
      </w:r>
      <w:r>
        <w:rPr>
          <w:rFonts w:hint="eastAsia" w:ascii="仿宋_GB2312" w:hAnsi="仿宋_GB2312" w:eastAsia="仿宋_GB2312" w:cs="仿宋_GB2312"/>
          <w:b w:val="0"/>
          <w:bCs w:val="0"/>
          <w:kern w:val="2"/>
          <w:sz w:val="24"/>
          <w:szCs w:val="20"/>
          <w:highlight w:val="none"/>
          <w:lang w:val="en-US" w:eastAsia="zh-CN" w:bidi="ar-SA"/>
        </w:rPr>
        <w:t xml:space="preserve">合同(含税)价款：(大写)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 xml:space="preserve">，(小写)人民币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 xml:space="preserve">元(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%增值税专用发票)，(清单明细见附件《报价单》)。</w:t>
      </w:r>
    </w:p>
    <w:tbl>
      <w:tblPr>
        <w:tblStyle w:val="12"/>
        <w:tblW w:w="8005" w:type="dxa"/>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8"/>
        <w:gridCol w:w="1425"/>
        <w:gridCol w:w="1800"/>
        <w:gridCol w:w="2412"/>
      </w:tblGrid>
      <w:tr w14:paraId="17224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368" w:type="dxa"/>
            <w:vAlign w:val="top"/>
          </w:tcPr>
          <w:p w14:paraId="2813A752">
            <w:pPr>
              <w:keepNext w:val="0"/>
              <w:keepLines w:val="0"/>
              <w:pageBreakBefore w:val="0"/>
              <w:wordWrap/>
              <w:topLinePunct w:val="0"/>
              <w:bidi w:val="0"/>
              <w:spacing w:before="209" w:line="360" w:lineRule="auto"/>
              <w:ind w:right="-100" w:rightChars="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不含税总价款(元)</w:t>
            </w:r>
          </w:p>
        </w:tc>
        <w:tc>
          <w:tcPr>
            <w:tcW w:w="1425" w:type="dxa"/>
            <w:vAlign w:val="top"/>
          </w:tcPr>
          <w:p w14:paraId="41D6DF25">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税率</w:t>
            </w:r>
          </w:p>
        </w:tc>
        <w:tc>
          <w:tcPr>
            <w:tcW w:w="1800" w:type="dxa"/>
            <w:vAlign w:val="top"/>
          </w:tcPr>
          <w:p w14:paraId="41EFF7BA">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税额(元)</w:t>
            </w:r>
          </w:p>
        </w:tc>
        <w:tc>
          <w:tcPr>
            <w:tcW w:w="2412" w:type="dxa"/>
            <w:vAlign w:val="top"/>
          </w:tcPr>
          <w:p w14:paraId="7A67B42F">
            <w:pPr>
              <w:keepNext w:val="0"/>
              <w:keepLines w:val="0"/>
              <w:pageBreakBefore w:val="0"/>
              <w:wordWrap/>
              <w:topLinePunct w:val="0"/>
              <w:bidi w:val="0"/>
              <w:spacing w:before="209" w:line="360" w:lineRule="auto"/>
              <w:ind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价税合计(元)</w:t>
            </w:r>
          </w:p>
        </w:tc>
      </w:tr>
      <w:tr w14:paraId="6AACC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368" w:type="dxa"/>
            <w:vAlign w:val="top"/>
          </w:tcPr>
          <w:p w14:paraId="5DFC1E26">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c>
          <w:tcPr>
            <w:tcW w:w="1425" w:type="dxa"/>
            <w:vAlign w:val="top"/>
          </w:tcPr>
          <w:p w14:paraId="5A9BC6CB">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c>
          <w:tcPr>
            <w:tcW w:w="1800" w:type="dxa"/>
            <w:vAlign w:val="top"/>
          </w:tcPr>
          <w:p w14:paraId="2CEF6F90">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c>
          <w:tcPr>
            <w:tcW w:w="2412" w:type="dxa"/>
            <w:vAlign w:val="top"/>
          </w:tcPr>
          <w:p w14:paraId="6610905F">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r>
    </w:tbl>
    <w:p w14:paraId="654BAC6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仿宋_GB2312" w:hAnsi="仿宋_GB2312" w:eastAsia="仿宋_GB2312" w:cs="仿宋_GB2312"/>
          <w:b w:val="0"/>
          <w:bCs w:val="0"/>
          <w:kern w:val="2"/>
          <w:sz w:val="24"/>
          <w:szCs w:val="20"/>
          <w:highlight w:val="none"/>
          <w:lang w:val="en-US" w:eastAsia="zh-CN" w:bidi="ar-SA"/>
        </w:rPr>
      </w:pPr>
    </w:p>
    <w:p w14:paraId="1B83BF7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sz w:val="24"/>
          <w:highlight w:val="none"/>
          <w:u w:val="none"/>
          <w:lang w:val="en-US" w:eastAsia="zh-CN"/>
        </w:rPr>
        <w:t>2.1.3</w:t>
      </w:r>
      <w:r>
        <w:rPr>
          <w:rFonts w:hint="eastAsia" w:ascii="仿宋_GB2312" w:hAnsi="仿宋_GB2312" w:eastAsia="仿宋_GB2312" w:cs="仿宋_GB2312"/>
          <w:sz w:val="24"/>
          <w:highlight w:val="none"/>
          <w:u w:val="single"/>
          <w:lang w:val="en-US" w:eastAsia="zh-CN"/>
        </w:rPr>
        <w:t>东莞市生物技术产业园项目-照明安装工程-照明劳务分包工程</w:t>
      </w:r>
      <w:r>
        <w:rPr>
          <w:rFonts w:hint="eastAsia" w:ascii="仿宋_GB2312" w:hAnsi="仿宋_GB2312" w:eastAsia="仿宋_GB2312" w:cs="仿宋_GB2312"/>
          <w:b w:val="0"/>
          <w:bCs w:val="0"/>
          <w:kern w:val="2"/>
          <w:sz w:val="24"/>
          <w:szCs w:val="20"/>
          <w:highlight w:val="none"/>
          <w:lang w:val="en-US" w:eastAsia="zh-CN" w:bidi="ar-SA"/>
        </w:rPr>
        <w:t xml:space="preserve">合同(含税)价款：(大写)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 xml:space="preserve">，(小写)人民币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 xml:space="preserve">元(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%增值税专用发票)，(清单明细见附件《报价单》)。</w:t>
      </w:r>
    </w:p>
    <w:tbl>
      <w:tblPr>
        <w:tblStyle w:val="12"/>
        <w:tblW w:w="8005" w:type="dxa"/>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8"/>
        <w:gridCol w:w="1425"/>
        <w:gridCol w:w="1800"/>
        <w:gridCol w:w="2412"/>
      </w:tblGrid>
      <w:tr w14:paraId="541F3C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368" w:type="dxa"/>
            <w:vAlign w:val="top"/>
          </w:tcPr>
          <w:p w14:paraId="1B014AA1">
            <w:pPr>
              <w:keepNext w:val="0"/>
              <w:keepLines w:val="0"/>
              <w:pageBreakBefore w:val="0"/>
              <w:wordWrap/>
              <w:topLinePunct w:val="0"/>
              <w:bidi w:val="0"/>
              <w:spacing w:before="209" w:line="360" w:lineRule="auto"/>
              <w:ind w:right="-100" w:rightChars="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不含税总价款(元)</w:t>
            </w:r>
          </w:p>
        </w:tc>
        <w:tc>
          <w:tcPr>
            <w:tcW w:w="1425" w:type="dxa"/>
            <w:vAlign w:val="top"/>
          </w:tcPr>
          <w:p w14:paraId="7F833A60">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税率</w:t>
            </w:r>
          </w:p>
        </w:tc>
        <w:tc>
          <w:tcPr>
            <w:tcW w:w="1800" w:type="dxa"/>
            <w:vAlign w:val="top"/>
          </w:tcPr>
          <w:p w14:paraId="356FD565">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税额(元)</w:t>
            </w:r>
          </w:p>
        </w:tc>
        <w:tc>
          <w:tcPr>
            <w:tcW w:w="2412" w:type="dxa"/>
            <w:vAlign w:val="top"/>
          </w:tcPr>
          <w:p w14:paraId="1E5A4050">
            <w:pPr>
              <w:keepNext w:val="0"/>
              <w:keepLines w:val="0"/>
              <w:pageBreakBefore w:val="0"/>
              <w:wordWrap/>
              <w:topLinePunct w:val="0"/>
              <w:bidi w:val="0"/>
              <w:spacing w:before="209" w:line="360" w:lineRule="auto"/>
              <w:ind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价税合计(元)</w:t>
            </w:r>
          </w:p>
        </w:tc>
      </w:tr>
      <w:tr w14:paraId="20CC4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368" w:type="dxa"/>
            <w:vAlign w:val="top"/>
          </w:tcPr>
          <w:p w14:paraId="3428941E">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c>
          <w:tcPr>
            <w:tcW w:w="1425" w:type="dxa"/>
            <w:vAlign w:val="top"/>
          </w:tcPr>
          <w:p w14:paraId="5999AE1D">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c>
          <w:tcPr>
            <w:tcW w:w="1800" w:type="dxa"/>
            <w:vAlign w:val="top"/>
          </w:tcPr>
          <w:p w14:paraId="17262384">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c>
          <w:tcPr>
            <w:tcW w:w="2412" w:type="dxa"/>
            <w:vAlign w:val="top"/>
          </w:tcPr>
          <w:p w14:paraId="68FD7FCA">
            <w:pPr>
              <w:keepNext w:val="0"/>
              <w:keepLines w:val="0"/>
              <w:pageBreakBefore w:val="0"/>
              <w:wordWrap/>
              <w:topLinePunct w:val="0"/>
              <w:bidi w:val="0"/>
              <w:spacing w:before="209" w:line="360" w:lineRule="auto"/>
              <w:ind w:left="0" w:right="-100" w:rightChars="0" w:firstLine="480" w:firstLineChars="200"/>
              <w:jc w:val="both"/>
              <w:rPr>
                <w:rFonts w:hint="eastAsia" w:ascii="仿宋_GB2312" w:hAnsi="仿宋_GB2312" w:eastAsia="仿宋_GB2312" w:cs="仿宋_GB2312"/>
                <w:b w:val="0"/>
                <w:bCs w:val="0"/>
                <w:kern w:val="2"/>
                <w:sz w:val="24"/>
                <w:szCs w:val="20"/>
                <w:highlight w:val="none"/>
                <w:lang w:val="en-US" w:eastAsia="zh-CN" w:bidi="ar-SA"/>
              </w:rPr>
            </w:pPr>
          </w:p>
        </w:tc>
      </w:tr>
    </w:tbl>
    <w:p w14:paraId="4E08C00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p>
    <w:p w14:paraId="769612C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2.2本劳务分包合同为固定单价劳务包干合同，最终以实际现场完成工程量核量确定结算价。</w:t>
      </w:r>
    </w:p>
    <w:p w14:paraId="421131FE">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3、分包工作期限：</w:t>
      </w:r>
    </w:p>
    <w:p w14:paraId="12A381A6">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具体开工时间以工程承包单位发出书面开工通知为准，劳务分包单位必须无条件配合工程承包单位的工程进度节点要求。</w:t>
      </w:r>
    </w:p>
    <w:p w14:paraId="1222DBDB">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4、质量标准：</w:t>
      </w:r>
    </w:p>
    <w:p w14:paraId="6B49A410">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工程质量：合格。</w:t>
      </w:r>
    </w:p>
    <w:p w14:paraId="20C0AF1D">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工程承包人义务：</w:t>
      </w:r>
    </w:p>
    <w:p w14:paraId="7B09CC0B">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 xml:space="preserve">5.1、委派现场代表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负责对工程建设进行全面管理，解决施工过程中出现的需要甲方协调的相关问题，并参与工程的初验、各种验收和签证工作。如变更现场代表应及时通知乙方。</w:t>
      </w:r>
    </w:p>
    <w:p w14:paraId="495BBE23">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5.2、向乙方提供施工场地，保证运输道路畅通，同时提供现场施工用水、用电接驳点。</w:t>
      </w:r>
    </w:p>
    <w:p w14:paraId="098CAAD5">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5.3、提供本项目施工图纸，负责组织图纸会审。</w:t>
      </w:r>
    </w:p>
    <w:p w14:paraId="796DF7E7">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5.4、及时对工程进度、工程质量进行监督检查，参加材料报验、样板验收、组织工程的初验，接乙方书面通知起  3 个工作小时内参加隐蔽工程验收。</w:t>
      </w:r>
    </w:p>
    <w:p w14:paraId="6DB7B44B">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5.5、对于工程变更申请，应在收到乙方书面材料起  7 个工作日内进行审批或确认，办理有关的签证。</w:t>
      </w:r>
    </w:p>
    <w:p w14:paraId="783B82CE">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5.6、接乙方提供工程进度报表后 15 个工作日内审批并确认工程施工进度，并按合同约定支付合同款项。</w:t>
      </w:r>
    </w:p>
    <w:p w14:paraId="1AAF3200">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5.7、负责协调乙方与其他各承包单位的关系，并协助解决材料堆放场地，如材料堆放场地产生费用的，费用由乙方承担。</w:t>
      </w:r>
    </w:p>
    <w:p w14:paraId="6B325D62">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5.8、按相关规定办理施工所需证件、手续，提供有关的资料，包括：按工程所在地的建设行政主管部门的有关文件及规定办理。</w:t>
      </w:r>
    </w:p>
    <w:p w14:paraId="278FB924">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5.9、甲方在收到乙方所提交的竣工结算书及完整的竣工结算资料后，应在28天内通知乙方核对价款并于工程分部分项验收合格（如需）、工程竣工四方验收并以该两份文件所标示的最后日期为基准)后的六个月内完成结算。</w:t>
      </w:r>
    </w:p>
    <w:p w14:paraId="4D4161EE">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5.10、一旦项目过程中出现安全伤亡事故，若经调查发现甲方管理团队存在未履行安全管理职责，如未制定完善的安全管理制度、未组织有效的安全培训等情况，或甲方人员存在违反安全操作规程的行为，甲方应立即启动内部问责机制。对管理团队，可根据情节轻重，给予从通报批评到解除职务等不同程度的处罚；对涉事人员，除按照甲方内部规定进行处理外，如涉及违法犯罪的，依法移送司法机关。</w:t>
      </w:r>
    </w:p>
    <w:p w14:paraId="0A82A576">
      <w:pPr>
        <w:keepNext w:val="0"/>
        <w:keepLines w:val="0"/>
        <w:pageBreakBefore w:val="0"/>
        <w:wordWrap/>
        <w:topLinePunct w:val="0"/>
        <w:bidi w:val="0"/>
        <w:spacing w:before="213" w:line="360" w:lineRule="auto"/>
        <w:ind w:left="0" w:leftChars="0" w:right="100" w:rightChars="0" w:firstLine="480" w:firstLineChars="200"/>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6、劳务分包人义务：</w:t>
      </w:r>
    </w:p>
    <w:p w14:paraId="1F68CE2D">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1、委派现场代表</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负责施工期间的全面管理，如变更现场代表应事先经甲方书面同意。</w:t>
      </w:r>
    </w:p>
    <w:p w14:paraId="4844C041">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2、根据甲方确认的施工图纸，按照本合同约定完成承包范围内的施工工作，并按甲方要求的格式书面提请办理验收和确认手续。</w:t>
      </w:r>
    </w:p>
    <w:p w14:paraId="27EBDB47">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3、工程项目开工应提前三个工作日将完整的施工组织设计、网络图和施工技术措施和劳务主要负责人名单报甲方确认、备案，其中配备技术员、安全员（持证）、电工各一名，如乙方更换劳务主要负责人，应事先征得甲方书面同意。如乙方拒不提供，甲方有权单方面解除合同并要求乙方承担相应的损失。上述人员自工地开工后至验收结算为止，甲方随时进行抽查人员的到位情况，少1人1天处罚1000元/次/天。</w:t>
      </w:r>
    </w:p>
    <w:p w14:paraId="2D8B5AC0">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4、劳务负责人必须常住现场，离开现场2天（含2天）以上需经甲方同意。中途更换劳务负责人，需提前7天以书面形式通知甲方。甲方有权就不称职的劳务负责人向乙方提出更换，乙方应在甲方限定时间内配合更换，逾期未配合更换的，每逾期一天，需向甲方支付违约1000元。劳务负责人及现场主要管理人员不得缺席或迟到甲方组织的任何会议，缺席一次需向甲方支付500元罚款。</w:t>
      </w:r>
    </w:p>
    <w:p w14:paraId="7176ECD4">
      <w:pPr>
        <w:keepNext w:val="0"/>
        <w:keepLines w:val="0"/>
        <w:pageBreakBefore w:val="0"/>
        <w:widowControl w:val="0"/>
        <w:tabs>
          <w:tab w:val="left" w:pos="426"/>
        </w:tabs>
        <w:kinsoku/>
        <w:wordWrap/>
        <w:overflowPunct/>
        <w:topLinePunct w:val="0"/>
        <w:autoSpaceDE w:val="0"/>
        <w:autoSpaceDN w:val="0"/>
        <w:bidi w:val="0"/>
        <w:adjustRightInd w:val="0"/>
        <w:spacing w:line="360" w:lineRule="auto"/>
        <w:ind w:left="0" w:right="0" w:rightChars="0" w:firstLine="480" w:firstLineChars="200"/>
        <w:textAlignment w:val="auto"/>
        <w:rPr>
          <w:rFonts w:hint="default"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ab/>
      </w:r>
      <w:r>
        <w:rPr>
          <w:rFonts w:hint="eastAsia" w:ascii="仿宋_GB2312" w:hAnsi="仿宋_GB2312" w:eastAsia="仿宋_GB2312" w:cs="仿宋_GB2312"/>
          <w:b w:val="0"/>
          <w:bCs w:val="0"/>
          <w:kern w:val="2"/>
          <w:sz w:val="24"/>
          <w:szCs w:val="20"/>
          <w:highlight w:val="none"/>
          <w:lang w:val="en-US" w:eastAsia="zh-CN" w:bidi="ar-SA"/>
        </w:rPr>
        <w:t>5、乙方进场前，须提前一个工作日书面通知甲方，进场时经双方共同验收并作书面记录和现场拍照。每天工人上岗前必须用实时相机拍照记录，发至工作群里。</w:t>
      </w:r>
    </w:p>
    <w:p w14:paraId="3409566F">
      <w:pPr>
        <w:keepNext w:val="0"/>
        <w:keepLines w:val="0"/>
        <w:pageBreakBefore w:val="0"/>
        <w:widowControl w:val="0"/>
        <w:tabs>
          <w:tab w:val="left" w:pos="426"/>
        </w:tabs>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6、施工过程中如发现设计错误或不合理时，应立即停工并书面通知甲方。否则，乙方应对扩大的损失负责赔偿。</w:t>
      </w:r>
    </w:p>
    <w:p w14:paraId="4219B193">
      <w:pPr>
        <w:keepNext w:val="0"/>
        <w:keepLines w:val="0"/>
        <w:pageBreakBefore w:val="0"/>
        <w:widowControl w:val="0"/>
        <w:tabs>
          <w:tab w:val="left" w:pos="426"/>
        </w:tabs>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7、于达到合同约定的付款条件时，乙方须按甲方要求的格式提供相应的工程进度报表并向甲方发出书面付款申请，若乙方未及时提供前述资料，甲方可相应顺延付款时间。</w:t>
      </w:r>
    </w:p>
    <w:p w14:paraId="2368572C">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8、按相关安全法规进行安全施工，遵守甲方施工现场管理的有关规定，承担在施工过程中的防火、防盗、防止事故发生等安全责任。若出现安全问题，责任由乙方自行承担。一旦出现任何伤亡事件，根据《中华人民共和国安全生产法》相关规定，若因乙方原因导致安全事故发生，乙方承担因其过错导致的直接责任，甲方对安全事故承担连带责任，若因乙方原因给甲方造成损失的，甲方有权向乙方追偿。赔偿范围涵盖直接损失与间接损失，具体赔偿项目和标准依照国家相关法律法规及当地政策执行。 乙方应全面负责施工现场的人材机统筹工作，根据工程进度计划合理调配人力资源，确保各工种人员数量充足、技术资质符合要求且按时到岗；妥善管理施工材料，并合理安排材料的存储与使用，避免浪费与损耗；科学调度施工机械设备，确保设备性能良好、运行安全，按时完成维护保养工作，满足施工需求。同时，乙方需建立完善的安全管理体系，制定并执行严格的安全操作规程，配备足额的安全防护设施与器材，对施工人员进行全面的安全教育培训，定期开展安全检查与隐患排查治理工作，采取有效措施防范各类安全事故的发生，确保施工现场安全有序。</w:t>
      </w:r>
    </w:p>
    <w:p w14:paraId="4CA26BBF">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9、乙方应配合甲方的场地管理以及处理好与其他在建专业施工队伍的关系，车辆离开施工场地时必须清洗干净，并保证施工场地的清洁卫生符合相关环境卫生管理的规定，做到工完场清，未按要求清洗而造成的相关后果由乙方自行承担，甲方保留向其追责的权利。且甲方有权委托第三方予以处理，因此造成的费用损失，甲方有权直接在应付乙方的合同款中直接扣除。</w:t>
      </w:r>
    </w:p>
    <w:p w14:paraId="697EF44C">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10、工程交付甲方前，应负责已完工工程的保护工作，在此期间发生损坏的，由乙方自费予以修复并按合同约定交付甲方，由此造成工期延误，按违约责任中的逾期完工条款处理。</w:t>
      </w:r>
    </w:p>
    <w:p w14:paraId="21E42E9E">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11、乙方如在施工过程中损坏甲方现场的其他工程成品或半成品，乙方应赔偿给甲方。不赔偿的，甲方有权在结算款中扣除。</w:t>
      </w:r>
    </w:p>
    <w:p w14:paraId="731D1BAF">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12、乙方施工时，禁止吸烟，禁止酒后上岗，禁止随处大小便，一经发现罚款1000元。</w:t>
      </w:r>
    </w:p>
    <w:p w14:paraId="299B6C0C">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13、乙方与其员工之间的一切劳动纠纷由其自行负责，由此给甲方造成损失的，乙方应予以赔偿。</w:t>
      </w:r>
    </w:p>
    <w:p w14:paraId="593D3AC9">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14、因乙方原因造成的不符合本合同约定标准的质量问题及工程隐患而甲方在验收时没能发现的，由乙方负责在甲方要求的期限内免费整改。</w:t>
      </w:r>
    </w:p>
    <w:p w14:paraId="5BF61531">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15、乙方不得未经甲方同意改变或破坏工程楼房的承重结构。</w:t>
      </w:r>
    </w:p>
    <w:p w14:paraId="6DA55318">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16、工程验收后，乙方人员必须在两日内清理并撤离施工场地。</w:t>
      </w:r>
    </w:p>
    <w:p w14:paraId="25314E70">
      <w:pPr>
        <w:keepNext w:val="0"/>
        <w:keepLines w:val="0"/>
        <w:pageBreakBefore w:val="0"/>
        <w:widowControl w:val="0"/>
        <w:kinsoku/>
        <w:wordWrap/>
        <w:overflowPunct/>
        <w:topLinePunct w:val="0"/>
        <w:autoSpaceDE w:val="0"/>
        <w:autoSpaceDN w:val="0"/>
        <w:bidi w:val="0"/>
        <w:adjustRightIn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17、乙方承包的项目，未经甲方书面同意，不得分包或转包给其他任何单位。</w:t>
      </w:r>
    </w:p>
    <w:p w14:paraId="5CAFF320">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18、图纸外（现场变更、临时工程等）的工程签证，属于隐蔽工程的应于隐蔽前办理签证，非隐蔽工程应于完成后两个工作日内办理签证。签证时，乙方应至少提前4个工作小时通知甲方，经甲方项目部及乙方共同现场验收签证，并在签证单中签名确认方为有效。甲方、乙方双方各执2份，作为工程结算依据。不按以上要求的事后补签，甲方可不予以认可及结算，后果由乙方自行承担。</w:t>
      </w:r>
    </w:p>
    <w:p w14:paraId="55DB8B20">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19、同时，属于乙方承包范围内的，如乙方不予以实施或未按期完成且甲方已发书面通知后3个日历天内(以该通知文件所标示的甲方签发之日起计)仍不实施或不按期完成时，甲方有权将该部分项工程作为指定分包工程或独立发包工程或其他方式委托第三方实施的权利，乙方须承担向甲方或甲方所委托的第三方移交施工现场及施工工作面并承担相应的指定分包工程或独立发包工程总承包的配合和管理工作，且所需全部费用及全部损失均由乙方负责；甲方可在任何时候从乙方的任何工程款中予以扣减。</w:t>
      </w:r>
    </w:p>
    <w:p w14:paraId="02231CA0">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20、施工完成，乙方进行自检合格后应以书面形式（按甲方要求的格式）通知甲方验收。通知包括验收的内容、验收时间和地点。甲方验收合格后，乙方方可进行下一道工序的施工。验收不合格，乙方在甲方限定的时间内整改后重新报验。</w:t>
      </w:r>
    </w:p>
    <w:p w14:paraId="22FFA4AD">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21、甲供材料损耗率必须在定额范围内（具体定额范围按《广东省建筑与装饰工程综合定额》（2018）约定），超过部分由乙方负责（如有甲供材料）。本工程承包人提供的主材进入施工工地时，分包单位应派人配合发包人进行主材验收，主材进场验收之后分包单位承担保管责任。分包单位按施工图纸、规范、标准合理地进行配料和施工，严禁偷工减料和浪费材料，主材损耗率不应高于定额损耗率 ，未满足上述要求，则超出损耗部分按发包人采购单价的100%从分包单位产值中扣除。处罚费用承包人在支付分包单位进度款时或结算支付时扣除。</w:t>
      </w:r>
    </w:p>
    <w:p w14:paraId="340D7384">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 xml:space="preserve"> 22、乙方应在工程验收后两周内向甲方提交竣工结算书及完整的竣工结算资料，并在收到甲方发出的核对工程价款通知之日起三个工作日内与甲方核对工程价款，于工程分部分项验收后的  三 个月内完成结算。乙方不按以上约定履行义务的，视为乙方同意以甲方结算金额作为本工程的最终结算金额。</w:t>
      </w:r>
    </w:p>
    <w:p w14:paraId="756902B5">
      <w:pPr>
        <w:keepNext w:val="0"/>
        <w:keepLines w:val="0"/>
        <w:pageBreakBefore w:val="0"/>
        <w:widowControl w:val="0"/>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如工程的最终结算金额少于甲方已支付的工程款总额，则乙方应在收到甲方通知之日起五个工作日内将甲方已支付的工程款总额和工程的最终结算金额之间的差额退回给甲方。逾期退还的，每逾期一日，乙方应按退还款项的千分之五向甲方支付违约金。</w:t>
      </w:r>
    </w:p>
    <w:p w14:paraId="3C9E7D39">
      <w:pPr>
        <w:keepNext w:val="0"/>
        <w:keepLines w:val="0"/>
        <w:pageBreakBefore w:val="0"/>
        <w:widowControl w:val="0"/>
        <w:numPr>
          <w:ilvl w:val="0"/>
          <w:numId w:val="5"/>
        </w:numPr>
        <w:kinsoku/>
        <w:wordWrap/>
        <w:overflowPunct/>
        <w:topLinePunct w:val="0"/>
        <w:bidi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乙方应采取适当的措施对施工现场周围的居民和公众进行安抚并在必要时支付补偿金，以避免因其施工(包括夜间施工)所产生的施工噪音、震动、光线等扰民因素导致的民扰对工程进展造成影响。乙方应保证甲方不会承担任何与施工扰民或民扰有关的费用，且不会遭受任何与施工扰民或民扰有关的费用和延长工期的索赔。</w:t>
      </w:r>
    </w:p>
    <w:p w14:paraId="52899AA8">
      <w:pPr>
        <w:keepNext w:val="0"/>
        <w:keepLines w:val="0"/>
        <w:pageBreakBefore w:val="0"/>
        <w:widowControl w:val="0"/>
        <w:numPr>
          <w:ilvl w:val="0"/>
          <w:numId w:val="0"/>
        </w:numPr>
        <w:kinsoku/>
        <w:wordWrap/>
        <w:overflowPunct/>
        <w:topLinePunct w:val="0"/>
        <w:bidi w:val="0"/>
        <w:spacing w:line="360" w:lineRule="auto"/>
        <w:ind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24、负责向甲方提供完整的竣工图3套（含可修改的电子版图纸）。</w:t>
      </w:r>
    </w:p>
    <w:p w14:paraId="3C9856DC">
      <w:pPr>
        <w:keepNext w:val="0"/>
        <w:keepLines w:val="0"/>
        <w:pageBreakBefore w:val="0"/>
        <w:widowControl w:val="0"/>
        <w:kinsoku w:val="0"/>
        <w:wordWrap/>
        <w:overflowPunct w:val="0"/>
        <w:topLinePunct w:val="0"/>
        <w:autoSpaceDE w:val="0"/>
        <w:autoSpaceDN w:val="0"/>
        <w:bidi w:val="0"/>
        <w:adjustRightInd w:val="0"/>
        <w:snapToGrid w:val="0"/>
        <w:spacing w:before="204" w:line="360" w:lineRule="auto"/>
        <w:ind w:left="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bookmarkStart w:id="36" w:name="_Toc374199320"/>
      <w:r>
        <w:rPr>
          <w:rFonts w:hint="eastAsia" w:ascii="仿宋_GB2312" w:hAnsi="仿宋_GB2312" w:eastAsia="仿宋_GB2312" w:cs="仿宋_GB2312"/>
          <w:b w:val="0"/>
          <w:bCs w:val="0"/>
          <w:kern w:val="2"/>
          <w:sz w:val="24"/>
          <w:szCs w:val="20"/>
          <w:highlight w:val="none"/>
          <w:lang w:val="en-US" w:eastAsia="zh-CN" w:bidi="ar-SA"/>
        </w:rPr>
        <w:t>7、劳务报酬</w:t>
      </w:r>
      <w:bookmarkEnd w:id="36"/>
    </w:p>
    <w:p w14:paraId="04AC8CA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 xml:space="preserve">7.1本工程的劳务报酬采用下列  </w:t>
      </w:r>
      <w:r>
        <w:rPr>
          <w:rFonts w:hint="eastAsia" w:ascii="仿宋_GB2312" w:hAnsi="仿宋_GB2312" w:eastAsia="仿宋_GB2312" w:cs="仿宋_GB2312"/>
          <w:b w:val="0"/>
          <w:bCs w:val="0"/>
          <w:kern w:val="2"/>
          <w:sz w:val="24"/>
          <w:szCs w:val="20"/>
          <w:highlight w:val="none"/>
          <w:u w:val="single"/>
          <w:lang w:val="en-US" w:eastAsia="zh-CN" w:bidi="ar-SA"/>
        </w:rPr>
        <w:t>（2）</w:t>
      </w:r>
      <w:r>
        <w:rPr>
          <w:rFonts w:hint="eastAsia" w:ascii="仿宋_GB2312" w:hAnsi="仿宋_GB2312" w:eastAsia="仿宋_GB2312" w:cs="仿宋_GB2312"/>
          <w:b w:val="0"/>
          <w:bCs w:val="0"/>
          <w:kern w:val="2"/>
          <w:sz w:val="24"/>
          <w:szCs w:val="20"/>
          <w:highlight w:val="none"/>
          <w:lang w:val="en-US" w:eastAsia="zh-CN" w:bidi="ar-SA"/>
        </w:rPr>
        <w:t xml:space="preserve">  方式计算：</w:t>
      </w:r>
    </w:p>
    <w:p w14:paraId="4D1942E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（1）固定劳务报酬（含管理费）；</w:t>
      </w:r>
    </w:p>
    <w:p w14:paraId="26262B80">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（2）按附件清单产品单价包干（含机械费、管理费、保险费等）；</w:t>
      </w:r>
    </w:p>
    <w:p w14:paraId="1A695E10">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（3）约定不同工种劳务的计时单价（含管理费），按确认的工时计算；</w:t>
      </w:r>
    </w:p>
    <w:p w14:paraId="4F2BD85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（4）约定不同工作成果的计件单价（含管理费），按确认的工程量计算。</w:t>
      </w:r>
    </w:p>
    <w:p w14:paraId="38240B29">
      <w:pPr>
        <w:keepNext w:val="0"/>
        <w:keepLines w:val="0"/>
        <w:pageBreakBefore w:val="0"/>
        <w:widowControl w:val="0"/>
        <w:kinsoku w:val="0"/>
        <w:wordWrap/>
        <w:overflowPunct w:val="0"/>
        <w:topLinePunct w:val="0"/>
        <w:autoSpaceDE w:val="0"/>
        <w:autoSpaceDN w:val="0"/>
        <w:bidi w:val="0"/>
        <w:adjustRightInd w:val="0"/>
        <w:snapToGrid w:val="0"/>
        <w:spacing w:before="204" w:line="360" w:lineRule="auto"/>
        <w:ind w:left="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7.2采用第（2）种方式计价的，劳务报酬共计（含</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 xml:space="preserve">%普票税） </w:t>
      </w:r>
      <w:r>
        <w:rPr>
          <w:rFonts w:hint="eastAsia" w:ascii="仿宋_GB2312" w:hAnsi="仿宋_GB2312" w:eastAsia="仿宋_GB2312" w:cs="仿宋_GB2312"/>
          <w:b w:val="0"/>
          <w:bCs w:val="0"/>
          <w:kern w:val="2"/>
          <w:sz w:val="24"/>
          <w:szCs w:val="20"/>
          <w:highlight w:val="none"/>
          <w:u w:val="single"/>
          <w:lang w:val="en-US" w:eastAsia="zh-CN" w:bidi="ar-SA"/>
        </w:rPr>
        <w:t xml:space="preserve">         </w:t>
      </w:r>
      <w:r>
        <w:rPr>
          <w:rFonts w:hint="eastAsia" w:ascii="仿宋_GB2312" w:hAnsi="仿宋_GB2312" w:eastAsia="仿宋_GB2312" w:cs="仿宋_GB2312"/>
          <w:b w:val="0"/>
          <w:bCs w:val="0"/>
          <w:kern w:val="2"/>
          <w:sz w:val="24"/>
          <w:szCs w:val="20"/>
          <w:highlight w:val="none"/>
          <w:lang w:val="en-US" w:eastAsia="zh-CN" w:bidi="ar-SA"/>
        </w:rPr>
        <w:t>元（为暂计金额，以实际工程量按照附件清单单价计算为准）。</w:t>
      </w:r>
    </w:p>
    <w:p w14:paraId="0D3B1B96">
      <w:pPr>
        <w:spacing w:line="480" w:lineRule="exact"/>
        <w:ind w:firstLine="480" w:firstLineChars="200"/>
        <w:rPr>
          <w:rFonts w:hint="eastAsia" w:ascii="宋体" w:hAnsi="宋体" w:cs="宋体"/>
          <w:color w:val="FF0000"/>
          <w:szCs w:val="21"/>
        </w:rPr>
      </w:pPr>
      <w:r>
        <w:rPr>
          <w:rFonts w:hint="eastAsia" w:ascii="仿宋_GB2312" w:hAnsi="仿宋_GB2312" w:eastAsia="仿宋_GB2312" w:cs="仿宋_GB2312"/>
          <w:b w:val="0"/>
          <w:bCs w:val="0"/>
          <w:kern w:val="2"/>
          <w:sz w:val="24"/>
          <w:szCs w:val="20"/>
          <w:highlight w:val="none"/>
          <w:lang w:val="en-US" w:eastAsia="zh-CN" w:bidi="ar-SA"/>
        </w:rPr>
        <w:t>7.3本项目要求开具工人工资保函。</w:t>
      </w:r>
    </w:p>
    <w:p w14:paraId="787E8052">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1）乙方应在本合同签订后15个日历日内向甲方提供一份合同总额10%的工人工资支付保函。</w:t>
      </w:r>
    </w:p>
    <w:p w14:paraId="63F5AEE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2）保函的有效期应自开具之日起至分包工程竣工验收合格且所有工人工资结清之日止。</w:t>
      </w:r>
    </w:p>
    <w:p w14:paraId="74BAB270">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3）工人工资保函应为见索即付的独立保函，不受本合同或其他合同效力的影响。</w:t>
      </w:r>
    </w:p>
    <w:p w14:paraId="65F2A68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4）若乙方未能按照本合同约定及国家法律法规的要求，按时足额支付工人工资，导致出现工人投诉、上访或其他因拖欠工资引发的问题，甲方有权凭保函向担保机构索赔，担保机构应在接到总包方书面索赔通知后，无条件支付保函项下的款项，用于支付拖欠的工人工资。担保机构支付的款项不足以弥补工人工资拖欠金额的，乙方应负责补足差额部分。</w:t>
      </w:r>
    </w:p>
    <w:p w14:paraId="2CBA07C2">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5）在保函有效期内，若因工程变更、工期延长等原因需要调整保函金额或有效期，乙方应在原保函到期前，办理保函的变更或延续手续。如乙方未按时办理保函变更或延续手续，导致保函失效或无法覆盖工人工资支付期间的，视为乙方违约，甲方有权要求乙方承担由此造成的一切损失。</w:t>
      </w:r>
    </w:p>
    <w:p w14:paraId="289463F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6）若乙方未按本合同约定提供工人工资支付保函，或提供的保函不符合要求，甲方有权暂停支付工程款，并要求乙方在整改。逾期未整改的，甲方有权解除合同，并要求乙方承担因此给甲方造成的一切损失。若担保机构未能按照保函约定履行支付义务，乙方应承担连带赔偿责任，同时甲方有权向相关监管部门投诉，要求对担保机构进行处理。</w:t>
      </w:r>
    </w:p>
    <w:p w14:paraId="15B07E0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7）若出现使用保函支付拖欠工人工资款项情况，甲方将对本次项目的乙方履约评价等级调为‘不合格’。</w:t>
      </w:r>
    </w:p>
    <w:p w14:paraId="76E1C05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textAlignment w:val="auto"/>
        <w:rPr>
          <w:rFonts w:hint="eastAsia" w:ascii="仿宋_GB2312" w:hAnsi="仿宋_GB2312" w:eastAsia="仿宋_GB2312" w:cs="仿宋_GB2312"/>
          <w:b w:val="0"/>
          <w:bCs w:val="0"/>
          <w:kern w:val="2"/>
          <w:sz w:val="24"/>
          <w:szCs w:val="20"/>
          <w:highlight w:val="none"/>
          <w:lang w:val="en-US" w:eastAsia="zh-CN" w:bidi="ar-SA"/>
        </w:rPr>
      </w:pPr>
    </w:p>
    <w:p w14:paraId="751C03A7">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bookmarkStart w:id="37" w:name="_Toc374199321"/>
      <w:r>
        <w:rPr>
          <w:rFonts w:hint="eastAsia" w:ascii="仿宋_GB2312" w:hAnsi="仿宋_GB2312" w:eastAsia="仿宋_GB2312" w:cs="仿宋_GB2312"/>
          <w:b w:val="0"/>
          <w:bCs w:val="0"/>
          <w:kern w:val="2"/>
          <w:sz w:val="24"/>
          <w:szCs w:val="20"/>
          <w:highlight w:val="none"/>
          <w:lang w:val="en-US" w:eastAsia="zh-CN" w:bidi="ar-SA"/>
        </w:rPr>
        <w:t>8、工程量的确认</w:t>
      </w:r>
      <w:bookmarkEnd w:id="37"/>
    </w:p>
    <w:p w14:paraId="58C324A1">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用按确认的工程量计算劳务报酬的，由劳务分包人按月（或旬、日）将完成的工程量报工程承包人，由工程承包人项目经理初步确认（应在收到工程量报送资料后5日内核查，逾期未核查处理并作回复的，视为确认工程量无误），确认无误后递交请款资料。</w:t>
      </w:r>
    </w:p>
    <w:p w14:paraId="7050D3FE">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p>
    <w:p w14:paraId="20FB9BF1">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bookmarkStart w:id="38" w:name="_Toc374199322"/>
      <w:r>
        <w:rPr>
          <w:rFonts w:hint="eastAsia" w:ascii="仿宋_GB2312" w:hAnsi="仿宋_GB2312" w:eastAsia="仿宋_GB2312" w:cs="仿宋_GB2312"/>
          <w:b w:val="0"/>
          <w:bCs w:val="0"/>
          <w:kern w:val="2"/>
          <w:sz w:val="24"/>
          <w:szCs w:val="20"/>
          <w:highlight w:val="none"/>
          <w:lang w:val="en-US" w:eastAsia="zh-CN" w:bidi="ar-SA"/>
        </w:rPr>
        <w:t>9、劳务报酬的中间支付</w:t>
      </w:r>
      <w:bookmarkEnd w:id="38"/>
    </w:p>
    <w:p w14:paraId="798B5714">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9.1劳务分包人与工程承包人约定按下列方法支付：</w:t>
      </w:r>
    </w:p>
    <w:p w14:paraId="1627FFBD">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（1）工程款申请必须附上工人工资发放详细清单，如发现恶意克扣或无故拖欠劳动者工资的追究一切责任并停止支付下月工程款项。</w:t>
      </w:r>
    </w:p>
    <w:p w14:paraId="19DB19EA">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 xml:space="preserve">（2）每月底对当前完成工程量进行计算费用，付当月完成量的80%施工费；          </w:t>
      </w:r>
    </w:p>
    <w:p w14:paraId="25F1D61C">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（3）所有工程完成并通过建设方竣工验收后，甲、乙方双方对实际施工量结算，结算完成后10个工作日内付至结算金额的97%；</w:t>
      </w:r>
    </w:p>
    <w:p w14:paraId="39D13321">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（4）余下结算总金额的3%作为质保金，贰年保修期满在没遗留问题的前提下，一次性付清。</w:t>
      </w:r>
    </w:p>
    <w:p w14:paraId="750CA2CA">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9.2本合同确定调整的劳务报酬、工程变更调整的劳务报酬及其他条款中约定的追加劳务报酬，应与上述劳务报酬同期调整支付。</w:t>
      </w:r>
    </w:p>
    <w:p w14:paraId="09DBF913">
      <w:pPr>
        <w:keepNext w:val="0"/>
        <w:keepLines w:val="0"/>
        <w:pageBreakBefore w:val="0"/>
        <w:widowControl w:val="0"/>
        <w:kinsoku w:val="0"/>
        <w:wordWrap/>
        <w:overflowPunct w:val="0"/>
        <w:topLinePunct w:val="0"/>
        <w:autoSpaceDE w:val="0"/>
        <w:autoSpaceDN w:val="0"/>
        <w:bidi w:val="0"/>
        <w:adjustRightInd w:val="0"/>
        <w:snapToGrid w:val="0"/>
        <w:spacing w:before="204" w:line="360" w:lineRule="auto"/>
        <w:ind w:left="0" w:right="100" w:rightChars="0" w:firstLine="480" w:firstLineChars="200"/>
        <w:jc w:val="both"/>
        <w:textAlignment w:val="baseline"/>
        <w:rPr>
          <w:rFonts w:hint="default" w:ascii="仿宋_GB2312" w:hAnsi="仿宋_GB2312" w:eastAsia="仿宋_GB2312" w:cs="仿宋_GB2312"/>
          <w:b w:val="0"/>
          <w:bCs w:val="0"/>
          <w:kern w:val="2"/>
          <w:sz w:val="24"/>
          <w:szCs w:val="20"/>
          <w:highlight w:val="none"/>
          <w:lang w:val="en-US" w:eastAsia="zh-CN" w:bidi="ar-SA"/>
        </w:rPr>
      </w:pPr>
      <w:bookmarkStart w:id="39" w:name="_Toc374199327"/>
      <w:r>
        <w:rPr>
          <w:rFonts w:hint="eastAsia" w:ascii="仿宋_GB2312" w:hAnsi="仿宋_GB2312" w:eastAsia="仿宋_GB2312" w:cs="仿宋_GB2312"/>
          <w:b w:val="0"/>
          <w:bCs w:val="0"/>
          <w:kern w:val="2"/>
          <w:sz w:val="24"/>
          <w:szCs w:val="20"/>
          <w:highlight w:val="none"/>
          <w:lang w:val="en-US" w:eastAsia="zh-CN" w:bidi="ar-SA"/>
        </w:rPr>
        <w:t>10、劳务报酬最终支付</w:t>
      </w:r>
      <w:bookmarkEnd w:id="39"/>
      <w:r>
        <w:rPr>
          <w:rFonts w:hint="eastAsia" w:ascii="仿宋_GB2312" w:hAnsi="仿宋_GB2312" w:eastAsia="仿宋_GB2312" w:cs="仿宋_GB2312"/>
          <w:b w:val="0"/>
          <w:bCs w:val="0"/>
          <w:kern w:val="2"/>
          <w:sz w:val="24"/>
          <w:szCs w:val="20"/>
          <w:highlight w:val="none"/>
          <w:lang w:val="en-US" w:eastAsia="zh-CN" w:bidi="ar-SA"/>
        </w:rPr>
        <w:t>（合同外增加的未中间支付的工程量）</w:t>
      </w:r>
    </w:p>
    <w:p w14:paraId="3318ABAB">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10.1全部工作完成，经工程承包人认可后14天内，劳务分包人向工程承包人递交完整的结算资料，双方按照本合同约定的计价方式，进行劳务报酬的最终支付（最终工程量确认后7个工作日内支付）。</w:t>
      </w:r>
    </w:p>
    <w:p w14:paraId="7890B4B9">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10.2劳务分包人和工程承包人对劳务报酬结算价款发生争议时，按本合同关于争议的约定处理。</w:t>
      </w:r>
    </w:p>
    <w:p w14:paraId="1FA4B441">
      <w:pPr>
        <w:keepNext w:val="0"/>
        <w:keepLines w:val="0"/>
        <w:pageBreakBefore w:val="0"/>
        <w:widowControl w:val="0"/>
        <w:kinsoku w:val="0"/>
        <w:wordWrap/>
        <w:overflowPunct w:val="0"/>
        <w:topLinePunct w:val="0"/>
        <w:autoSpaceDE w:val="0"/>
        <w:autoSpaceDN w:val="0"/>
        <w:bidi w:val="0"/>
        <w:adjustRightInd w:val="0"/>
        <w:snapToGrid w:val="0"/>
        <w:spacing w:before="204" w:line="360" w:lineRule="auto"/>
        <w:ind w:left="0" w:leftChars="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11、质量检查与验收：</w:t>
      </w:r>
    </w:p>
    <w:p w14:paraId="032983A8">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11.1分包人应随时允许并配合承包人或监理单位进入分包人施工场地检查工程质量。</w:t>
      </w:r>
    </w:p>
    <w:p w14:paraId="76114B26">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11.2分包工程质量应达到分包合同约定的工程质量标准。工程质量达不到约定的质量标准，分包人应承担违约责任。</w:t>
      </w:r>
    </w:p>
    <w:p w14:paraId="30FF9240">
      <w:pPr>
        <w:keepNext w:val="0"/>
        <w:keepLines w:val="0"/>
        <w:pageBreakBefore w:val="0"/>
        <w:widowControl w:val="0"/>
        <w:kinsoku w:val="0"/>
        <w:wordWrap/>
        <w:overflowPunct w:val="0"/>
        <w:topLinePunct w:val="0"/>
        <w:autoSpaceDE w:val="0"/>
        <w:autoSpaceDN w:val="0"/>
        <w:bidi w:val="0"/>
        <w:adjustRightInd w:val="0"/>
        <w:snapToGrid w:val="0"/>
        <w:spacing w:before="204" w:line="360" w:lineRule="auto"/>
        <w:ind w:left="0" w:leftChars="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12、分包合同解除与撤场：</w:t>
      </w:r>
    </w:p>
    <w:p w14:paraId="79637FC7">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12.1分包人应严格按照分包合同约定和承包人的要求施工。如分包人的施工进度和施工质量明显不能满足分包合同和承包人要求，承包人有权要求分包人采取整改措施和加快施工进度。分包人应采取各种措施满足承包人合理要求。如分包人在收到承包人通知后10日内仍不能满足承包人合理要求，承包人有权解除分包合同并要求分包人撤场。分包人在收到承包人要求撤场的通知后应在5日内无条件撤出分包工程施工场地，并妥善保护施工现场的所有承包人财产和已完工程。</w:t>
      </w:r>
    </w:p>
    <w:p w14:paraId="5FC380C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2"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12.2对于分包人在施工过程中搭建的临时设施，如承包人要求拆除，分包人应按承包人要求拆除，并将施工场地清理干净直至令承包人满意。</w:t>
      </w:r>
    </w:p>
    <w:p w14:paraId="412150F5">
      <w:pPr>
        <w:keepNext w:val="0"/>
        <w:keepLines w:val="0"/>
        <w:pageBreakBefore w:val="0"/>
        <w:widowControl w:val="0"/>
        <w:kinsoku w:val="0"/>
        <w:wordWrap/>
        <w:overflowPunct w:val="0"/>
        <w:topLinePunct w:val="0"/>
        <w:autoSpaceDE w:val="0"/>
        <w:autoSpaceDN w:val="0"/>
        <w:bidi w:val="0"/>
        <w:adjustRightInd w:val="0"/>
        <w:snapToGrid w:val="0"/>
        <w:spacing w:before="204" w:line="360" w:lineRule="auto"/>
        <w:ind w:left="0" w:leftChars="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13、违约责任：</w:t>
      </w:r>
    </w:p>
    <w:p w14:paraId="03F8E2DD">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13.1当发生下列情况之一时，视为分包人违约。分包人应承担违约责任，赔偿因其违约给承包人造成的经济损失。</w:t>
      </w:r>
    </w:p>
    <w:p w14:paraId="6BDD2992">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13.1.1因分包人原因不能按照本合同协议书约定的竣工日期完工或承包人同意顺延的工期竣工的；</w:t>
      </w:r>
    </w:p>
    <w:p w14:paraId="7A62C681">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13.1.2因分包人原因工程质量达不到约定的质量标准的；</w:t>
      </w:r>
    </w:p>
    <w:p w14:paraId="357016CE">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13.1.3分包人将其承包的分包工程转包或再分包的；</w:t>
      </w:r>
    </w:p>
    <w:p w14:paraId="58FF7106">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32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13.1.4分包人不履行分包合同义务或不按分包合同约定履行义务的其它情况。</w:t>
      </w:r>
    </w:p>
    <w:p w14:paraId="47F057DD">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320" w:rightChars="0" w:firstLine="480" w:firstLineChars="200"/>
        <w:jc w:val="both"/>
        <w:textAlignment w:val="baseline"/>
        <w:rPr>
          <w:rFonts w:hint="default"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13.2 如甲方承包人未约定履行劳务报酬中间支付/最终支付义务的，每逾期一天，应按照逾期未付劳务报酬的千分之一标准向分包人支付违约金。逾期七天未支付的，乙方分包人有权停止施工并解除本合同，要求承包人立即结算所有已完成工程量的劳务报酬并按照总劳务报酬的30%支付违约金，因停工导致的一切损失均由承包人承担。</w:t>
      </w:r>
    </w:p>
    <w:p w14:paraId="5F76FB72">
      <w:pPr>
        <w:keepNext w:val="0"/>
        <w:keepLines w:val="0"/>
        <w:pageBreakBefore w:val="0"/>
        <w:widowControl w:val="0"/>
        <w:kinsoku w:val="0"/>
        <w:wordWrap/>
        <w:overflowPunct w:val="0"/>
        <w:topLinePunct w:val="0"/>
        <w:autoSpaceDE w:val="0"/>
        <w:autoSpaceDN w:val="0"/>
        <w:bidi w:val="0"/>
        <w:adjustRightInd w:val="0"/>
        <w:snapToGrid w:val="0"/>
        <w:spacing w:before="204" w:line="360" w:lineRule="auto"/>
        <w:ind w:left="0" w:leftChars="0" w:right="10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14、 附 则 ：</w:t>
      </w:r>
    </w:p>
    <w:p w14:paraId="228381D4">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14.1本劳务合同未尽事宜，双方可另行协商并签订补充合同，补充合同与本合同具有同等法律效力。</w:t>
      </w:r>
    </w:p>
    <w:p w14:paraId="71606A09">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14.2因本劳务分包合同引起的或与劳务分包合同有关的争议，双方应协商解决；协商不成的，双方均应向东莞市第一人民法院诉讼，败诉方赔偿胜诉方诉讼费、律师费、保全费等一切费用。</w:t>
      </w:r>
    </w:p>
    <w:p w14:paraId="19E9DAE2">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14.3本合同一式</w:t>
      </w:r>
      <w:r>
        <w:rPr>
          <w:rFonts w:hint="eastAsia" w:ascii="仿宋_GB2312" w:hAnsi="仿宋_GB2312" w:eastAsia="仿宋_GB2312" w:cs="仿宋_GB2312"/>
          <w:b w:val="0"/>
          <w:bCs w:val="0"/>
          <w:kern w:val="2"/>
          <w:sz w:val="24"/>
          <w:szCs w:val="20"/>
          <w:highlight w:val="none"/>
          <w:u w:val="single"/>
          <w:lang w:val="en-US" w:eastAsia="zh-CN" w:bidi="ar-SA"/>
        </w:rPr>
        <w:t>肆</w:t>
      </w:r>
      <w:r>
        <w:rPr>
          <w:rFonts w:hint="eastAsia" w:ascii="仿宋_GB2312" w:hAnsi="仿宋_GB2312" w:eastAsia="仿宋_GB2312" w:cs="仿宋_GB2312"/>
          <w:b w:val="0"/>
          <w:bCs w:val="0"/>
          <w:kern w:val="2"/>
          <w:sz w:val="24"/>
          <w:szCs w:val="20"/>
          <w:highlight w:val="none"/>
          <w:lang w:val="en-US" w:eastAsia="zh-CN" w:bidi="ar-SA"/>
        </w:rPr>
        <w:t>份，承包人执</w:t>
      </w:r>
      <w:r>
        <w:rPr>
          <w:rFonts w:hint="eastAsia" w:ascii="仿宋_GB2312" w:hAnsi="仿宋_GB2312" w:eastAsia="仿宋_GB2312" w:cs="仿宋_GB2312"/>
          <w:b w:val="0"/>
          <w:bCs w:val="0"/>
          <w:kern w:val="2"/>
          <w:sz w:val="24"/>
          <w:szCs w:val="20"/>
          <w:highlight w:val="none"/>
          <w:u w:val="single"/>
          <w:lang w:val="en-US" w:eastAsia="zh-CN" w:bidi="ar-SA"/>
        </w:rPr>
        <w:t>贰</w:t>
      </w:r>
      <w:r>
        <w:rPr>
          <w:rFonts w:hint="eastAsia" w:ascii="仿宋_GB2312" w:hAnsi="仿宋_GB2312" w:eastAsia="仿宋_GB2312" w:cs="仿宋_GB2312"/>
          <w:b w:val="0"/>
          <w:bCs w:val="0"/>
          <w:kern w:val="2"/>
          <w:sz w:val="24"/>
          <w:szCs w:val="20"/>
          <w:highlight w:val="none"/>
          <w:lang w:val="en-US" w:eastAsia="zh-CN" w:bidi="ar-SA"/>
        </w:rPr>
        <w:t>份、分包人执</w:t>
      </w:r>
      <w:r>
        <w:rPr>
          <w:rFonts w:hint="eastAsia" w:ascii="仿宋_GB2312" w:hAnsi="仿宋_GB2312" w:eastAsia="仿宋_GB2312" w:cs="仿宋_GB2312"/>
          <w:b w:val="0"/>
          <w:bCs w:val="0"/>
          <w:kern w:val="2"/>
          <w:sz w:val="24"/>
          <w:szCs w:val="20"/>
          <w:highlight w:val="none"/>
          <w:u w:val="single"/>
          <w:lang w:val="en-US" w:eastAsia="zh-CN" w:bidi="ar-SA"/>
        </w:rPr>
        <w:t>贰</w:t>
      </w:r>
      <w:r>
        <w:rPr>
          <w:rFonts w:hint="eastAsia" w:ascii="仿宋_GB2312" w:hAnsi="仿宋_GB2312" w:eastAsia="仿宋_GB2312" w:cs="仿宋_GB2312"/>
          <w:b w:val="0"/>
          <w:bCs w:val="0"/>
          <w:kern w:val="2"/>
          <w:sz w:val="24"/>
          <w:szCs w:val="20"/>
          <w:highlight w:val="none"/>
          <w:lang w:val="en-US" w:eastAsia="zh-CN" w:bidi="ar-SA"/>
        </w:rPr>
        <w:t>份，自双方签字盖章之日起生效，并在分包工程竣工交付、承包人付款完毕后自动失效。</w:t>
      </w:r>
    </w:p>
    <w:p w14:paraId="08697D68">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p>
    <w:p w14:paraId="43247AD0">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w:t>
      </w:r>
    </w:p>
    <w:p w14:paraId="5B6BD13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附件一：阳光合作协议</w:t>
      </w:r>
    </w:p>
    <w:p w14:paraId="3A95DCB7">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附件二：工程质量保修书</w:t>
      </w:r>
    </w:p>
    <w:p w14:paraId="605C219E">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附件三：安全管理细则</w:t>
      </w:r>
    </w:p>
    <w:p w14:paraId="2039A1BA">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附件四：劳务分包单位安全生产责任协议</w:t>
      </w:r>
    </w:p>
    <w:p w14:paraId="53397435">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附件五：绿色施工安全防护措施费工作内容</w:t>
      </w:r>
    </w:p>
    <w:p w14:paraId="27CF64E9">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附件六：乙方主要施工管理人员表</w:t>
      </w:r>
    </w:p>
    <w:p w14:paraId="6767F747">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附件七：分包工程资料管理协议</w:t>
      </w:r>
    </w:p>
    <w:p w14:paraId="23BFE276">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附件八：材料产品质量承诺函</w:t>
      </w:r>
    </w:p>
    <w:p w14:paraId="73FB1253">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default"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附件九：用户需求书</w:t>
      </w:r>
    </w:p>
    <w:p w14:paraId="56A79D5E">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附件十：工程量清单报价表</w:t>
      </w:r>
    </w:p>
    <w:p w14:paraId="28559EB4">
      <w:pPr>
        <w:pStyle w:val="5"/>
        <w:rPr>
          <w:rFonts w:hint="eastAsia"/>
          <w:lang w:val="en-US" w:eastAsia="zh-CN"/>
        </w:rPr>
      </w:pPr>
    </w:p>
    <w:p w14:paraId="6A9DF73A">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宋体" w:hAnsi="宋体" w:eastAsia="宋体" w:cs="宋体"/>
          <w:spacing w:val="7"/>
          <w:sz w:val="24"/>
          <w:szCs w:val="23"/>
        </w:rPr>
      </w:pPr>
    </w:p>
    <w:p w14:paraId="4D462BA5">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宋体" w:hAnsi="宋体" w:eastAsia="宋体" w:cs="宋体"/>
          <w:spacing w:val="7"/>
          <w:sz w:val="24"/>
          <w:szCs w:val="23"/>
        </w:rPr>
      </w:pPr>
    </w:p>
    <w:p w14:paraId="37680BF1">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宋体" w:hAnsi="宋体" w:eastAsia="宋体" w:cs="宋体"/>
          <w:spacing w:val="7"/>
          <w:sz w:val="24"/>
          <w:szCs w:val="23"/>
        </w:rPr>
      </w:pPr>
    </w:p>
    <w:p w14:paraId="7DA6F0A7">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宋体" w:hAnsi="宋体" w:eastAsia="宋体" w:cs="宋体"/>
          <w:spacing w:val="7"/>
          <w:sz w:val="24"/>
          <w:szCs w:val="23"/>
        </w:rPr>
      </w:pPr>
    </w:p>
    <w:p w14:paraId="3E835257">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（以下无正文，为双方签字栏）</w:t>
      </w:r>
    </w:p>
    <w:p w14:paraId="27D54451">
      <w:pPr>
        <w:keepNext w:val="0"/>
        <w:keepLines w:val="0"/>
        <w:pageBreakBefore w:val="0"/>
        <w:widowControl w:val="0"/>
        <w:kinsoku w:val="0"/>
        <w:wordWrap/>
        <w:overflowPunct w:val="0"/>
        <w:topLinePunct w:val="0"/>
        <w:autoSpaceDE w:val="0"/>
        <w:autoSpaceDN w:val="0"/>
        <w:bidi w:val="0"/>
        <w:adjustRightInd w:val="0"/>
        <w:snapToGrid w:val="0"/>
        <w:spacing w:line="360" w:lineRule="auto"/>
        <w:ind w:left="0" w:right="0" w:rightChars="0" w:firstLine="480" w:firstLineChars="200"/>
        <w:jc w:val="both"/>
        <w:textAlignment w:val="baseline"/>
        <w:rPr>
          <w:rFonts w:hint="eastAsia" w:ascii="仿宋_GB2312" w:hAnsi="仿宋_GB2312" w:eastAsia="仿宋_GB2312" w:cs="仿宋_GB2312"/>
          <w:b w:val="0"/>
          <w:bCs w:val="0"/>
          <w:kern w:val="2"/>
          <w:sz w:val="24"/>
          <w:szCs w:val="20"/>
          <w:highlight w:val="none"/>
          <w:lang w:val="en-US" w:eastAsia="zh-CN" w:bidi="ar-SA"/>
        </w:rPr>
      </w:pPr>
    </w:p>
    <w:tbl>
      <w:tblPr>
        <w:tblStyle w:val="9"/>
        <w:tblpPr w:leftFromText="180" w:rightFromText="180" w:vertAnchor="text" w:horzAnchor="page" w:tblpX="1079" w:tblpY="157"/>
        <w:tblOverlap w:val="never"/>
        <w:tblW w:w="9813" w:type="dxa"/>
        <w:tblInd w:w="0" w:type="dxa"/>
        <w:tblLayout w:type="fixed"/>
        <w:tblCellMar>
          <w:top w:w="0" w:type="dxa"/>
          <w:left w:w="108" w:type="dxa"/>
          <w:bottom w:w="0" w:type="dxa"/>
          <w:right w:w="108" w:type="dxa"/>
        </w:tblCellMar>
      </w:tblPr>
      <w:tblGrid>
        <w:gridCol w:w="5163"/>
        <w:gridCol w:w="4650"/>
      </w:tblGrid>
      <w:tr w14:paraId="5233D057">
        <w:tblPrEx>
          <w:tblCellMar>
            <w:top w:w="0" w:type="dxa"/>
            <w:left w:w="108" w:type="dxa"/>
            <w:bottom w:w="0" w:type="dxa"/>
            <w:right w:w="108" w:type="dxa"/>
          </w:tblCellMar>
        </w:tblPrEx>
        <w:trPr>
          <w:trHeight w:val="275" w:hRule="atLeast"/>
        </w:trPr>
        <w:tc>
          <w:tcPr>
            <w:tcW w:w="5163" w:type="dxa"/>
          </w:tcPr>
          <w:p w14:paraId="48510894">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甲方：东莞城工集团照明工程有限公司</w:t>
            </w:r>
          </w:p>
        </w:tc>
        <w:tc>
          <w:tcPr>
            <w:tcW w:w="4650" w:type="dxa"/>
          </w:tcPr>
          <w:p w14:paraId="692349C7">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乙方：</w:t>
            </w:r>
          </w:p>
        </w:tc>
      </w:tr>
      <w:tr w14:paraId="1454581B">
        <w:tblPrEx>
          <w:tblCellMar>
            <w:top w:w="0" w:type="dxa"/>
            <w:left w:w="108" w:type="dxa"/>
            <w:bottom w:w="0" w:type="dxa"/>
            <w:right w:w="108" w:type="dxa"/>
          </w:tblCellMar>
        </w:tblPrEx>
        <w:trPr>
          <w:trHeight w:val="1389" w:hRule="atLeast"/>
        </w:trPr>
        <w:tc>
          <w:tcPr>
            <w:tcW w:w="5163" w:type="dxa"/>
            <w:vAlign w:val="center"/>
          </w:tcPr>
          <w:p w14:paraId="110CE835">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甲方法人代表：</w:t>
            </w:r>
          </w:p>
        </w:tc>
        <w:tc>
          <w:tcPr>
            <w:tcW w:w="4650" w:type="dxa"/>
            <w:vAlign w:val="center"/>
          </w:tcPr>
          <w:p w14:paraId="51F3A542">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乙方法人代表：</w:t>
            </w:r>
          </w:p>
        </w:tc>
      </w:tr>
      <w:tr w14:paraId="553D9ADB">
        <w:tblPrEx>
          <w:tblCellMar>
            <w:top w:w="0" w:type="dxa"/>
            <w:left w:w="108" w:type="dxa"/>
            <w:bottom w:w="0" w:type="dxa"/>
            <w:right w:w="108" w:type="dxa"/>
          </w:tblCellMar>
        </w:tblPrEx>
        <w:tc>
          <w:tcPr>
            <w:tcW w:w="5163" w:type="dxa"/>
          </w:tcPr>
          <w:p w14:paraId="64D99B12">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电话：</w:t>
            </w:r>
          </w:p>
        </w:tc>
        <w:tc>
          <w:tcPr>
            <w:tcW w:w="4650" w:type="dxa"/>
          </w:tcPr>
          <w:p w14:paraId="6CB28064">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电话：</w:t>
            </w:r>
          </w:p>
        </w:tc>
      </w:tr>
      <w:tr w14:paraId="2D9C673F">
        <w:tblPrEx>
          <w:tblCellMar>
            <w:top w:w="0" w:type="dxa"/>
            <w:left w:w="108" w:type="dxa"/>
            <w:bottom w:w="0" w:type="dxa"/>
            <w:right w:w="108" w:type="dxa"/>
          </w:tblCellMar>
        </w:tblPrEx>
        <w:tc>
          <w:tcPr>
            <w:tcW w:w="5163" w:type="dxa"/>
          </w:tcPr>
          <w:p w14:paraId="377E2DD6">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地址：东莞市南城街道城市风景街8栋城工集团7楼</w:t>
            </w:r>
          </w:p>
        </w:tc>
        <w:tc>
          <w:tcPr>
            <w:tcW w:w="4650" w:type="dxa"/>
          </w:tcPr>
          <w:p w14:paraId="6BB9D581">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default"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地址：</w:t>
            </w:r>
          </w:p>
        </w:tc>
      </w:tr>
      <w:tr w14:paraId="51EF74B3">
        <w:tblPrEx>
          <w:tblCellMar>
            <w:top w:w="0" w:type="dxa"/>
            <w:left w:w="108" w:type="dxa"/>
            <w:bottom w:w="0" w:type="dxa"/>
            <w:right w:w="108" w:type="dxa"/>
          </w:tblCellMar>
        </w:tblPrEx>
        <w:trPr>
          <w:trHeight w:val="766" w:hRule="atLeast"/>
        </w:trPr>
        <w:tc>
          <w:tcPr>
            <w:tcW w:w="5163" w:type="dxa"/>
          </w:tcPr>
          <w:p w14:paraId="50DE217A">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日期：    年   月  日</w:t>
            </w:r>
          </w:p>
        </w:tc>
        <w:tc>
          <w:tcPr>
            <w:tcW w:w="4650" w:type="dxa"/>
          </w:tcPr>
          <w:p w14:paraId="6537B92A">
            <w:pPr>
              <w:keepNext w:val="0"/>
              <w:keepLines w:val="0"/>
              <w:pageBreakBefore w:val="0"/>
              <w:widowControl w:val="0"/>
              <w:kinsoku w:val="0"/>
              <w:wordWrap/>
              <w:overflowPunct w:val="0"/>
              <w:topLinePunct w:val="0"/>
              <w:autoSpaceDE w:val="0"/>
              <w:autoSpaceDN w:val="0"/>
              <w:bidi w:val="0"/>
              <w:adjustRightInd w:val="0"/>
              <w:snapToGrid w:val="0"/>
              <w:spacing w:line="360" w:lineRule="auto"/>
              <w:ind w:right="0" w:rightChars="0"/>
              <w:jc w:val="both"/>
              <w:textAlignment w:val="baseline"/>
              <w:rPr>
                <w:rFonts w:hint="eastAsia" w:ascii="仿宋_GB2312" w:hAnsi="仿宋_GB2312" w:eastAsia="仿宋_GB2312" w:cs="仿宋_GB2312"/>
                <w:b w:val="0"/>
                <w:bCs w:val="0"/>
                <w:kern w:val="2"/>
                <w:sz w:val="24"/>
                <w:szCs w:val="20"/>
                <w:highlight w:val="none"/>
                <w:lang w:val="en-US" w:eastAsia="zh-CN" w:bidi="ar-SA"/>
              </w:rPr>
            </w:pPr>
            <w:r>
              <w:rPr>
                <w:rFonts w:hint="eastAsia" w:ascii="仿宋_GB2312" w:hAnsi="仿宋_GB2312" w:eastAsia="仿宋_GB2312" w:cs="仿宋_GB2312"/>
                <w:b w:val="0"/>
                <w:bCs w:val="0"/>
                <w:kern w:val="2"/>
                <w:sz w:val="24"/>
                <w:szCs w:val="20"/>
                <w:highlight w:val="none"/>
                <w:lang w:val="en-US" w:eastAsia="zh-CN" w:bidi="ar-SA"/>
              </w:rPr>
              <w:t>日期：   年  月  日</w:t>
            </w:r>
          </w:p>
        </w:tc>
      </w:tr>
    </w:tbl>
    <w:p w14:paraId="53437DFF">
      <w:pPr>
        <w:sectPr>
          <w:footerReference r:id="rId7" w:type="default"/>
          <w:pgSz w:w="11906" w:h="16838"/>
          <w:pgMar w:top="1440" w:right="1800" w:bottom="1440" w:left="1800" w:header="851" w:footer="992" w:gutter="0"/>
          <w:cols w:space="425" w:num="1"/>
          <w:docGrid w:type="lines" w:linePitch="312" w:charSpace="0"/>
        </w:sectPr>
      </w:pPr>
    </w:p>
    <w:p w14:paraId="00CCB62B">
      <w:pPr>
        <w:spacing w:line="360" w:lineRule="auto"/>
        <w:jc w:val="left"/>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附件一</w:t>
      </w:r>
    </w:p>
    <w:p w14:paraId="33885463">
      <w:pPr>
        <w:spacing w:line="360" w:lineRule="auto"/>
        <w:ind w:firstLine="883"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阳光合作协议</w:t>
      </w:r>
    </w:p>
    <w:p w14:paraId="745919EB">
      <w:pPr>
        <w:spacing w:line="360" w:lineRule="auto"/>
        <w:ind w:firstLine="422" w:firstLineChars="200"/>
        <w:jc w:val="center"/>
        <w:rPr>
          <w:rFonts w:hint="eastAsia" w:ascii="宋体" w:hAnsi="宋体" w:eastAsia="宋体" w:cs="宋体"/>
          <w:b/>
          <w:color w:val="auto"/>
          <w:szCs w:val="21"/>
          <w:highlight w:val="none"/>
        </w:rPr>
      </w:pPr>
    </w:p>
    <w:p w14:paraId="56D3C367">
      <w:pPr>
        <w:spacing w:before="156" w:beforeLines="50" w:after="156" w:afterLines="50" w:line="360" w:lineRule="auto"/>
        <w:ind w:firstLine="420" w:firstLineChars="200"/>
        <w:contextualSpacing/>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东莞城工集团照明工程有限公司</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p>
    <w:p w14:paraId="0AE21D7E">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2660475C">
      <w:pPr>
        <w:pStyle w:val="5"/>
        <w:rPr>
          <w:rFonts w:hint="eastAsia" w:ascii="宋体" w:hAnsi="宋体" w:eastAsia="宋体" w:cs="宋体"/>
          <w:color w:val="auto"/>
          <w:szCs w:val="21"/>
          <w:highlight w:val="none"/>
        </w:rPr>
      </w:pPr>
    </w:p>
    <w:p w14:paraId="5435C511">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甲乙双方于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日签署了《</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》（以下简称原合同），为加强双方阳光合作，保证职员职业安全，甲乙双方经协商签订本协议并作为双方共同遵守的阳光合作行为准则。</w:t>
      </w:r>
    </w:p>
    <w:p w14:paraId="5EE2BB3E">
      <w:pPr>
        <w:widowControl/>
        <w:spacing w:before="156" w:beforeLines="50" w:after="156" w:afterLines="50" w:line="360" w:lineRule="auto"/>
        <w:ind w:left="420" w:leftChars="200"/>
        <w:contextualSpacing/>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一、甲方责任</w:t>
      </w:r>
    </w:p>
    <w:p w14:paraId="747156D5">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1.甲方有责任向乙方介绍本单位有关采购管理通用原则和本协议的规定。</w:t>
      </w:r>
    </w:p>
    <w:p w14:paraId="6F280809">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2.甲方有责任对本单位相关人员进行阳光合作教育。</w:t>
      </w:r>
    </w:p>
    <w:p w14:paraId="7B03E2C1">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20DE70E8">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4.甲方人员如违反阳光合作管理制度及本协议规定，甲方视情节轻重、影响大小给予行政及经济处罚。</w:t>
      </w:r>
    </w:p>
    <w:p w14:paraId="6FD4B8BC">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5．对于乙方举报甲方人员违反阳光合作规定的情况，甲方应及时进行调查，根据调查情况进行处理，并将调查结果向乙方反馈。</w:t>
      </w:r>
    </w:p>
    <w:p w14:paraId="5F160D7B">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6.接受举报的一方应为举报方保密，不得对举报方进行报复，对举报属实和严格遵守《阳光合作协议》的合作方，在同等条件下给予后续合作的优先权。</w:t>
      </w:r>
    </w:p>
    <w:p w14:paraId="6B30227B">
      <w:pPr>
        <w:widowControl/>
        <w:spacing w:before="156" w:beforeLines="50" w:after="156" w:afterLines="50" w:line="360" w:lineRule="auto"/>
        <w:ind w:left="420" w:leftChars="200"/>
        <w:contextualSpacing/>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二、乙方责任</w:t>
      </w:r>
    </w:p>
    <w:p w14:paraId="5383C32F">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1.乙方应保证乙方人员了解甲方有关采购管理通用原则和及本协议的规定，并遵照执行。</w:t>
      </w:r>
    </w:p>
    <w:p w14:paraId="4898DFF5">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2.乙方不得以任何形式给予甲方人员回扣、赠送实物、现金、有价证券、礼券等有价物品或提供旅游等其他可能影响职务行为公正履行的活动（以下统称“财物”）。</w:t>
      </w:r>
    </w:p>
    <w:p w14:paraId="7E5291A2">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3.乙方有责任接受甲方对乙方在合作期间阳光合作管理执行情况的监督，并对甲方相关调查工作主动配合。</w:t>
      </w:r>
    </w:p>
    <w:p w14:paraId="6E4E4C5C">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4.乙方有义务就甲方人员任何形式的索取或收受财物行为及时向甲方（直接联系人为东莞市城市工程建设集团有限公司综合部 ）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城工集团（东莞市城市工程建设集团有限公司及下属子公司）合格供应商。</w:t>
      </w:r>
    </w:p>
    <w:p w14:paraId="5A4AAF0F">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5．甲方接受乙方实名或匿名举报，保证为举报者的信息保密，常设举报部门及电话： </w:t>
      </w:r>
    </w:p>
    <w:p w14:paraId="5F2C60A6">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举报受理部门：东莞市城市工程建设集团有限公司综合部</w:t>
      </w:r>
    </w:p>
    <w:p w14:paraId="32C58B34">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城工集团举报邮箱：dg</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cgjt@126.com   城工集团举报电话：0769- 39009900 （周一至周五9:00-12:00和14:00-18:00）</w:t>
      </w:r>
    </w:p>
    <w:p w14:paraId="77B14B03">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邮寄地址：东莞市南城街道城市风景街8栋，东莞市城市工程建设集团有限公司综合部收，邮编523000。</w:t>
      </w:r>
    </w:p>
    <w:p w14:paraId="2A2BDDDD">
      <w:pPr>
        <w:widowControl/>
        <w:spacing w:before="156" w:beforeLines="50" w:after="156" w:afterLines="50" w:line="360" w:lineRule="auto"/>
        <w:ind w:left="420" w:leftChars="200"/>
        <w:contextualSpacing/>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三、其他</w:t>
      </w:r>
    </w:p>
    <w:p w14:paraId="06460EA4">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1.本协议是原合同的补充协议，与原合同有同等法律效力。</w:t>
      </w:r>
    </w:p>
    <w:p w14:paraId="70E94000">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2.本协议一式四份，甲方执贰份，乙方执贰份,具有同等法律效力。</w:t>
      </w:r>
    </w:p>
    <w:p w14:paraId="0EE0C12E">
      <w:pPr>
        <w:spacing w:before="156" w:beforeLines="50" w:after="156" w:afterLines="50" w:line="360" w:lineRule="auto"/>
        <w:ind w:left="105" w:leftChars="50"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3.本协议经双方签署后生效。</w:t>
      </w:r>
    </w:p>
    <w:p w14:paraId="09433BE0">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p>
    <w:p w14:paraId="5DE802EB">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甲方（盖章）：                      乙方（盖章）： </w:t>
      </w:r>
    </w:p>
    <w:p w14:paraId="10821C56">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p>
    <w:p w14:paraId="375480F0">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法定代表人（授权代表）：</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法定代表人（授权代表）：</w:t>
      </w:r>
    </w:p>
    <w:p w14:paraId="2552DD3C">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p>
    <w:p w14:paraId="401CEA52">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签约日期：   年   月   日</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签约日期：   年   月   日</w:t>
      </w:r>
    </w:p>
    <w:p w14:paraId="7E3D4A12">
      <w:pPr>
        <w:rPr>
          <w:rFonts w:hint="eastAsia" w:ascii="宋体" w:hAnsi="宋体" w:eastAsia="宋体" w:cs="宋体"/>
          <w:color w:val="auto"/>
          <w:szCs w:val="21"/>
          <w:highlight w:val="none"/>
          <w:u w:val="single"/>
        </w:rPr>
      </w:pPr>
    </w:p>
    <w:p w14:paraId="081A28B5">
      <w:pPr>
        <w:spacing w:before="156" w:beforeLines="50" w:after="156" w:afterLines="50" w:line="360" w:lineRule="auto"/>
        <w:ind w:firstLine="420" w:firstLineChars="200"/>
        <w:contextualSpacing/>
        <w:rPr>
          <w:rFonts w:hint="eastAsia" w:ascii="宋体" w:hAnsi="宋体" w:eastAsia="宋体" w:cs="宋体"/>
          <w:color w:val="auto"/>
          <w:szCs w:val="21"/>
          <w:highlight w:val="none"/>
        </w:rPr>
      </w:pPr>
    </w:p>
    <w:p w14:paraId="0216E30A">
      <w:pPr>
        <w:rPr>
          <w:rFonts w:hint="eastAsia" w:ascii="宋体" w:hAnsi="宋体" w:eastAsia="宋体" w:cs="宋体"/>
          <w:color w:val="auto"/>
          <w:sz w:val="24"/>
          <w:highlight w:val="none"/>
        </w:rPr>
      </w:pPr>
      <w:r>
        <w:rPr>
          <w:rFonts w:hint="eastAsia" w:ascii="宋体" w:hAnsi="宋体" w:eastAsia="宋体" w:cs="宋体"/>
          <w:color w:val="auto"/>
          <w:highlight w:val="none"/>
        </w:rPr>
        <w:br w:type="page"/>
      </w:r>
      <w:r>
        <w:rPr>
          <w:rFonts w:hint="eastAsia" w:ascii="宋体" w:hAnsi="宋体" w:eastAsia="宋体" w:cs="宋体"/>
          <w:color w:val="auto"/>
          <w:sz w:val="24"/>
          <w:highlight w:val="none"/>
        </w:rPr>
        <w:t>附件二</w:t>
      </w:r>
    </w:p>
    <w:p w14:paraId="2D1B41D4">
      <w:pPr>
        <w:adjustRightInd w:val="0"/>
        <w:snapToGrid w:val="0"/>
        <w:spacing w:line="500" w:lineRule="exact"/>
        <w:jc w:val="center"/>
        <w:rPr>
          <w:rFonts w:hint="eastAsia" w:ascii="宋体" w:hAnsi="宋体" w:eastAsia="宋体" w:cs="宋体"/>
          <w:color w:val="auto"/>
          <w:sz w:val="32"/>
          <w:highlight w:val="none"/>
        </w:rPr>
      </w:pPr>
      <w:r>
        <w:rPr>
          <w:rFonts w:hint="eastAsia" w:ascii="宋体" w:hAnsi="宋体" w:eastAsia="宋体" w:cs="宋体"/>
          <w:color w:val="auto"/>
          <w:sz w:val="32"/>
          <w:highlight w:val="none"/>
        </w:rPr>
        <w:t>工 程 质 量 保 修 书</w:t>
      </w:r>
    </w:p>
    <w:p w14:paraId="6EB88A6F">
      <w:pPr>
        <w:adjustRightInd w:val="0"/>
        <w:snapToGrid w:val="0"/>
        <w:spacing w:line="500" w:lineRule="exact"/>
        <w:rPr>
          <w:rFonts w:hint="eastAsia" w:ascii="宋体" w:hAnsi="宋体" w:eastAsia="宋体" w:cs="宋体"/>
          <w:color w:val="auto"/>
          <w:sz w:val="24"/>
          <w:highlight w:val="none"/>
        </w:rPr>
      </w:pPr>
    </w:p>
    <w:p w14:paraId="195A208C">
      <w:pPr>
        <w:adjustRightInd w:val="0"/>
        <w:snapToGrid w:val="0"/>
        <w:spacing w:line="5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发包人：（全称）</w:t>
      </w:r>
      <w:r>
        <w:rPr>
          <w:rFonts w:hint="eastAsia" w:ascii="宋体" w:hAnsi="宋体" w:eastAsia="宋体" w:cs="宋体"/>
          <w:color w:val="auto"/>
          <w:szCs w:val="21"/>
          <w:highlight w:val="none"/>
          <w:u w:val="single"/>
        </w:rPr>
        <w:t>　</w:t>
      </w:r>
      <w:r>
        <w:rPr>
          <w:rFonts w:hint="eastAsia" w:ascii="宋体" w:hAnsi="宋体" w:eastAsia="宋体" w:cs="宋体"/>
          <w:b/>
          <w:color w:val="auto"/>
          <w:szCs w:val="21"/>
          <w:highlight w:val="none"/>
          <w:u w:val="single"/>
        </w:rPr>
        <w:t>东莞</w:t>
      </w:r>
      <w:r>
        <w:rPr>
          <w:rFonts w:hint="eastAsia" w:ascii="宋体" w:hAnsi="宋体" w:eastAsia="宋体" w:cs="宋体"/>
          <w:b/>
          <w:color w:val="auto"/>
          <w:szCs w:val="21"/>
          <w:highlight w:val="none"/>
          <w:u w:val="single"/>
          <w:lang w:val="en-US" w:eastAsia="zh-CN"/>
        </w:rPr>
        <w:t>城工集团照明工程</w:t>
      </w:r>
      <w:r>
        <w:rPr>
          <w:rFonts w:hint="eastAsia" w:ascii="宋体" w:hAnsi="宋体" w:eastAsia="宋体" w:cs="宋体"/>
          <w:b/>
          <w:color w:val="auto"/>
          <w:szCs w:val="21"/>
          <w:highlight w:val="none"/>
          <w:u w:val="single"/>
        </w:rPr>
        <w:t>有限公司</w:t>
      </w:r>
      <w:r>
        <w:rPr>
          <w:rFonts w:hint="eastAsia" w:ascii="宋体" w:hAnsi="宋体" w:eastAsia="宋体" w:cs="宋体"/>
          <w:color w:val="auto"/>
          <w:szCs w:val="21"/>
          <w:highlight w:val="none"/>
          <w:u w:val="single"/>
        </w:rPr>
        <w:t xml:space="preserve">　 </w:t>
      </w:r>
    </w:p>
    <w:p w14:paraId="61C9C056">
      <w:pPr>
        <w:adjustRightInd w:val="0"/>
        <w:snapToGrid w:val="0"/>
        <w:spacing w:line="500" w:lineRule="exact"/>
        <w:ind w:firstLine="420" w:firstLineChars="200"/>
        <w:rPr>
          <w:rFonts w:hint="eastAsia" w:ascii="宋体" w:hAnsi="宋体" w:eastAsia="宋体" w:cs="宋体"/>
          <w:b/>
          <w:color w:val="auto"/>
          <w:szCs w:val="21"/>
          <w:highlight w:val="none"/>
          <w:u w:val="single"/>
        </w:rPr>
      </w:pPr>
      <w:r>
        <w:rPr>
          <w:rFonts w:hint="eastAsia" w:ascii="宋体" w:hAnsi="宋体" w:eastAsia="宋体" w:cs="宋体"/>
          <w:color w:val="auto"/>
          <w:szCs w:val="21"/>
          <w:highlight w:val="none"/>
        </w:rPr>
        <w:t>承包人：（全称）</w:t>
      </w:r>
      <w:r>
        <w:rPr>
          <w:rFonts w:hint="eastAsia" w:ascii="宋体" w:hAnsi="宋体" w:eastAsia="宋体" w:cs="宋体"/>
          <w:b/>
          <w:color w:val="auto"/>
          <w:szCs w:val="21"/>
          <w:highlight w:val="none"/>
          <w:u w:val="single"/>
        </w:rPr>
        <w:t xml:space="preserve">                                 </w:t>
      </w:r>
    </w:p>
    <w:p w14:paraId="4E912593">
      <w:pPr>
        <w:adjustRightInd w:val="0"/>
        <w:snapToGrid w:val="0"/>
        <w:spacing w:line="500" w:lineRule="exact"/>
        <w:rPr>
          <w:rFonts w:hint="eastAsia" w:ascii="宋体" w:hAnsi="宋体" w:eastAsia="宋体" w:cs="宋体"/>
          <w:color w:val="auto"/>
          <w:szCs w:val="21"/>
          <w:highlight w:val="none"/>
        </w:rPr>
      </w:pPr>
    </w:p>
    <w:p w14:paraId="1EA36D80">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w:t>
      </w:r>
      <w:r>
        <w:rPr>
          <w:rFonts w:hint="eastAsia" w:ascii="宋体" w:hAnsi="宋体" w:eastAsia="宋体" w:cs="宋体"/>
          <w:b/>
          <w:color w:val="auto"/>
          <w:szCs w:val="21"/>
          <w:highlight w:val="none"/>
          <w:u w:val="single"/>
        </w:rPr>
        <w:t xml:space="preserve"> </w:t>
      </w:r>
      <w:r>
        <w:rPr>
          <w:rFonts w:hint="eastAsia" w:ascii="宋体" w:hAnsi="宋体" w:eastAsia="宋体" w:cs="宋体"/>
          <w:b/>
          <w:color w:val="auto"/>
          <w:szCs w:val="21"/>
          <w:highlight w:val="none"/>
          <w:u w:val="single"/>
          <w:lang w:val="en-US" w:eastAsia="zh-CN"/>
        </w:rPr>
        <w:t xml:space="preserve">                                                  </w:t>
      </w:r>
      <w:r>
        <w:rPr>
          <w:rFonts w:hint="eastAsia" w:ascii="宋体" w:hAnsi="宋体" w:eastAsia="宋体" w:cs="宋体"/>
          <w:b/>
          <w:color w:val="auto"/>
          <w:szCs w:val="21"/>
          <w:highlight w:val="none"/>
          <w:u w:val="single"/>
        </w:rPr>
        <w:t xml:space="preserve"> </w:t>
      </w:r>
      <w:r>
        <w:rPr>
          <w:rFonts w:hint="eastAsia" w:ascii="宋体" w:hAnsi="宋体" w:eastAsia="宋体" w:cs="宋体"/>
          <w:color w:val="auto"/>
          <w:szCs w:val="21"/>
          <w:highlight w:val="none"/>
        </w:rPr>
        <w:t>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14:paraId="160BD278">
      <w:pPr>
        <w:numPr>
          <w:ilvl w:val="0"/>
          <w:numId w:val="6"/>
        </w:numPr>
        <w:adjustRightInd w:val="0"/>
        <w:snapToGrid w:val="0"/>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质量保修范围</w:t>
      </w:r>
    </w:p>
    <w:p w14:paraId="0AC7965F">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71FABFF8">
      <w:pPr>
        <w:adjustRightInd w:val="0"/>
        <w:snapToGrid w:val="0"/>
        <w:spacing w:line="500" w:lineRule="exact"/>
        <w:ind w:firstLine="420" w:firstLineChars="200"/>
        <w:rPr>
          <w:rFonts w:hint="eastAsia" w:ascii="宋体" w:hAnsi="宋体" w:eastAsia="宋体" w:cs="宋体"/>
          <w:b/>
          <w:color w:val="auto"/>
          <w:szCs w:val="21"/>
          <w:highlight w:val="none"/>
          <w:u w:val="single"/>
        </w:rPr>
      </w:pPr>
      <w:r>
        <w:rPr>
          <w:rFonts w:hint="eastAsia" w:ascii="宋体" w:hAnsi="宋体" w:eastAsia="宋体" w:cs="宋体"/>
          <w:color w:val="auto"/>
          <w:szCs w:val="21"/>
          <w:highlight w:val="none"/>
        </w:rPr>
        <w:t>1、</w:t>
      </w:r>
      <w:r>
        <w:rPr>
          <w:rFonts w:hint="eastAsia" w:ascii="宋体" w:hAnsi="宋体" w:eastAsia="宋体" w:cs="宋体"/>
          <w:b/>
          <w:color w:val="auto"/>
          <w:szCs w:val="21"/>
          <w:highlight w:val="none"/>
          <w:u w:val="single"/>
        </w:rPr>
        <w:t>由于承包人施工原因造成的工程质量问题由承包人负责保修及保修费用。</w:t>
      </w:r>
    </w:p>
    <w:p w14:paraId="4A3DEA1C">
      <w:pPr>
        <w:numPr>
          <w:ilvl w:val="0"/>
          <w:numId w:val="6"/>
        </w:numPr>
        <w:adjustRightInd w:val="0"/>
        <w:snapToGrid w:val="0"/>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w:t>
      </w:r>
    </w:p>
    <w:p w14:paraId="0B63B662">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质量保修期从工程实际竣工之日算起。单项分部分项验收的工程，按单项工程分别计算质量保修期。</w:t>
      </w:r>
    </w:p>
    <w:p w14:paraId="183DEA10">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双方根据《建设工程质量管理条例》及有关规定，约定本工程质量保修期如下：</w:t>
      </w:r>
    </w:p>
    <w:p w14:paraId="7F8F0CDD">
      <w:pPr>
        <w:numPr>
          <w:ilvl w:val="0"/>
          <w:numId w:val="7"/>
        </w:numPr>
        <w:adjustRightInd w:val="0"/>
        <w:snapToGrid w:val="0"/>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地基基础工程、主体结构工程为设计文件规定的合理使用年限；</w:t>
      </w:r>
    </w:p>
    <w:p w14:paraId="1816571A">
      <w:pPr>
        <w:numPr>
          <w:ilvl w:val="0"/>
          <w:numId w:val="7"/>
        </w:numPr>
        <w:adjustRightInd w:val="0"/>
        <w:snapToGrid w:val="0"/>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屋面防水工程、有防水要求的卫生间、房间和外墙面的防渗漏工程为</w:t>
      </w:r>
      <w:r>
        <w:rPr>
          <w:rFonts w:hint="eastAsia" w:ascii="宋体" w:hAnsi="宋体" w:eastAsia="宋体" w:cs="宋体"/>
          <w:color w:val="auto"/>
          <w:szCs w:val="21"/>
          <w:highlight w:val="none"/>
          <w:u w:val="single"/>
        </w:rPr>
        <w:t xml:space="preserve"> </w:t>
      </w:r>
      <w:r>
        <w:rPr>
          <w:rFonts w:hint="eastAsia" w:ascii="宋体" w:hAnsi="宋体" w:eastAsia="宋体" w:cs="宋体"/>
          <w:b/>
          <w:color w:val="auto"/>
          <w:szCs w:val="21"/>
          <w:highlight w:val="none"/>
          <w:u w:val="single"/>
        </w:rPr>
        <w:t>伍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A969059">
      <w:pPr>
        <w:adjustRightInd w:val="0"/>
        <w:snapToGrid w:val="0"/>
        <w:spacing w:line="500" w:lineRule="exact"/>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3、电气管线工程、给排水管道工程、设备安装工程为</w:t>
      </w:r>
      <w:r>
        <w:rPr>
          <w:rFonts w:hint="eastAsia" w:ascii="宋体" w:hAnsi="宋体" w:eastAsia="宋体" w:cs="宋体"/>
          <w:color w:val="auto"/>
          <w:szCs w:val="21"/>
          <w:highlight w:val="none"/>
          <w:u w:val="single"/>
        </w:rPr>
        <w:t xml:space="preserve"> </w:t>
      </w:r>
      <w:r>
        <w:rPr>
          <w:rFonts w:hint="eastAsia" w:ascii="宋体" w:hAnsi="宋体" w:eastAsia="宋体" w:cs="宋体"/>
          <w:b/>
          <w:color w:val="auto"/>
          <w:szCs w:val="21"/>
          <w:highlight w:val="none"/>
          <w:u w:val="single"/>
        </w:rPr>
        <w:t xml:space="preserve">贰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p>
    <w:p w14:paraId="4317C064">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4、供热、供冷系统工程为 </w:t>
      </w:r>
      <w:r>
        <w:rPr>
          <w:rFonts w:hint="eastAsia" w:ascii="宋体" w:hAnsi="宋体" w:eastAsia="宋体" w:cs="宋体"/>
          <w:color w:val="auto"/>
          <w:szCs w:val="21"/>
          <w:highlight w:val="none"/>
          <w:u w:val="single"/>
        </w:rPr>
        <w:t xml:space="preserve"> </w:t>
      </w:r>
      <w:r>
        <w:rPr>
          <w:rFonts w:hint="eastAsia" w:ascii="宋体" w:hAnsi="宋体" w:eastAsia="宋体" w:cs="宋体"/>
          <w:b/>
          <w:color w:val="auto"/>
          <w:szCs w:val="21"/>
          <w:highlight w:val="none"/>
          <w:u w:val="single"/>
        </w:rPr>
        <w:t xml:space="preserve">贰 </w:t>
      </w:r>
      <w:r>
        <w:rPr>
          <w:rFonts w:hint="eastAsia" w:ascii="宋体" w:hAnsi="宋体" w:eastAsia="宋体" w:cs="宋体"/>
          <w:color w:val="auto"/>
          <w:szCs w:val="21"/>
          <w:highlight w:val="none"/>
        </w:rPr>
        <w:t>个采暖期、供冷期；</w:t>
      </w:r>
    </w:p>
    <w:p w14:paraId="6B9A3297">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5、装饰装修工程为</w:t>
      </w:r>
      <w:r>
        <w:rPr>
          <w:rFonts w:hint="eastAsia" w:ascii="宋体" w:hAnsi="宋体" w:eastAsia="宋体" w:cs="宋体"/>
          <w:b/>
          <w:color w:val="auto"/>
          <w:szCs w:val="21"/>
          <w:highlight w:val="none"/>
          <w:u w:val="single"/>
        </w:rPr>
        <w:t xml:space="preserve"> 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p>
    <w:p w14:paraId="6339DA8A">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6、其他项目</w:t>
      </w:r>
      <w:r>
        <w:rPr>
          <w:rFonts w:hint="eastAsia" w:ascii="宋体" w:hAnsi="宋体" w:eastAsia="宋体" w:cs="宋体"/>
          <w:color w:val="auto"/>
          <w:szCs w:val="21"/>
          <w:highlight w:val="none"/>
          <w:u w:val="single"/>
        </w:rPr>
        <w:t xml:space="preserve">     </w:t>
      </w:r>
      <w:r>
        <w:rPr>
          <w:rFonts w:hint="eastAsia" w:ascii="宋体" w:hAnsi="宋体" w:eastAsia="宋体" w:cs="宋体"/>
          <w:b/>
          <w:color w:val="auto"/>
          <w:szCs w:val="21"/>
          <w:highlight w:val="none"/>
          <w:u w:val="single"/>
        </w:rPr>
        <w:t xml:space="preserve"> 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6FB9812">
      <w:pPr>
        <w:adjustRightInd w:val="0"/>
        <w:snapToGrid w:val="0"/>
        <w:spacing w:line="500" w:lineRule="exact"/>
        <w:ind w:left="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质量保修责任</w:t>
      </w:r>
    </w:p>
    <w:p w14:paraId="4721EFD5">
      <w:pPr>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属于保修范围的项目，承包人应在接到通知后的7天内派人保修。承包人不在约定期限内派人保修，发包人可自行或指派第三方保修。</w:t>
      </w:r>
    </w:p>
    <w:p w14:paraId="510D5D82">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  发生紧急抢修事故的，承包人在接到通知后，应立即到达事故现场抢修。</w:t>
      </w:r>
    </w:p>
    <w:p w14:paraId="7010795E">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在国家规定的工程合理使用期限内，承包人应确保地基基础工程和主体结构的安全和质量。凡出现其质量问题，应立即报告当地建设行政主管部门，由设计单位提出保修方案，承包人应立即实施保修。</w:t>
      </w:r>
    </w:p>
    <w:p w14:paraId="52F3A93D">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3.4  质量保修完成后，由发包人组织验收。</w:t>
      </w:r>
    </w:p>
    <w:p w14:paraId="56651653">
      <w:pPr>
        <w:adjustRightInd w:val="0"/>
        <w:snapToGrid w:val="0"/>
        <w:spacing w:line="500" w:lineRule="exact"/>
        <w:ind w:left="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质量保修费用</w:t>
      </w:r>
    </w:p>
    <w:p w14:paraId="5E2D739B">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质量保修费用及相关的损害赔偿费，由造成质量缺陷的责任方承担。</w:t>
      </w:r>
    </w:p>
    <w:p w14:paraId="4215199E">
      <w:pPr>
        <w:adjustRightInd w:val="0"/>
        <w:snapToGrid w:val="0"/>
        <w:spacing w:line="500" w:lineRule="exact"/>
        <w:ind w:left="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5．其它</w:t>
      </w:r>
    </w:p>
    <w:p w14:paraId="0EA2F258">
      <w:pPr>
        <w:adjustRightInd w:val="0"/>
        <w:snapToGrid w:val="0"/>
        <w:spacing w:line="5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5.1  双方约定的其它工程质量保修事项：</w:t>
      </w:r>
      <w:r>
        <w:rPr>
          <w:rFonts w:hint="eastAsia" w:ascii="宋体" w:hAnsi="宋体" w:eastAsia="宋体" w:cs="宋体"/>
          <w:color w:val="auto"/>
          <w:szCs w:val="21"/>
          <w:highlight w:val="none"/>
          <w:u w:val="single"/>
        </w:rPr>
        <w:t xml:space="preserve">  无   </w:t>
      </w:r>
    </w:p>
    <w:p w14:paraId="7484118B">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  本工程质量保修书，由发包人承包人在工程分部分项验收前签署，作为合同附件，其有效期限至保修期满。</w:t>
      </w:r>
    </w:p>
    <w:p w14:paraId="1683A3A8">
      <w:pPr>
        <w:adjustRightInd w:val="0"/>
        <w:snapToGrid w:val="0"/>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5.3、属于保修范围和内容的项目。承包人应在接到修理通知之日后7天派人修理。承包人不在约定期限内派人修理，发包人可委托第三方修理，修理费从质量保修金内扣除。</w:t>
      </w:r>
    </w:p>
    <w:p w14:paraId="5DCA4C0F">
      <w:pPr>
        <w:adjustRightInd w:val="0"/>
        <w:snapToGrid w:val="0"/>
        <w:spacing w:line="360" w:lineRule="auto"/>
        <w:ind w:firstLine="420" w:firstLineChars="200"/>
        <w:rPr>
          <w:rFonts w:hint="eastAsia" w:ascii="宋体" w:hAnsi="宋体" w:eastAsia="宋体" w:cs="宋体"/>
          <w:color w:val="auto"/>
          <w:szCs w:val="21"/>
          <w:highlight w:val="none"/>
        </w:rPr>
      </w:pPr>
    </w:p>
    <w:p w14:paraId="169CD5C0">
      <w:pPr>
        <w:adjustRightInd w:val="0"/>
        <w:snapToGrid w:val="0"/>
        <w:spacing w:line="360" w:lineRule="auto"/>
        <w:rPr>
          <w:rFonts w:hint="eastAsia" w:ascii="宋体" w:hAnsi="宋体" w:eastAsia="宋体" w:cs="宋体"/>
          <w:color w:val="auto"/>
          <w:szCs w:val="21"/>
          <w:highlight w:val="none"/>
        </w:rPr>
      </w:pPr>
    </w:p>
    <w:p w14:paraId="3B9EBCE0">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 包 人 （公章）：                     承 包 人 （公章）：</w:t>
      </w:r>
    </w:p>
    <w:p w14:paraId="284020EA">
      <w:pPr>
        <w:adjustRightInd w:val="0"/>
        <w:snapToGrid w:val="0"/>
        <w:spacing w:line="360" w:lineRule="auto"/>
        <w:ind w:firstLine="420" w:firstLineChars="200"/>
        <w:rPr>
          <w:rFonts w:hint="eastAsia" w:ascii="宋体" w:hAnsi="宋体" w:eastAsia="宋体" w:cs="宋体"/>
          <w:color w:val="auto"/>
          <w:szCs w:val="21"/>
          <w:highlight w:val="none"/>
        </w:rPr>
      </w:pPr>
    </w:p>
    <w:p w14:paraId="66E81443">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法定代表人（或授权代表）：              法定代表人（或授权代表）：</w:t>
      </w:r>
    </w:p>
    <w:p w14:paraId="5EAFDA43">
      <w:pPr>
        <w:adjustRightInd w:val="0"/>
        <w:snapToGrid w:val="0"/>
        <w:spacing w:line="360" w:lineRule="auto"/>
        <w:ind w:firstLine="1680" w:firstLineChars="800"/>
        <w:rPr>
          <w:rFonts w:hint="eastAsia" w:ascii="宋体" w:hAnsi="宋体" w:eastAsia="宋体" w:cs="宋体"/>
          <w:color w:val="auto"/>
          <w:szCs w:val="21"/>
          <w:highlight w:val="none"/>
        </w:rPr>
      </w:pPr>
    </w:p>
    <w:p w14:paraId="09DC2A64">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Cs w:val="21"/>
          <w:highlight w:val="none"/>
        </w:rPr>
        <w:t xml:space="preserve">    年     月     日                           年     月     日     </w:t>
      </w:r>
      <w:r>
        <w:rPr>
          <w:rFonts w:hint="eastAsia" w:ascii="宋体" w:hAnsi="宋体" w:eastAsia="宋体" w:cs="宋体"/>
          <w:color w:val="auto"/>
          <w:szCs w:val="21"/>
          <w:highlight w:val="none"/>
          <w:u w:val="single"/>
        </w:rPr>
        <w:br w:type="page"/>
      </w:r>
      <w:r>
        <w:rPr>
          <w:rFonts w:hint="eastAsia" w:ascii="宋体" w:hAnsi="宋体" w:eastAsia="宋体" w:cs="宋体"/>
          <w:color w:val="auto"/>
          <w:sz w:val="24"/>
          <w:highlight w:val="none"/>
        </w:rPr>
        <w:t>附件三 安全管理细则</w:t>
      </w:r>
    </w:p>
    <w:tbl>
      <w:tblPr>
        <w:tblStyle w:val="9"/>
        <w:tblW w:w="8460" w:type="dxa"/>
        <w:tblInd w:w="93" w:type="dxa"/>
        <w:tblLayout w:type="autofit"/>
        <w:tblCellMar>
          <w:top w:w="0" w:type="dxa"/>
          <w:left w:w="108" w:type="dxa"/>
          <w:bottom w:w="0" w:type="dxa"/>
          <w:right w:w="108" w:type="dxa"/>
        </w:tblCellMar>
      </w:tblPr>
      <w:tblGrid>
        <w:gridCol w:w="578"/>
        <w:gridCol w:w="1511"/>
        <w:gridCol w:w="4606"/>
        <w:gridCol w:w="1543"/>
        <w:gridCol w:w="222"/>
      </w:tblGrid>
      <w:tr w14:paraId="41ED0618">
        <w:tblPrEx>
          <w:tblCellMar>
            <w:top w:w="0" w:type="dxa"/>
            <w:left w:w="108" w:type="dxa"/>
            <w:bottom w:w="0" w:type="dxa"/>
            <w:right w:w="108" w:type="dxa"/>
          </w:tblCellMar>
        </w:tblPrEx>
        <w:trPr>
          <w:trHeight w:val="840" w:hRule="atLeast"/>
        </w:trPr>
        <w:tc>
          <w:tcPr>
            <w:tcW w:w="8460" w:type="dxa"/>
            <w:gridSpan w:val="5"/>
            <w:tcBorders>
              <w:top w:val="nil"/>
              <w:left w:val="nil"/>
              <w:bottom w:val="nil"/>
              <w:right w:val="nil"/>
            </w:tcBorders>
            <w:shd w:val="clear" w:color="auto" w:fill="FFFFFF"/>
            <w:noWrap w:val="0"/>
            <w:vAlign w:val="center"/>
          </w:tcPr>
          <w:p w14:paraId="28F23DBA">
            <w:pPr>
              <w:widowControl/>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lang w:bidi="ar"/>
              </w:rPr>
              <w:t>城工集团安全管理分项检查处罚规定</w:t>
            </w:r>
          </w:p>
        </w:tc>
      </w:tr>
      <w:tr w14:paraId="4C93D298">
        <w:tblPrEx>
          <w:tblCellMar>
            <w:top w:w="0" w:type="dxa"/>
            <w:left w:w="108" w:type="dxa"/>
            <w:bottom w:w="0" w:type="dxa"/>
            <w:right w:w="108" w:type="dxa"/>
          </w:tblCellMar>
        </w:tblPrEx>
        <w:trPr>
          <w:trHeight w:val="585" w:hRule="atLeast"/>
        </w:trPr>
        <w:tc>
          <w:tcPr>
            <w:tcW w:w="5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87E84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序号</w:t>
            </w:r>
          </w:p>
        </w:tc>
        <w:tc>
          <w:tcPr>
            <w:tcW w:w="15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CA0801">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检查项目</w:t>
            </w:r>
          </w:p>
        </w:tc>
        <w:tc>
          <w:tcPr>
            <w:tcW w:w="4606" w:type="dxa"/>
            <w:tcBorders>
              <w:top w:val="single" w:color="000000" w:sz="4" w:space="0"/>
              <w:left w:val="single" w:color="000000" w:sz="4" w:space="0"/>
              <w:bottom w:val="single" w:color="000000" w:sz="4" w:space="0"/>
              <w:right w:val="nil"/>
            </w:tcBorders>
            <w:shd w:val="clear" w:color="auto" w:fill="FFFFFF"/>
            <w:noWrap w:val="0"/>
            <w:vAlign w:val="center"/>
          </w:tcPr>
          <w:p w14:paraId="69F9BFF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工地存在问题</w:t>
            </w:r>
          </w:p>
        </w:tc>
        <w:tc>
          <w:tcPr>
            <w:tcW w:w="1765" w:type="dxa"/>
            <w:gridSpan w:val="2"/>
            <w:tcBorders>
              <w:top w:val="single" w:color="000000" w:sz="4" w:space="0"/>
              <w:left w:val="single" w:color="000000" w:sz="4" w:space="0"/>
              <w:bottom w:val="single" w:color="auto" w:sz="4" w:space="0"/>
              <w:right w:val="single" w:color="000000" w:sz="4" w:space="0"/>
            </w:tcBorders>
            <w:shd w:val="clear" w:color="auto" w:fill="FFFFFF"/>
            <w:noWrap w:val="0"/>
            <w:vAlign w:val="center"/>
          </w:tcPr>
          <w:p w14:paraId="24CC8DC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处罚金额(元)</w:t>
            </w:r>
          </w:p>
        </w:tc>
      </w:tr>
      <w:tr w14:paraId="3D6EB879">
        <w:tblPrEx>
          <w:tblCellMar>
            <w:top w:w="0" w:type="dxa"/>
            <w:left w:w="108" w:type="dxa"/>
            <w:bottom w:w="0" w:type="dxa"/>
            <w:right w:w="108" w:type="dxa"/>
          </w:tblCellMar>
        </w:tblPrEx>
        <w:trPr>
          <w:trHeight w:val="585"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51ACA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64377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进场条件</w:t>
            </w:r>
          </w:p>
        </w:tc>
        <w:tc>
          <w:tcPr>
            <w:tcW w:w="4606" w:type="dxa"/>
            <w:tcBorders>
              <w:top w:val="single" w:color="000000" w:sz="4" w:space="0"/>
              <w:left w:val="single" w:color="000000" w:sz="4" w:space="0"/>
              <w:bottom w:val="nil"/>
              <w:right w:val="single" w:color="auto" w:sz="4" w:space="0"/>
            </w:tcBorders>
            <w:shd w:val="clear" w:color="auto" w:fill="FFFFFF"/>
            <w:noWrap w:val="0"/>
            <w:vAlign w:val="center"/>
          </w:tcPr>
          <w:p w14:paraId="0E777131">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·进场未提交分包合同、公司资质、安全生产许可证、管理人员任命书等报审资料的</w:t>
            </w:r>
          </w:p>
        </w:tc>
        <w:tc>
          <w:tcPr>
            <w:tcW w:w="154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CB8C1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2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C390CD">
            <w:pPr>
              <w:jc w:val="center"/>
              <w:rPr>
                <w:rFonts w:hint="eastAsia" w:ascii="宋体" w:hAnsi="宋体" w:eastAsia="宋体" w:cs="宋体"/>
                <w:color w:val="auto"/>
                <w:sz w:val="20"/>
                <w:szCs w:val="20"/>
                <w:highlight w:val="none"/>
              </w:rPr>
            </w:pPr>
          </w:p>
        </w:tc>
      </w:tr>
      <w:tr w14:paraId="76E987A0">
        <w:tblPrEx>
          <w:tblCellMar>
            <w:top w:w="0" w:type="dxa"/>
            <w:left w:w="108" w:type="dxa"/>
            <w:bottom w:w="0" w:type="dxa"/>
            <w:right w:w="108" w:type="dxa"/>
          </w:tblCellMar>
        </w:tblPrEx>
        <w:trPr>
          <w:trHeight w:val="48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CBEFF3">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A7C6DE">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nil"/>
              <w:right w:val="single" w:color="auto" w:sz="4" w:space="0"/>
            </w:tcBorders>
            <w:shd w:val="clear" w:color="auto" w:fill="FFFFFF"/>
            <w:noWrap w:val="0"/>
            <w:vAlign w:val="center"/>
          </w:tcPr>
          <w:p w14:paraId="2B32FE6C">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·未按规定配备对应专业的项目负责人的</w:t>
            </w:r>
          </w:p>
        </w:tc>
        <w:tc>
          <w:tcPr>
            <w:tcW w:w="154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EDFBF1">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2000</w:t>
            </w:r>
          </w:p>
        </w:tc>
        <w:tc>
          <w:tcPr>
            <w:tcW w:w="22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EF2402">
            <w:pPr>
              <w:jc w:val="center"/>
              <w:rPr>
                <w:rFonts w:hint="eastAsia" w:ascii="宋体" w:hAnsi="宋体" w:eastAsia="宋体" w:cs="宋体"/>
                <w:color w:val="auto"/>
                <w:sz w:val="20"/>
                <w:szCs w:val="20"/>
                <w:highlight w:val="none"/>
              </w:rPr>
            </w:pPr>
          </w:p>
        </w:tc>
      </w:tr>
      <w:tr w14:paraId="4117895C">
        <w:tblPrEx>
          <w:tblCellMar>
            <w:top w:w="0" w:type="dxa"/>
            <w:left w:w="108" w:type="dxa"/>
            <w:bottom w:w="0" w:type="dxa"/>
            <w:right w:w="108" w:type="dxa"/>
          </w:tblCellMar>
        </w:tblPrEx>
        <w:trPr>
          <w:trHeight w:val="48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AFFB90">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90BD1B">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nil"/>
              <w:right w:val="single" w:color="auto" w:sz="4" w:space="0"/>
            </w:tcBorders>
            <w:shd w:val="clear" w:color="auto" w:fill="FFFFFF"/>
            <w:noWrap w:val="0"/>
            <w:vAlign w:val="center"/>
          </w:tcPr>
          <w:p w14:paraId="5F60DF01">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·未按规定配备专职安全员的</w:t>
            </w:r>
          </w:p>
        </w:tc>
        <w:tc>
          <w:tcPr>
            <w:tcW w:w="154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8E495A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2000</w:t>
            </w:r>
          </w:p>
        </w:tc>
        <w:tc>
          <w:tcPr>
            <w:tcW w:w="22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0D5DEFD">
            <w:pPr>
              <w:jc w:val="center"/>
              <w:rPr>
                <w:rFonts w:hint="eastAsia" w:ascii="宋体" w:hAnsi="宋体" w:eastAsia="宋体" w:cs="宋体"/>
                <w:color w:val="auto"/>
                <w:sz w:val="20"/>
                <w:szCs w:val="20"/>
                <w:highlight w:val="none"/>
              </w:rPr>
            </w:pPr>
          </w:p>
        </w:tc>
      </w:tr>
      <w:tr w14:paraId="0DF04632">
        <w:tblPrEx>
          <w:tblCellMar>
            <w:top w:w="0" w:type="dxa"/>
            <w:left w:w="108" w:type="dxa"/>
            <w:bottom w:w="0" w:type="dxa"/>
            <w:right w:w="108" w:type="dxa"/>
          </w:tblCellMar>
        </w:tblPrEx>
        <w:trPr>
          <w:trHeight w:val="48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E52A8">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6F2AE9">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nil"/>
              <w:right w:val="single" w:color="auto" w:sz="4" w:space="0"/>
            </w:tcBorders>
            <w:shd w:val="clear" w:color="auto" w:fill="FFFFFF"/>
            <w:noWrap w:val="0"/>
            <w:vAlign w:val="center"/>
          </w:tcPr>
          <w:p w14:paraId="37F0E81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·未及时提供新进场人员名单，或进场人员未配合录入实名制或项目人员台账的。</w:t>
            </w:r>
          </w:p>
        </w:tc>
        <w:tc>
          <w:tcPr>
            <w:tcW w:w="154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116F2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2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BF1D97A">
            <w:pPr>
              <w:jc w:val="center"/>
              <w:rPr>
                <w:rFonts w:hint="eastAsia" w:ascii="宋体" w:hAnsi="宋体" w:eastAsia="宋体" w:cs="宋体"/>
                <w:color w:val="auto"/>
                <w:sz w:val="20"/>
                <w:szCs w:val="20"/>
                <w:highlight w:val="none"/>
              </w:rPr>
            </w:pPr>
          </w:p>
        </w:tc>
      </w:tr>
      <w:tr w14:paraId="2601DBF4">
        <w:tblPrEx>
          <w:tblCellMar>
            <w:top w:w="0" w:type="dxa"/>
            <w:left w:w="108" w:type="dxa"/>
            <w:bottom w:w="0" w:type="dxa"/>
            <w:right w:w="108" w:type="dxa"/>
          </w:tblCellMar>
        </w:tblPrEx>
        <w:trPr>
          <w:trHeight w:val="46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22AC5">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B098D8">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0EF2771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·自带机具未经验收投入使用的</w:t>
            </w:r>
          </w:p>
        </w:tc>
        <w:tc>
          <w:tcPr>
            <w:tcW w:w="154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67363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2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9055E55">
            <w:pPr>
              <w:jc w:val="center"/>
              <w:rPr>
                <w:rFonts w:hint="eastAsia" w:ascii="宋体" w:hAnsi="宋体" w:eastAsia="宋体" w:cs="宋体"/>
                <w:color w:val="auto"/>
                <w:sz w:val="20"/>
                <w:szCs w:val="20"/>
                <w:highlight w:val="none"/>
              </w:rPr>
            </w:pPr>
          </w:p>
        </w:tc>
      </w:tr>
      <w:tr w14:paraId="1EA07996">
        <w:tblPrEx>
          <w:tblCellMar>
            <w:top w:w="0" w:type="dxa"/>
            <w:left w:w="108" w:type="dxa"/>
            <w:bottom w:w="0" w:type="dxa"/>
            <w:right w:w="108" w:type="dxa"/>
          </w:tblCellMar>
        </w:tblPrEx>
        <w:trPr>
          <w:trHeight w:val="520"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CD84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7DBE2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安全生产责任制</w:t>
            </w:r>
          </w:p>
        </w:tc>
        <w:tc>
          <w:tcPr>
            <w:tcW w:w="4606" w:type="dxa"/>
            <w:tcBorders>
              <w:top w:val="nil"/>
              <w:left w:val="single" w:color="000000" w:sz="4" w:space="0"/>
              <w:bottom w:val="nil"/>
              <w:right w:val="single" w:color="auto" w:sz="4" w:space="0"/>
            </w:tcBorders>
            <w:shd w:val="clear" w:color="auto" w:fill="FFFFFF"/>
            <w:noWrap w:val="0"/>
            <w:vAlign w:val="center"/>
          </w:tcPr>
          <w:p w14:paraId="2C445783">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·分包单位项目负责人未与本单位管理人员签定安全生产责任书的；</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0C499E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39397A78">
            <w:pPr>
              <w:rPr>
                <w:rFonts w:hint="eastAsia" w:ascii="宋体" w:hAnsi="宋体" w:eastAsia="宋体" w:cs="宋体"/>
                <w:color w:val="auto"/>
                <w:sz w:val="20"/>
                <w:szCs w:val="20"/>
                <w:highlight w:val="none"/>
              </w:rPr>
            </w:pPr>
          </w:p>
        </w:tc>
      </w:tr>
      <w:tr w14:paraId="5228FCA4">
        <w:tblPrEx>
          <w:tblCellMar>
            <w:top w:w="0" w:type="dxa"/>
            <w:left w:w="108" w:type="dxa"/>
            <w:bottom w:w="0" w:type="dxa"/>
            <w:right w:w="108" w:type="dxa"/>
          </w:tblCellMar>
        </w:tblPrEx>
        <w:trPr>
          <w:trHeight w:val="54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3D0F11">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332C0F">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1A291A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·班组长未与工人签定安全生产责任书的</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4313965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55211CB6">
            <w:pPr>
              <w:rPr>
                <w:rFonts w:hint="eastAsia" w:ascii="宋体" w:hAnsi="宋体" w:eastAsia="宋体" w:cs="宋体"/>
                <w:color w:val="auto"/>
                <w:sz w:val="20"/>
                <w:szCs w:val="20"/>
                <w:highlight w:val="none"/>
              </w:rPr>
            </w:pPr>
          </w:p>
        </w:tc>
      </w:tr>
      <w:tr w14:paraId="46B10889">
        <w:tblPrEx>
          <w:tblCellMar>
            <w:top w:w="0" w:type="dxa"/>
            <w:left w:w="108" w:type="dxa"/>
            <w:bottom w:w="0" w:type="dxa"/>
            <w:right w:w="108" w:type="dxa"/>
          </w:tblCellMar>
        </w:tblPrEx>
        <w:trPr>
          <w:trHeight w:val="285"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B6C0D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FEA3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分部(分项)</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工程安全</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技术交底</w:t>
            </w: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0CDBD0B7">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·每有一人未参加安全技术交底</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4798EC7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7633D78F">
            <w:pPr>
              <w:rPr>
                <w:rFonts w:hint="eastAsia" w:ascii="宋体" w:hAnsi="宋体" w:eastAsia="宋体" w:cs="宋体"/>
                <w:color w:val="auto"/>
                <w:sz w:val="20"/>
                <w:szCs w:val="20"/>
                <w:highlight w:val="none"/>
              </w:rPr>
            </w:pPr>
          </w:p>
        </w:tc>
      </w:tr>
      <w:tr w14:paraId="631D284D">
        <w:tblPrEx>
          <w:tblCellMar>
            <w:top w:w="0" w:type="dxa"/>
            <w:left w:w="108" w:type="dxa"/>
            <w:bottom w:w="0" w:type="dxa"/>
            <w:right w:w="108" w:type="dxa"/>
          </w:tblCellMar>
        </w:tblPrEx>
        <w:trPr>
          <w:trHeight w:val="48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871D8D">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2D1B58">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03BC38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·每有一人交底未履行签字手续</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05704FD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4B6868F6">
            <w:pPr>
              <w:rPr>
                <w:rFonts w:hint="eastAsia" w:ascii="宋体" w:hAnsi="宋体" w:eastAsia="宋体" w:cs="宋体"/>
                <w:color w:val="auto"/>
                <w:sz w:val="20"/>
                <w:szCs w:val="20"/>
                <w:highlight w:val="none"/>
              </w:rPr>
            </w:pPr>
          </w:p>
        </w:tc>
      </w:tr>
      <w:tr w14:paraId="41071A1D">
        <w:tblPrEx>
          <w:tblCellMar>
            <w:top w:w="0" w:type="dxa"/>
            <w:left w:w="108" w:type="dxa"/>
            <w:bottom w:w="0" w:type="dxa"/>
            <w:right w:w="108" w:type="dxa"/>
          </w:tblCellMar>
        </w:tblPrEx>
        <w:trPr>
          <w:trHeight w:val="285"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06029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FE641">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安全检查</w:t>
            </w: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E6C6EC3">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·未认真履行安全检查工作</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31BFC84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47ECE9FF">
            <w:pPr>
              <w:rPr>
                <w:rFonts w:hint="eastAsia" w:ascii="宋体" w:hAnsi="宋体" w:eastAsia="宋体" w:cs="宋体"/>
                <w:color w:val="auto"/>
                <w:sz w:val="20"/>
                <w:szCs w:val="20"/>
                <w:highlight w:val="none"/>
              </w:rPr>
            </w:pPr>
          </w:p>
        </w:tc>
      </w:tr>
      <w:tr w14:paraId="77A64285">
        <w:tblPrEx>
          <w:tblCellMar>
            <w:top w:w="0" w:type="dxa"/>
            <w:left w:w="108" w:type="dxa"/>
            <w:bottom w:w="0" w:type="dxa"/>
            <w:right w:w="108" w:type="dxa"/>
          </w:tblCellMar>
        </w:tblPrEx>
        <w:trPr>
          <w:trHeight w:val="34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28D3D">
            <w:pPr>
              <w:jc w:val="center"/>
              <w:rPr>
                <w:rFonts w:hint="eastAsia" w:ascii="宋体" w:hAnsi="宋体" w:eastAsia="宋体" w:cs="宋体"/>
                <w:color w:val="auto"/>
                <w:sz w:val="20"/>
                <w:szCs w:val="20"/>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E8EB61">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DD655A9">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·未按时按质完成安全隐患整改的</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76110F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166800D1">
            <w:pPr>
              <w:rPr>
                <w:rFonts w:hint="eastAsia" w:ascii="宋体" w:hAnsi="宋体" w:eastAsia="宋体" w:cs="宋体"/>
                <w:color w:val="auto"/>
                <w:sz w:val="20"/>
                <w:szCs w:val="20"/>
                <w:highlight w:val="none"/>
              </w:rPr>
            </w:pPr>
          </w:p>
        </w:tc>
      </w:tr>
      <w:tr w14:paraId="5ADA05EB">
        <w:tblPrEx>
          <w:tblCellMar>
            <w:top w:w="0" w:type="dxa"/>
            <w:left w:w="108" w:type="dxa"/>
            <w:bottom w:w="0" w:type="dxa"/>
            <w:right w:w="108" w:type="dxa"/>
          </w:tblCellMar>
        </w:tblPrEx>
        <w:trPr>
          <w:trHeight w:val="34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78B02F">
            <w:pPr>
              <w:jc w:val="center"/>
              <w:rPr>
                <w:rFonts w:hint="eastAsia" w:ascii="宋体" w:hAnsi="宋体" w:eastAsia="宋体" w:cs="宋体"/>
                <w:color w:val="auto"/>
                <w:sz w:val="20"/>
                <w:szCs w:val="20"/>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6D1B5">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nil"/>
              <w:right w:val="single" w:color="auto" w:sz="4" w:space="0"/>
            </w:tcBorders>
            <w:shd w:val="clear" w:color="auto" w:fill="FFFFFF"/>
            <w:noWrap w:val="0"/>
            <w:vAlign w:val="center"/>
          </w:tcPr>
          <w:p w14:paraId="2FCE1A6B">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·未及时纠正工人违章违规行为</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778EF7E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0F3207E6">
            <w:pPr>
              <w:rPr>
                <w:rFonts w:hint="eastAsia" w:ascii="宋体" w:hAnsi="宋体" w:eastAsia="宋体" w:cs="宋体"/>
                <w:color w:val="auto"/>
                <w:sz w:val="20"/>
                <w:szCs w:val="20"/>
                <w:highlight w:val="none"/>
              </w:rPr>
            </w:pPr>
          </w:p>
        </w:tc>
      </w:tr>
      <w:tr w14:paraId="303BA507">
        <w:tblPrEx>
          <w:tblCellMar>
            <w:top w:w="0" w:type="dxa"/>
            <w:left w:w="108" w:type="dxa"/>
            <w:bottom w:w="0" w:type="dxa"/>
            <w:right w:w="108" w:type="dxa"/>
          </w:tblCellMar>
        </w:tblPrEx>
        <w:trPr>
          <w:trHeight w:val="60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84E220">
            <w:pPr>
              <w:jc w:val="center"/>
              <w:rPr>
                <w:rFonts w:hint="eastAsia" w:ascii="宋体" w:hAnsi="宋体" w:eastAsia="宋体" w:cs="宋体"/>
                <w:color w:val="auto"/>
                <w:sz w:val="20"/>
                <w:szCs w:val="20"/>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0BF10">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nil"/>
              <w:right w:val="single" w:color="auto" w:sz="4" w:space="0"/>
            </w:tcBorders>
            <w:shd w:val="clear" w:color="auto" w:fill="FFFFFF"/>
            <w:noWrap w:val="0"/>
            <w:vAlign w:val="center"/>
          </w:tcPr>
          <w:p w14:paraId="2AEEF083">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·损坏总包临建设施或安全设施的（除赔偿经济损失外）</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1F489E9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103786CA">
            <w:pPr>
              <w:rPr>
                <w:rFonts w:hint="eastAsia" w:ascii="宋体" w:hAnsi="宋体" w:eastAsia="宋体" w:cs="宋体"/>
                <w:color w:val="auto"/>
                <w:sz w:val="20"/>
                <w:szCs w:val="20"/>
                <w:highlight w:val="none"/>
              </w:rPr>
            </w:pPr>
          </w:p>
        </w:tc>
      </w:tr>
      <w:tr w14:paraId="2F03D8C2">
        <w:tblPrEx>
          <w:tblCellMar>
            <w:top w:w="0" w:type="dxa"/>
            <w:left w:w="108" w:type="dxa"/>
            <w:bottom w:w="0" w:type="dxa"/>
            <w:right w:w="108" w:type="dxa"/>
          </w:tblCellMar>
        </w:tblPrEx>
        <w:trPr>
          <w:trHeight w:val="540"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C9FA9F">
            <w:pPr>
              <w:jc w:val="center"/>
              <w:rPr>
                <w:rFonts w:hint="eastAsia" w:ascii="宋体" w:hAnsi="宋体" w:eastAsia="宋体" w:cs="宋体"/>
                <w:color w:val="auto"/>
                <w:sz w:val="20"/>
                <w:szCs w:val="20"/>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44C277">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0052D812">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·未经总包同意擅自拆除安全防护设施或警示标志的且未采取临时加固措施或擅自拆除未及时恢复</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7470F73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796356D0">
            <w:pPr>
              <w:rPr>
                <w:rFonts w:hint="eastAsia" w:ascii="宋体" w:hAnsi="宋体" w:eastAsia="宋体" w:cs="宋体"/>
                <w:color w:val="auto"/>
                <w:sz w:val="20"/>
                <w:szCs w:val="20"/>
                <w:highlight w:val="none"/>
              </w:rPr>
            </w:pPr>
          </w:p>
        </w:tc>
      </w:tr>
      <w:tr w14:paraId="0A4257B0">
        <w:tblPrEx>
          <w:tblCellMar>
            <w:top w:w="0" w:type="dxa"/>
            <w:left w:w="108" w:type="dxa"/>
            <w:bottom w:w="0" w:type="dxa"/>
            <w:right w:w="108" w:type="dxa"/>
          </w:tblCellMar>
        </w:tblPrEx>
        <w:trPr>
          <w:trHeight w:val="285"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65B68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BA575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安全教育</w:t>
            </w: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1444319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·新进场工人未进行三级安全教育</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4851BDE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48565C52">
            <w:pPr>
              <w:rPr>
                <w:rFonts w:hint="eastAsia" w:ascii="宋体" w:hAnsi="宋体" w:eastAsia="宋体" w:cs="宋体"/>
                <w:color w:val="auto"/>
                <w:sz w:val="20"/>
                <w:szCs w:val="20"/>
                <w:highlight w:val="none"/>
              </w:rPr>
            </w:pPr>
          </w:p>
        </w:tc>
      </w:tr>
      <w:tr w14:paraId="7888A79F">
        <w:tblPrEx>
          <w:tblCellMar>
            <w:top w:w="0" w:type="dxa"/>
            <w:left w:w="108" w:type="dxa"/>
            <w:bottom w:w="0" w:type="dxa"/>
            <w:right w:w="108" w:type="dxa"/>
          </w:tblCellMar>
        </w:tblPrEx>
        <w:trPr>
          <w:trHeight w:val="285"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18DA44">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F140FE">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96EC8E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·变换工种时未进行安全教育</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C7A255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4CCCBAE1">
            <w:pPr>
              <w:rPr>
                <w:rFonts w:hint="eastAsia" w:ascii="宋体" w:hAnsi="宋体" w:eastAsia="宋体" w:cs="宋体"/>
                <w:color w:val="auto"/>
                <w:sz w:val="20"/>
                <w:szCs w:val="20"/>
                <w:highlight w:val="none"/>
              </w:rPr>
            </w:pPr>
          </w:p>
        </w:tc>
      </w:tr>
      <w:tr w14:paraId="755A2985">
        <w:tblPrEx>
          <w:tblCellMar>
            <w:top w:w="0" w:type="dxa"/>
            <w:left w:w="108" w:type="dxa"/>
            <w:bottom w:w="0" w:type="dxa"/>
            <w:right w:w="108" w:type="dxa"/>
          </w:tblCellMar>
        </w:tblPrEx>
        <w:trPr>
          <w:trHeight w:val="285"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985923">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C52CBC">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7D833C93">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·工人未覆行三级安全教育记录签字盖指模的</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21946AB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2B1EECDA">
            <w:pPr>
              <w:rPr>
                <w:rFonts w:hint="eastAsia" w:ascii="宋体" w:hAnsi="宋体" w:eastAsia="宋体" w:cs="宋体"/>
                <w:color w:val="auto"/>
                <w:sz w:val="20"/>
                <w:szCs w:val="20"/>
                <w:highlight w:val="none"/>
              </w:rPr>
            </w:pPr>
          </w:p>
        </w:tc>
      </w:tr>
      <w:tr w14:paraId="0480F1BD">
        <w:tblPrEx>
          <w:tblCellMar>
            <w:top w:w="0" w:type="dxa"/>
            <w:left w:w="108" w:type="dxa"/>
            <w:bottom w:w="0" w:type="dxa"/>
            <w:right w:w="108" w:type="dxa"/>
          </w:tblCellMar>
        </w:tblPrEx>
        <w:trPr>
          <w:trHeight w:val="285"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3ACEF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6</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69D1B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班前安全</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活动</w:t>
            </w: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2CEB036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·未每天组织工人落实班前安全活动的</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2A9584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28CDF38D">
            <w:pPr>
              <w:rPr>
                <w:rFonts w:hint="eastAsia" w:ascii="宋体" w:hAnsi="宋体" w:eastAsia="宋体" w:cs="宋体"/>
                <w:color w:val="auto"/>
                <w:sz w:val="20"/>
                <w:szCs w:val="20"/>
                <w:highlight w:val="none"/>
              </w:rPr>
            </w:pPr>
          </w:p>
        </w:tc>
      </w:tr>
      <w:tr w14:paraId="4EF8A0FA">
        <w:tblPrEx>
          <w:tblCellMar>
            <w:top w:w="0" w:type="dxa"/>
            <w:left w:w="108" w:type="dxa"/>
            <w:bottom w:w="0" w:type="dxa"/>
            <w:right w:w="108" w:type="dxa"/>
          </w:tblCellMar>
        </w:tblPrEx>
        <w:trPr>
          <w:trHeight w:val="285"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3B2C05">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D4C4E1">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09BADE7">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·班前安全活动无记录</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3CA465B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708A5633">
            <w:pPr>
              <w:rPr>
                <w:rFonts w:hint="eastAsia" w:ascii="宋体" w:hAnsi="宋体" w:eastAsia="宋体" w:cs="宋体"/>
                <w:color w:val="auto"/>
                <w:sz w:val="20"/>
                <w:szCs w:val="20"/>
                <w:highlight w:val="none"/>
              </w:rPr>
            </w:pPr>
          </w:p>
        </w:tc>
      </w:tr>
      <w:tr w14:paraId="36AC1E8C">
        <w:tblPrEx>
          <w:tblCellMar>
            <w:top w:w="0" w:type="dxa"/>
            <w:left w:w="108" w:type="dxa"/>
            <w:bottom w:w="0" w:type="dxa"/>
            <w:right w:w="108" w:type="dxa"/>
          </w:tblCellMar>
        </w:tblPrEx>
        <w:trPr>
          <w:trHeight w:val="285"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3B930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7</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9D7EB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特种作业</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持证上岗</w:t>
            </w: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A32B0E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·一人未经培训从事特种作业</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3A86910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1D891C00">
            <w:pPr>
              <w:rPr>
                <w:rFonts w:hint="eastAsia" w:ascii="宋体" w:hAnsi="宋体" w:eastAsia="宋体" w:cs="宋体"/>
                <w:color w:val="auto"/>
                <w:sz w:val="20"/>
                <w:szCs w:val="20"/>
                <w:highlight w:val="none"/>
              </w:rPr>
            </w:pPr>
          </w:p>
        </w:tc>
      </w:tr>
      <w:tr w14:paraId="73D4E56D">
        <w:tblPrEx>
          <w:tblCellMar>
            <w:top w:w="0" w:type="dxa"/>
            <w:left w:w="108" w:type="dxa"/>
            <w:bottom w:w="0" w:type="dxa"/>
            <w:right w:w="108" w:type="dxa"/>
          </w:tblCellMar>
        </w:tblPrEx>
        <w:trPr>
          <w:trHeight w:val="285"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C8016B">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1E4B7D">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13D371CB">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·一人未持操作证上岗</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40A13A6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445B72BB">
            <w:pPr>
              <w:rPr>
                <w:rFonts w:hint="eastAsia" w:ascii="宋体" w:hAnsi="宋体" w:eastAsia="宋体" w:cs="宋体"/>
                <w:color w:val="auto"/>
                <w:sz w:val="20"/>
                <w:szCs w:val="20"/>
                <w:highlight w:val="none"/>
              </w:rPr>
            </w:pPr>
          </w:p>
        </w:tc>
      </w:tr>
      <w:tr w14:paraId="10A4EE63">
        <w:tblPrEx>
          <w:tblCellMar>
            <w:top w:w="0" w:type="dxa"/>
            <w:left w:w="108" w:type="dxa"/>
            <w:bottom w:w="0" w:type="dxa"/>
            <w:right w:w="108" w:type="dxa"/>
          </w:tblCellMar>
        </w:tblPrEx>
        <w:trPr>
          <w:trHeight w:val="285"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758A0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8</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9D1B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工伤事故</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处理</w:t>
            </w: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5411C9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·发生工伤事故未及时汇报总包的</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2792F02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12BF4FFD">
            <w:pPr>
              <w:rPr>
                <w:rFonts w:hint="eastAsia" w:ascii="宋体" w:hAnsi="宋体" w:eastAsia="宋体" w:cs="宋体"/>
                <w:color w:val="auto"/>
                <w:sz w:val="20"/>
                <w:szCs w:val="20"/>
                <w:highlight w:val="none"/>
              </w:rPr>
            </w:pPr>
          </w:p>
        </w:tc>
      </w:tr>
      <w:tr w14:paraId="58095EFB">
        <w:tblPrEx>
          <w:tblCellMar>
            <w:top w:w="0" w:type="dxa"/>
            <w:left w:w="108" w:type="dxa"/>
            <w:bottom w:w="0" w:type="dxa"/>
            <w:right w:w="108" w:type="dxa"/>
          </w:tblCellMar>
        </w:tblPrEx>
        <w:trPr>
          <w:trHeight w:val="285"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F8FAEC">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D69143">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7A79D15">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·发生工伤事故未及时积极处理的</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01DDBDE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23060D11">
            <w:pPr>
              <w:rPr>
                <w:rFonts w:hint="eastAsia" w:ascii="宋体" w:hAnsi="宋体" w:eastAsia="宋体" w:cs="宋体"/>
                <w:color w:val="auto"/>
                <w:sz w:val="20"/>
                <w:szCs w:val="20"/>
                <w:highlight w:val="none"/>
              </w:rPr>
            </w:pPr>
          </w:p>
        </w:tc>
      </w:tr>
      <w:tr w14:paraId="0BEB0068">
        <w:tblPrEx>
          <w:tblCellMar>
            <w:top w:w="0" w:type="dxa"/>
            <w:left w:w="108" w:type="dxa"/>
            <w:bottom w:w="0" w:type="dxa"/>
            <w:right w:w="108" w:type="dxa"/>
          </w:tblCellMar>
        </w:tblPrEx>
        <w:trPr>
          <w:trHeight w:val="285"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D6BDAA">
            <w:pPr>
              <w:jc w:val="center"/>
              <w:rPr>
                <w:rFonts w:hint="eastAsia" w:ascii="宋体" w:hAnsi="宋体" w:eastAsia="宋体" w:cs="宋体"/>
                <w:color w:val="auto"/>
                <w:sz w:val="20"/>
                <w:szCs w:val="20"/>
                <w:highlight w:val="none"/>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D4AE1C">
            <w:pPr>
              <w:jc w:val="center"/>
              <w:rPr>
                <w:rFonts w:hint="eastAsia" w:ascii="宋体" w:hAnsi="宋体" w:eastAsia="宋体" w:cs="宋体"/>
                <w:color w:val="auto"/>
                <w:sz w:val="20"/>
                <w:szCs w:val="20"/>
                <w:highlight w:val="none"/>
              </w:rPr>
            </w:pPr>
          </w:p>
        </w:tc>
        <w:tc>
          <w:tcPr>
            <w:tcW w:w="460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385DCE3A">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·发生工伤事故导致总包造成恶劣影响的</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13A4AA4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20000</w:t>
            </w:r>
          </w:p>
        </w:tc>
        <w:tc>
          <w:tcPr>
            <w:tcW w:w="222" w:type="dxa"/>
            <w:tcBorders>
              <w:top w:val="single" w:color="auto" w:sz="4" w:space="0"/>
              <w:left w:val="single" w:color="auto" w:sz="4" w:space="0"/>
              <w:bottom w:val="single" w:color="auto" w:sz="4" w:space="0"/>
              <w:right w:val="single" w:color="auto" w:sz="4" w:space="0"/>
            </w:tcBorders>
            <w:noWrap w:val="0"/>
            <w:vAlign w:val="center"/>
          </w:tcPr>
          <w:p w14:paraId="7251F784">
            <w:pPr>
              <w:rPr>
                <w:rFonts w:hint="eastAsia" w:ascii="宋体" w:hAnsi="宋体" w:eastAsia="宋体" w:cs="宋体"/>
                <w:color w:val="auto"/>
                <w:sz w:val="20"/>
                <w:szCs w:val="20"/>
                <w:highlight w:val="none"/>
              </w:rPr>
            </w:pPr>
          </w:p>
        </w:tc>
      </w:tr>
    </w:tbl>
    <w:p w14:paraId="1342737E">
      <w:pPr>
        <w:adjustRightInd w:val="0"/>
        <w:snapToGrid w:val="0"/>
        <w:spacing w:line="360" w:lineRule="auto"/>
        <w:ind w:firstLine="420"/>
        <w:rPr>
          <w:rFonts w:hint="eastAsia" w:ascii="宋体" w:hAnsi="宋体" w:eastAsia="宋体" w:cs="宋体"/>
          <w:color w:val="auto"/>
          <w:sz w:val="24"/>
          <w:highlight w:val="none"/>
        </w:rPr>
      </w:pPr>
    </w:p>
    <w:p w14:paraId="56C109CD">
      <w:pPr>
        <w:adjustRightInd w:val="0"/>
        <w:snapToGrid w:val="0"/>
        <w:spacing w:line="360" w:lineRule="auto"/>
        <w:ind w:firstLine="420"/>
        <w:rPr>
          <w:rFonts w:hint="eastAsia" w:ascii="宋体" w:hAnsi="宋体" w:eastAsia="宋体" w:cs="宋体"/>
          <w:color w:val="auto"/>
          <w:sz w:val="24"/>
          <w:highlight w:val="none"/>
        </w:rPr>
      </w:pPr>
    </w:p>
    <w:p w14:paraId="6F580248">
      <w:pPr>
        <w:adjustRightInd w:val="0"/>
        <w:snapToGrid w:val="0"/>
        <w:spacing w:line="360" w:lineRule="auto"/>
        <w:ind w:firstLine="420"/>
        <w:rPr>
          <w:rFonts w:hint="eastAsia" w:ascii="宋体" w:hAnsi="宋体" w:eastAsia="宋体" w:cs="宋体"/>
          <w:color w:val="auto"/>
          <w:sz w:val="24"/>
          <w:highlight w:val="none"/>
        </w:rPr>
      </w:pPr>
    </w:p>
    <w:tbl>
      <w:tblPr>
        <w:tblStyle w:val="9"/>
        <w:tblW w:w="8940" w:type="dxa"/>
        <w:tblInd w:w="93" w:type="dxa"/>
        <w:tblLayout w:type="autofit"/>
        <w:tblCellMar>
          <w:top w:w="0" w:type="dxa"/>
          <w:left w:w="108" w:type="dxa"/>
          <w:bottom w:w="0" w:type="dxa"/>
          <w:right w:w="108" w:type="dxa"/>
        </w:tblCellMar>
      </w:tblPr>
      <w:tblGrid>
        <w:gridCol w:w="690"/>
        <w:gridCol w:w="1200"/>
        <w:gridCol w:w="5625"/>
        <w:gridCol w:w="1425"/>
      </w:tblGrid>
      <w:tr w14:paraId="0D6A382D">
        <w:trPr>
          <w:trHeight w:val="420" w:hRule="atLeast"/>
        </w:trPr>
        <w:tc>
          <w:tcPr>
            <w:tcW w:w="8940" w:type="dxa"/>
            <w:gridSpan w:val="4"/>
            <w:tcBorders>
              <w:top w:val="nil"/>
              <w:left w:val="nil"/>
              <w:bottom w:val="nil"/>
              <w:right w:val="nil"/>
            </w:tcBorders>
            <w:shd w:val="clear" w:color="auto" w:fill="FFFFFF"/>
            <w:noWrap w:val="0"/>
            <w:vAlign w:val="center"/>
          </w:tcPr>
          <w:p w14:paraId="47C7E9D7">
            <w:pPr>
              <w:widowControl/>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lang w:bidi="ar"/>
              </w:rPr>
              <w:t>城工集团工程文明施工分项检查处罚规定</w:t>
            </w:r>
          </w:p>
        </w:tc>
      </w:tr>
      <w:tr w14:paraId="3BCF4A3C">
        <w:tblPrEx>
          <w:tblCellMar>
            <w:top w:w="0" w:type="dxa"/>
            <w:left w:w="108" w:type="dxa"/>
            <w:bottom w:w="0" w:type="dxa"/>
            <w:right w:w="108" w:type="dxa"/>
          </w:tblCellMar>
        </w:tblPrEx>
        <w:trPr>
          <w:trHeight w:val="3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672E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序号</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32D9D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检查项目</w:t>
            </w: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85733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工地存在问题</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53DF6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处罚金额(元)</w:t>
            </w:r>
          </w:p>
        </w:tc>
      </w:tr>
      <w:tr w14:paraId="38F1D210">
        <w:tblPrEx>
          <w:tblCellMar>
            <w:top w:w="0" w:type="dxa"/>
            <w:left w:w="108" w:type="dxa"/>
            <w:bottom w:w="0" w:type="dxa"/>
            <w:right w:w="108" w:type="dxa"/>
          </w:tblCellMar>
        </w:tblPrEx>
        <w:trPr>
          <w:trHeight w:val="259"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B9B00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F363C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工人管理</w:t>
            </w: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D6953C">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·工人未穿反光衣进入施工现场的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3152EC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r>
      <w:tr w14:paraId="2560A72D">
        <w:tblPrEx>
          <w:tblCellMar>
            <w:top w:w="0" w:type="dxa"/>
            <w:left w:w="108" w:type="dxa"/>
            <w:bottom w:w="0" w:type="dxa"/>
            <w:right w:w="108" w:type="dxa"/>
          </w:tblCellMar>
        </w:tblPrEx>
        <w:trPr>
          <w:trHeight w:val="259" w:hRule="atLeast"/>
        </w:trPr>
        <w:tc>
          <w:tcPr>
            <w:tcW w:w="690" w:type="dxa"/>
            <w:vMerge w:val="continue"/>
            <w:tcBorders>
              <w:left w:val="single" w:color="000000" w:sz="4" w:space="0"/>
              <w:right w:val="single" w:color="000000" w:sz="4" w:space="0"/>
            </w:tcBorders>
            <w:shd w:val="clear" w:color="auto" w:fill="FFFFFF"/>
            <w:noWrap w:val="0"/>
            <w:vAlign w:val="center"/>
          </w:tcPr>
          <w:p w14:paraId="4241A459">
            <w:pPr>
              <w:widowControl/>
              <w:jc w:val="center"/>
              <w:textAlignment w:val="center"/>
              <w:rPr>
                <w:rFonts w:hint="eastAsia" w:ascii="宋体" w:hAnsi="宋体" w:eastAsia="宋体" w:cs="宋体"/>
                <w:color w:val="auto"/>
                <w:kern w:val="0"/>
                <w:sz w:val="20"/>
                <w:szCs w:val="20"/>
                <w:highlight w:val="none"/>
                <w:lang w:bidi="ar"/>
              </w:rPr>
            </w:pPr>
          </w:p>
        </w:tc>
        <w:tc>
          <w:tcPr>
            <w:tcW w:w="1200" w:type="dxa"/>
            <w:vMerge w:val="continue"/>
            <w:tcBorders>
              <w:left w:val="single" w:color="000000" w:sz="4" w:space="0"/>
              <w:right w:val="single" w:color="000000" w:sz="4" w:space="0"/>
            </w:tcBorders>
            <w:shd w:val="clear" w:color="auto" w:fill="FFFFFF"/>
            <w:noWrap w:val="0"/>
            <w:vAlign w:val="center"/>
          </w:tcPr>
          <w:p w14:paraId="21A1F72B">
            <w:pPr>
              <w:widowControl/>
              <w:jc w:val="center"/>
              <w:textAlignment w:val="center"/>
              <w:rPr>
                <w:rFonts w:hint="eastAsia" w:ascii="宋体" w:hAnsi="宋体" w:eastAsia="宋体" w:cs="宋体"/>
                <w:color w:val="auto"/>
                <w:kern w:val="0"/>
                <w:sz w:val="20"/>
                <w:szCs w:val="20"/>
                <w:highlight w:val="none"/>
                <w:lang w:bidi="ar"/>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70F1ED">
            <w:pPr>
              <w:widowControl/>
              <w:ind w:firstLine="200" w:firstLineChars="100"/>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·工人聚众赌博</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B79E2E6">
            <w:pPr>
              <w:widowControl/>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500</w:t>
            </w:r>
          </w:p>
        </w:tc>
      </w:tr>
      <w:tr w14:paraId="2F07E18A">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963E25">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041B32">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nil"/>
              <w:right w:val="single" w:color="000000" w:sz="4" w:space="0"/>
            </w:tcBorders>
            <w:shd w:val="clear" w:color="auto" w:fill="FFFFFF"/>
            <w:noWrap w:val="0"/>
            <w:vAlign w:val="center"/>
          </w:tcPr>
          <w:p w14:paraId="2DDB676B">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·工人在施工现场抽烟的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011424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r>
      <w:tr w14:paraId="236FB0D5">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E25BF">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D8C5EA">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nil"/>
              <w:right w:val="single" w:color="000000" w:sz="4" w:space="0"/>
            </w:tcBorders>
            <w:shd w:val="clear" w:color="auto" w:fill="FFFFFF"/>
            <w:noWrap w:val="0"/>
            <w:vAlign w:val="center"/>
          </w:tcPr>
          <w:p w14:paraId="2B750BD5">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·工人乱扔垃圾的（胶袋、饮料瓶、饭盒等）</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E0DACE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r>
      <w:tr w14:paraId="12A44154">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1CD25C">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861B95">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nil"/>
              <w:right w:val="single" w:color="000000" w:sz="4" w:space="0"/>
            </w:tcBorders>
            <w:shd w:val="clear" w:color="auto" w:fill="FFFFFF"/>
            <w:noWrap w:val="0"/>
            <w:vAlign w:val="center"/>
          </w:tcPr>
          <w:p w14:paraId="05E16DE7">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·工人在施工现场随地大小便的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3E040A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361F70F5">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FE7922">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45420D">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8DDFD">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·工人不按指定安全通道进入施工现场或作业面的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02457A1">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791A3FA2">
        <w:tblPrEx>
          <w:tblCellMar>
            <w:top w:w="0" w:type="dxa"/>
            <w:left w:w="108" w:type="dxa"/>
            <w:bottom w:w="0" w:type="dxa"/>
            <w:right w:w="108" w:type="dxa"/>
          </w:tblCellMar>
        </w:tblPrEx>
        <w:trPr>
          <w:trHeight w:val="259"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DF28E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59083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施工现场</w:t>
            </w: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83D035">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·未每天落实作业面工完场清的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B32CD1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1C377505">
        <w:tblPrEx>
          <w:tblCellMar>
            <w:top w:w="0" w:type="dxa"/>
            <w:left w:w="108" w:type="dxa"/>
            <w:bottom w:w="0" w:type="dxa"/>
            <w:right w:w="108" w:type="dxa"/>
          </w:tblCellMar>
        </w:tblPrEx>
        <w:trPr>
          <w:trHeight w:val="3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042ED2">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64AEE2">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9A1F10">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·造成道路堵塞不畅通阻碍施工的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B5A573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6903F3CA">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4CD973">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DA94EB">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FE1AA9">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·造成工地积水未及时处理的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B1B8EE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r>
      <w:tr w14:paraId="0BF60B53">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DB9946">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7F65BB">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08D25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·造成排水设施、排水不畅通的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A5285E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r>
      <w:tr w14:paraId="5E450220">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76F600">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95A731">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F49E05">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·造成泥浆、污水、废水外流的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FC96FD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2D3B5212">
        <w:tblPrEx>
          <w:tblCellMar>
            <w:top w:w="0" w:type="dxa"/>
            <w:left w:w="108" w:type="dxa"/>
            <w:bottom w:w="0" w:type="dxa"/>
            <w:right w:w="108" w:type="dxa"/>
          </w:tblCellMar>
        </w:tblPrEx>
        <w:trPr>
          <w:trHeight w:val="259"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27E8B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011A5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材料堆放</w:t>
            </w: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46641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·材料未按总包指定位置堆放的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2B3903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3AF2E255">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248976">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30E55">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8967C">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·材料堆放不整齐的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D318D0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r>
      <w:tr w14:paraId="5F1BD027">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50BCCB">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E3FDB">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A5ABF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·易燃易爆物品未分类存放的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A796A0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2EE0A129">
        <w:tblPrEx>
          <w:tblCellMar>
            <w:top w:w="0" w:type="dxa"/>
            <w:left w:w="108" w:type="dxa"/>
            <w:bottom w:w="0" w:type="dxa"/>
            <w:right w:w="108" w:type="dxa"/>
          </w:tblCellMar>
        </w:tblPrEx>
        <w:trPr>
          <w:trHeight w:val="259" w:hRule="atLeast"/>
        </w:trPr>
        <w:tc>
          <w:tcPr>
            <w:tcW w:w="690" w:type="dxa"/>
            <w:vMerge w:val="restart"/>
            <w:tcBorders>
              <w:top w:val="single" w:color="000000" w:sz="4" w:space="0"/>
              <w:left w:val="single" w:color="000000" w:sz="4" w:space="0"/>
              <w:bottom w:val="nil"/>
              <w:right w:val="single" w:color="000000" w:sz="4" w:space="0"/>
            </w:tcBorders>
            <w:shd w:val="clear" w:color="auto" w:fill="FFFFFF"/>
            <w:noWrap w:val="0"/>
            <w:vAlign w:val="center"/>
          </w:tcPr>
          <w:p w14:paraId="492AC29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2A99A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人员住宿</w:t>
            </w: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02B89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·工人使用高功率电器</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4916F41">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w:t>
            </w:r>
          </w:p>
        </w:tc>
      </w:tr>
      <w:tr w14:paraId="50EC150A">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nil"/>
              <w:right w:val="single" w:color="000000" w:sz="4" w:space="0"/>
            </w:tcBorders>
            <w:shd w:val="clear" w:color="auto" w:fill="FFFFFF"/>
            <w:noWrap w:val="0"/>
            <w:vAlign w:val="center"/>
          </w:tcPr>
          <w:p w14:paraId="47988F8F">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7FEC9">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F1231">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·工人宿舍房间脏乱差或生活垃圾未及时清理的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6F0D23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200</w:t>
            </w:r>
          </w:p>
        </w:tc>
      </w:tr>
      <w:tr w14:paraId="4B377816">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nil"/>
              <w:right w:val="single" w:color="000000" w:sz="4" w:space="0"/>
            </w:tcBorders>
            <w:shd w:val="clear" w:color="auto" w:fill="FFFFFF"/>
            <w:noWrap w:val="0"/>
            <w:vAlign w:val="center"/>
          </w:tcPr>
          <w:p w14:paraId="551F2ACC">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4BCCDE">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538009">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·宿舍生活用电乱拉乱接的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847188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5F69DD11">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nil"/>
              <w:right w:val="single" w:color="000000" w:sz="4" w:space="0"/>
            </w:tcBorders>
            <w:shd w:val="clear" w:color="auto" w:fill="FFFFFF"/>
            <w:noWrap w:val="0"/>
            <w:vAlign w:val="center"/>
          </w:tcPr>
          <w:p w14:paraId="51184DB6">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65C90C">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224D0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·工人在宿舍房间煮食的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04D91A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3866C570">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nil"/>
              <w:right w:val="single" w:color="000000" w:sz="4" w:space="0"/>
            </w:tcBorders>
            <w:shd w:val="clear" w:color="auto" w:fill="FFFFFF"/>
            <w:noWrap w:val="0"/>
            <w:vAlign w:val="center"/>
          </w:tcPr>
          <w:p w14:paraId="0BE9EF95">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74CB3E">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8DAEF3">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·工人恶意损坏生活设施的（除经济赔偿外）</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AF8E4A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1C9E05C9">
        <w:tblPrEx>
          <w:tblCellMar>
            <w:top w:w="0" w:type="dxa"/>
            <w:left w:w="108" w:type="dxa"/>
            <w:bottom w:w="0" w:type="dxa"/>
            <w:right w:w="108" w:type="dxa"/>
          </w:tblCellMar>
        </w:tblPrEx>
        <w:trPr>
          <w:trHeight w:val="259"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E0F9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1237E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防火管理</w:t>
            </w: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60ABC0">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·工人在宿舍内抽烟未妥善处理熄灭烟头的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D36A4A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r>
      <w:tr w14:paraId="4AC66565">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789E93">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D20EB1">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0B7F7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·工人离开宿舍后留下火源未熄灭的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AB4668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r>
      <w:tr w14:paraId="1F35307D">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653E81">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ADF2C6">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C85BA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·工人在宿舍内进行电动车充电的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CB804C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4A704362">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D8EDEA">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FE6918">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F99059">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·工人离开宿舍后手机充电器插头在插座上未拔的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04C87B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r>
      <w:tr w14:paraId="1736809C">
        <w:tblPrEx>
          <w:tblCellMar>
            <w:top w:w="0" w:type="dxa"/>
            <w:left w:w="108" w:type="dxa"/>
            <w:bottom w:w="0" w:type="dxa"/>
            <w:right w:w="108" w:type="dxa"/>
          </w:tblCellMar>
        </w:tblPrEx>
        <w:trPr>
          <w:trHeight w:val="259"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AEE53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6</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B2252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治安综合</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治理</w:t>
            </w: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FBB857">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·发生打架斗殴事件的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106645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284F1F3A">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A8577B">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E38097">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4E6D1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·发生盗窃事件的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FE9EED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16FD2BBD">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7F1E88">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BFE38D">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nil"/>
              <w:right w:val="single" w:color="000000" w:sz="4" w:space="0"/>
            </w:tcBorders>
            <w:shd w:val="clear" w:color="auto" w:fill="FFFFFF"/>
            <w:noWrap w:val="0"/>
            <w:vAlign w:val="center"/>
          </w:tcPr>
          <w:p w14:paraId="5B7C897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·发生噪音扰民事件的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414E48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4278E2AA">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4D860">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9F0D3">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EB9F82">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·安排非项目人员入住工人宿舍的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65C2BD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184CCC90">
        <w:tblPrEx>
          <w:tblCellMar>
            <w:top w:w="0" w:type="dxa"/>
            <w:left w:w="108" w:type="dxa"/>
            <w:bottom w:w="0" w:type="dxa"/>
            <w:right w:w="108" w:type="dxa"/>
          </w:tblCellMar>
        </w:tblPrEx>
        <w:trPr>
          <w:trHeight w:val="259"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E6D2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7</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7D83E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生活设施</w:t>
            </w:r>
          </w:p>
        </w:tc>
        <w:tc>
          <w:tcPr>
            <w:tcW w:w="0" w:type="auto"/>
            <w:tcBorders>
              <w:top w:val="nil"/>
              <w:left w:val="nil"/>
              <w:bottom w:val="single" w:color="000000" w:sz="4" w:space="0"/>
              <w:right w:val="single" w:color="000000" w:sz="4" w:space="0"/>
            </w:tcBorders>
            <w:shd w:val="clear" w:color="auto" w:fill="FFFFFF"/>
            <w:noWrap/>
            <w:vAlign w:val="bottom"/>
          </w:tcPr>
          <w:p w14:paraId="529D6141">
            <w:pPr>
              <w:widowControl/>
              <w:jc w:val="left"/>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·未经总包同意私设厨房的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265938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682510E4">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B60C32">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E07276">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23FE05">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·厨余垃圾未及时清理的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19BFE7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r>
      <w:tr w14:paraId="58443172">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118543">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F0651A">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1A70E1">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·厨房使用的炉具、气瓶、燃气管不符合消防安全要求的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54CBEB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6020A206">
        <w:tblPrEx>
          <w:tblCellMar>
            <w:top w:w="0" w:type="dxa"/>
            <w:left w:w="108" w:type="dxa"/>
            <w:bottom w:w="0" w:type="dxa"/>
            <w:right w:w="108" w:type="dxa"/>
          </w:tblCellMar>
        </w:tblPrEx>
        <w:trPr>
          <w:trHeight w:val="25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D2184D">
            <w:pPr>
              <w:jc w:val="center"/>
              <w:rPr>
                <w:rFonts w:hint="eastAsia" w:ascii="宋体" w:hAnsi="宋体" w:eastAsia="宋体" w:cs="宋体"/>
                <w:color w:val="auto"/>
                <w:sz w:val="20"/>
                <w:szCs w:val="20"/>
                <w:highlight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2F385">
            <w:pPr>
              <w:jc w:val="center"/>
              <w:rPr>
                <w:rFonts w:hint="eastAsia" w:ascii="宋体" w:hAnsi="宋体" w:eastAsia="宋体" w:cs="宋体"/>
                <w:color w:val="auto"/>
                <w:sz w:val="20"/>
                <w:szCs w:val="20"/>
                <w:highlight w:val="none"/>
              </w:rPr>
            </w:pPr>
          </w:p>
        </w:tc>
        <w:tc>
          <w:tcPr>
            <w:tcW w:w="56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811EB2">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·工人离开宿舍后未关闭空调或其它电源的</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C61A8D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r>
    </w:tbl>
    <w:p w14:paraId="5D60270E">
      <w:pPr>
        <w:rPr>
          <w:rFonts w:hint="eastAsia" w:ascii="宋体" w:hAnsi="宋体" w:eastAsia="宋体" w:cs="宋体"/>
          <w:color w:val="auto"/>
          <w:highlight w:val="none"/>
        </w:rPr>
      </w:pPr>
    </w:p>
    <w:p w14:paraId="0A1F3BDF">
      <w:pPr>
        <w:rPr>
          <w:rFonts w:hint="eastAsia" w:ascii="宋体" w:hAnsi="宋体" w:eastAsia="宋体" w:cs="宋体"/>
          <w:color w:val="auto"/>
          <w:highlight w:val="none"/>
        </w:rPr>
      </w:pPr>
    </w:p>
    <w:p w14:paraId="33F7D8F9">
      <w:pPr>
        <w:rPr>
          <w:rFonts w:hint="eastAsia" w:ascii="宋体" w:hAnsi="宋体" w:eastAsia="宋体" w:cs="宋体"/>
          <w:color w:val="auto"/>
          <w:highlight w:val="none"/>
        </w:rPr>
      </w:pPr>
    </w:p>
    <w:p w14:paraId="32B9F934">
      <w:pPr>
        <w:rPr>
          <w:rFonts w:hint="eastAsia" w:ascii="宋体" w:hAnsi="宋体" w:eastAsia="宋体" w:cs="宋体"/>
          <w:color w:val="auto"/>
          <w:highlight w:val="none"/>
        </w:rPr>
      </w:pPr>
    </w:p>
    <w:p w14:paraId="6B589489">
      <w:pPr>
        <w:rPr>
          <w:rFonts w:hint="eastAsia" w:ascii="宋体" w:hAnsi="宋体" w:eastAsia="宋体" w:cs="宋体"/>
          <w:color w:val="auto"/>
          <w:highlight w:val="none"/>
        </w:rPr>
      </w:pPr>
    </w:p>
    <w:p w14:paraId="2EA9BF96">
      <w:pPr>
        <w:rPr>
          <w:rFonts w:hint="eastAsia" w:ascii="宋体" w:hAnsi="宋体" w:eastAsia="宋体" w:cs="宋体"/>
          <w:color w:val="auto"/>
          <w:highlight w:val="none"/>
        </w:rPr>
      </w:pPr>
    </w:p>
    <w:p w14:paraId="75270694">
      <w:pPr>
        <w:rPr>
          <w:rFonts w:hint="eastAsia" w:ascii="宋体" w:hAnsi="宋体" w:eastAsia="宋体" w:cs="宋体"/>
          <w:color w:val="auto"/>
          <w:highlight w:val="none"/>
        </w:rPr>
      </w:pPr>
    </w:p>
    <w:p w14:paraId="7F37BF4F">
      <w:pPr>
        <w:rPr>
          <w:rFonts w:hint="eastAsia" w:ascii="宋体" w:hAnsi="宋体" w:eastAsia="宋体" w:cs="宋体"/>
          <w:color w:val="auto"/>
          <w:highlight w:val="none"/>
        </w:rPr>
      </w:pPr>
    </w:p>
    <w:p w14:paraId="34F90502">
      <w:pPr>
        <w:rPr>
          <w:rFonts w:hint="eastAsia" w:ascii="宋体" w:hAnsi="宋体" w:eastAsia="宋体" w:cs="宋体"/>
          <w:color w:val="auto"/>
          <w:highlight w:val="none"/>
        </w:rPr>
      </w:pPr>
    </w:p>
    <w:tbl>
      <w:tblPr>
        <w:tblStyle w:val="9"/>
        <w:tblW w:w="5184" w:type="pct"/>
        <w:tblInd w:w="-316" w:type="dxa"/>
        <w:tblLayout w:type="autofit"/>
        <w:tblCellMar>
          <w:top w:w="0" w:type="dxa"/>
          <w:left w:w="108" w:type="dxa"/>
          <w:bottom w:w="0" w:type="dxa"/>
          <w:right w:w="108" w:type="dxa"/>
        </w:tblCellMar>
      </w:tblPr>
      <w:tblGrid>
        <w:gridCol w:w="599"/>
        <w:gridCol w:w="127"/>
        <w:gridCol w:w="1016"/>
        <w:gridCol w:w="164"/>
        <w:gridCol w:w="11"/>
        <w:gridCol w:w="2753"/>
        <w:gridCol w:w="2562"/>
        <w:gridCol w:w="62"/>
        <w:gridCol w:w="127"/>
        <w:gridCol w:w="293"/>
        <w:gridCol w:w="164"/>
        <w:gridCol w:w="251"/>
        <w:gridCol w:w="207"/>
        <w:gridCol w:w="500"/>
      </w:tblGrid>
      <w:tr w14:paraId="1778D017">
        <w:tblPrEx>
          <w:tblCellMar>
            <w:top w:w="0" w:type="dxa"/>
            <w:left w:w="108" w:type="dxa"/>
            <w:bottom w:w="0" w:type="dxa"/>
            <w:right w:w="108" w:type="dxa"/>
          </w:tblCellMar>
        </w:tblPrEx>
        <w:trPr>
          <w:trHeight w:val="360" w:hRule="atLeast"/>
        </w:trPr>
        <w:tc>
          <w:tcPr>
            <w:tcW w:w="5000" w:type="pct"/>
            <w:gridSpan w:val="14"/>
            <w:tcBorders>
              <w:top w:val="nil"/>
              <w:left w:val="nil"/>
              <w:bottom w:val="nil"/>
              <w:right w:val="nil"/>
            </w:tcBorders>
            <w:shd w:val="clear" w:color="auto" w:fill="FFFFFF"/>
            <w:noWrap w:val="0"/>
            <w:vAlign w:val="center"/>
          </w:tcPr>
          <w:p w14:paraId="46AA7BE1">
            <w:pPr>
              <w:widowControl/>
              <w:jc w:val="center"/>
              <w:textAlignment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0"/>
                <w:sz w:val="28"/>
                <w:szCs w:val="28"/>
                <w:highlight w:val="none"/>
                <w:lang w:bidi="ar"/>
              </w:rPr>
              <w:t>城工集团施工机具检查处罚规定</w:t>
            </w:r>
          </w:p>
        </w:tc>
      </w:tr>
      <w:tr w14:paraId="438AA9B3">
        <w:tblPrEx>
          <w:tblCellMar>
            <w:top w:w="0" w:type="dxa"/>
            <w:left w:w="108" w:type="dxa"/>
            <w:bottom w:w="0" w:type="dxa"/>
            <w:right w:w="108" w:type="dxa"/>
          </w:tblCellMar>
        </w:tblPrEx>
        <w:trPr>
          <w:trHeight w:val="555" w:hRule="atLeast"/>
        </w:trPr>
        <w:tc>
          <w:tcPr>
            <w:tcW w:w="33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9C37A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序</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号</w:t>
            </w:r>
          </w:p>
        </w:tc>
        <w:tc>
          <w:tcPr>
            <w:tcW w:w="74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D65B0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检查项目</w:t>
            </w:r>
          </w:p>
        </w:tc>
        <w:tc>
          <w:tcPr>
            <w:tcW w:w="1558" w:type="pct"/>
            <w:tcBorders>
              <w:top w:val="single" w:color="000000" w:sz="4" w:space="0"/>
              <w:left w:val="single" w:color="000000" w:sz="4" w:space="0"/>
              <w:bottom w:val="single" w:color="000000" w:sz="4" w:space="0"/>
              <w:right w:val="nil"/>
            </w:tcBorders>
            <w:shd w:val="clear" w:color="auto" w:fill="FFFFFF"/>
            <w:noWrap w:val="0"/>
            <w:vAlign w:val="center"/>
          </w:tcPr>
          <w:p w14:paraId="45451DC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工地存在问题</w:t>
            </w:r>
          </w:p>
        </w:tc>
        <w:tc>
          <w:tcPr>
            <w:tcW w:w="1556" w:type="pct"/>
            <w:gridSpan w:val="3"/>
            <w:tcBorders>
              <w:top w:val="single" w:color="000000" w:sz="4" w:space="0"/>
              <w:left w:val="nil"/>
              <w:bottom w:val="single" w:color="000000" w:sz="4" w:space="0"/>
              <w:right w:val="nil"/>
            </w:tcBorders>
            <w:shd w:val="clear" w:color="auto" w:fill="FFFFFF"/>
            <w:noWrap w:val="0"/>
            <w:vAlign w:val="center"/>
          </w:tcPr>
          <w:p w14:paraId="099F14D1">
            <w:pPr>
              <w:rPr>
                <w:rFonts w:hint="eastAsia" w:ascii="宋体" w:hAnsi="宋体" w:eastAsia="宋体" w:cs="宋体"/>
                <w:color w:val="auto"/>
                <w:sz w:val="20"/>
                <w:szCs w:val="20"/>
                <w:highlight w:val="none"/>
              </w:rPr>
            </w:pPr>
          </w:p>
        </w:tc>
        <w:tc>
          <w:tcPr>
            <w:tcW w:w="518"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F7677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处罚金额 </w:t>
            </w:r>
          </w:p>
        </w:tc>
        <w:tc>
          <w:tcPr>
            <w:tcW w:w="281" w:type="pct"/>
            <w:tcBorders>
              <w:top w:val="nil"/>
              <w:left w:val="nil"/>
              <w:bottom w:val="nil"/>
              <w:right w:val="nil"/>
            </w:tcBorders>
            <w:noWrap/>
            <w:vAlign w:val="bottom"/>
          </w:tcPr>
          <w:p w14:paraId="79CC3294">
            <w:pPr>
              <w:rPr>
                <w:rFonts w:hint="eastAsia" w:ascii="宋体" w:hAnsi="宋体" w:eastAsia="宋体" w:cs="宋体"/>
                <w:color w:val="auto"/>
                <w:sz w:val="20"/>
                <w:szCs w:val="20"/>
                <w:highlight w:val="none"/>
              </w:rPr>
            </w:pPr>
          </w:p>
        </w:tc>
      </w:tr>
      <w:tr w14:paraId="6AFD0120">
        <w:tblPrEx>
          <w:tblCellMar>
            <w:top w:w="0" w:type="dxa"/>
            <w:left w:w="108" w:type="dxa"/>
            <w:bottom w:w="0" w:type="dxa"/>
            <w:right w:w="108" w:type="dxa"/>
          </w:tblCellMar>
        </w:tblPrEx>
        <w:trPr>
          <w:trHeight w:val="24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B1EE2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w:t>
            </w:r>
          </w:p>
        </w:tc>
        <w:tc>
          <w:tcPr>
            <w:tcW w:w="745" w:type="pct"/>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1EA4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平刨</w:t>
            </w: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A1692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·平刨安装后未经总包验收合格擅自使用的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73602BA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81" w:type="pct"/>
            <w:tcBorders>
              <w:top w:val="nil"/>
              <w:left w:val="nil"/>
              <w:bottom w:val="nil"/>
              <w:right w:val="nil"/>
            </w:tcBorders>
            <w:noWrap/>
            <w:vAlign w:val="bottom"/>
          </w:tcPr>
          <w:p w14:paraId="79D3A7B5">
            <w:pPr>
              <w:rPr>
                <w:rFonts w:hint="eastAsia" w:ascii="宋体" w:hAnsi="宋体" w:eastAsia="宋体" w:cs="宋体"/>
                <w:color w:val="auto"/>
                <w:sz w:val="20"/>
                <w:szCs w:val="20"/>
                <w:highlight w:val="none"/>
              </w:rPr>
            </w:pPr>
          </w:p>
        </w:tc>
      </w:tr>
      <w:tr w14:paraId="4C43B15B">
        <w:tblPrEx>
          <w:tblCellMar>
            <w:top w:w="0" w:type="dxa"/>
            <w:left w:w="108" w:type="dxa"/>
            <w:bottom w:w="0" w:type="dxa"/>
            <w:right w:w="108" w:type="dxa"/>
          </w:tblCellMar>
        </w:tblPrEx>
        <w:trPr>
          <w:trHeight w:val="22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816A75">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C3BF7A">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9CB77C">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·无护手安全装置</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2E4E8B9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CEB7BD1">
            <w:pPr>
              <w:rPr>
                <w:rFonts w:hint="eastAsia" w:ascii="宋体" w:hAnsi="宋体" w:eastAsia="宋体" w:cs="宋体"/>
                <w:color w:val="auto"/>
                <w:sz w:val="20"/>
                <w:szCs w:val="20"/>
                <w:highlight w:val="none"/>
              </w:rPr>
            </w:pPr>
          </w:p>
        </w:tc>
      </w:tr>
      <w:tr w14:paraId="0B25357D">
        <w:tblPrEx>
          <w:tblCellMar>
            <w:top w:w="0" w:type="dxa"/>
            <w:left w:w="108" w:type="dxa"/>
            <w:bottom w:w="0" w:type="dxa"/>
            <w:right w:w="108" w:type="dxa"/>
          </w:tblCellMar>
        </w:tblPrEx>
        <w:trPr>
          <w:trHeight w:val="22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DB5F25">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77D1DB">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3FC04A">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·传动部位无防护罩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3B4B0DD1">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476420A0">
            <w:pPr>
              <w:rPr>
                <w:rFonts w:hint="eastAsia" w:ascii="宋体" w:hAnsi="宋体" w:eastAsia="宋体" w:cs="宋体"/>
                <w:color w:val="auto"/>
                <w:sz w:val="20"/>
                <w:szCs w:val="20"/>
                <w:highlight w:val="none"/>
              </w:rPr>
            </w:pPr>
          </w:p>
        </w:tc>
      </w:tr>
      <w:tr w14:paraId="254B2959">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D4161">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3BA119">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9F71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·未作保护接零、无漏电保护器的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0A4AB6B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1A27F88">
            <w:pPr>
              <w:rPr>
                <w:rFonts w:hint="eastAsia" w:ascii="宋体" w:hAnsi="宋体" w:eastAsia="宋体" w:cs="宋体"/>
                <w:color w:val="auto"/>
                <w:sz w:val="20"/>
                <w:szCs w:val="20"/>
                <w:highlight w:val="none"/>
              </w:rPr>
            </w:pPr>
          </w:p>
        </w:tc>
      </w:tr>
      <w:tr w14:paraId="1E4D84DE">
        <w:tblPrEx>
          <w:tblCellMar>
            <w:top w:w="0" w:type="dxa"/>
            <w:left w:w="108" w:type="dxa"/>
            <w:bottom w:w="0" w:type="dxa"/>
            <w:right w:w="108" w:type="dxa"/>
          </w:tblCellMar>
        </w:tblPrEx>
        <w:trPr>
          <w:trHeight w:val="26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15CC1E">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E90D02">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734BB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·无人操作时未切断电源的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37C51DC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C39EE43">
            <w:pPr>
              <w:rPr>
                <w:rFonts w:hint="eastAsia" w:ascii="宋体" w:hAnsi="宋体" w:eastAsia="宋体" w:cs="宋体"/>
                <w:color w:val="auto"/>
                <w:sz w:val="20"/>
                <w:szCs w:val="20"/>
                <w:highlight w:val="none"/>
              </w:rPr>
            </w:pPr>
          </w:p>
        </w:tc>
      </w:tr>
      <w:tr w14:paraId="100EFEE0">
        <w:tblPrEx>
          <w:tblCellMar>
            <w:top w:w="0" w:type="dxa"/>
            <w:left w:w="108" w:type="dxa"/>
            <w:bottom w:w="0" w:type="dxa"/>
            <w:right w:w="108" w:type="dxa"/>
          </w:tblCellMar>
        </w:tblPrEx>
        <w:trPr>
          <w:trHeight w:val="43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AC8B38">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ED4946">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00AB8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·使用平刨和圆盘锯合用一台电机的多功能木工机具的，平刨和圆盘锯两项</w:t>
            </w:r>
          </w:p>
        </w:tc>
        <w:tc>
          <w:tcPr>
            <w:tcW w:w="518" w:type="pct"/>
            <w:gridSpan w:val="4"/>
            <w:tcBorders>
              <w:top w:val="nil"/>
              <w:left w:val="single" w:color="000000" w:sz="4" w:space="0"/>
              <w:bottom w:val="single" w:color="000000" w:sz="4" w:space="0"/>
              <w:right w:val="single" w:color="000000" w:sz="4" w:space="0"/>
            </w:tcBorders>
            <w:noWrap w:val="0"/>
            <w:vAlign w:val="center"/>
          </w:tcPr>
          <w:p w14:paraId="75812DF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7270B4F6">
            <w:pPr>
              <w:rPr>
                <w:rFonts w:hint="eastAsia" w:ascii="宋体" w:hAnsi="宋体" w:eastAsia="宋体" w:cs="宋体"/>
                <w:color w:val="auto"/>
                <w:sz w:val="20"/>
                <w:szCs w:val="20"/>
                <w:highlight w:val="none"/>
              </w:rPr>
            </w:pPr>
          </w:p>
        </w:tc>
      </w:tr>
      <w:tr w14:paraId="5002F29D">
        <w:tblPrEx>
          <w:tblCellMar>
            <w:top w:w="0" w:type="dxa"/>
            <w:left w:w="108" w:type="dxa"/>
            <w:bottom w:w="0" w:type="dxa"/>
            <w:right w:w="108" w:type="dxa"/>
          </w:tblCellMar>
        </w:tblPrEx>
        <w:trPr>
          <w:trHeight w:val="255"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89C4B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w:t>
            </w:r>
          </w:p>
        </w:tc>
        <w:tc>
          <w:tcPr>
            <w:tcW w:w="745" w:type="pct"/>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96711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圆盘锯</w:t>
            </w: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952DF1F">
            <w:pPr>
              <w:widowControl/>
              <w:jc w:val="left"/>
              <w:textAlignment w:val="top"/>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·电锯安装后未经总包验收合格擅自使用的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66A9DB1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81" w:type="pct"/>
            <w:tcBorders>
              <w:top w:val="nil"/>
              <w:left w:val="nil"/>
              <w:bottom w:val="nil"/>
              <w:right w:val="nil"/>
            </w:tcBorders>
            <w:noWrap/>
            <w:vAlign w:val="bottom"/>
          </w:tcPr>
          <w:p w14:paraId="7DEC642C">
            <w:pPr>
              <w:rPr>
                <w:rFonts w:hint="eastAsia" w:ascii="宋体" w:hAnsi="宋体" w:eastAsia="宋体" w:cs="宋体"/>
                <w:color w:val="auto"/>
                <w:sz w:val="20"/>
                <w:szCs w:val="20"/>
                <w:highlight w:val="none"/>
              </w:rPr>
            </w:pPr>
          </w:p>
        </w:tc>
      </w:tr>
      <w:tr w14:paraId="1ED1FC5C">
        <w:tblPrEx>
          <w:tblCellMar>
            <w:top w:w="0" w:type="dxa"/>
            <w:left w:w="108" w:type="dxa"/>
            <w:bottom w:w="0" w:type="dxa"/>
            <w:right w:w="108" w:type="dxa"/>
          </w:tblCellMar>
        </w:tblPrEx>
        <w:trPr>
          <w:trHeight w:val="43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0AF741">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F72F7C">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0DF117">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·无锯盘护罩、分料器、防护挡板安全装置和传动部位无防护,·每缺一项的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680B8B8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35F74248">
            <w:pPr>
              <w:rPr>
                <w:rFonts w:hint="eastAsia" w:ascii="宋体" w:hAnsi="宋体" w:eastAsia="宋体" w:cs="宋体"/>
                <w:color w:val="auto"/>
                <w:sz w:val="20"/>
                <w:szCs w:val="20"/>
                <w:highlight w:val="none"/>
              </w:rPr>
            </w:pPr>
          </w:p>
        </w:tc>
      </w:tr>
      <w:tr w14:paraId="008AAA9D">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5382E1">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BBA3C3">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5B51D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·未作保护接零、无漏电保护器的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1D3EFE6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6385C545">
            <w:pPr>
              <w:rPr>
                <w:rFonts w:hint="eastAsia" w:ascii="宋体" w:hAnsi="宋体" w:eastAsia="宋体" w:cs="宋体"/>
                <w:color w:val="auto"/>
                <w:sz w:val="20"/>
                <w:szCs w:val="20"/>
                <w:highlight w:val="none"/>
              </w:rPr>
            </w:pPr>
          </w:p>
        </w:tc>
      </w:tr>
      <w:tr w14:paraId="48ED2971">
        <w:tblPrEx>
          <w:tblCellMar>
            <w:top w:w="0" w:type="dxa"/>
            <w:left w:w="108" w:type="dxa"/>
            <w:bottom w:w="0" w:type="dxa"/>
            <w:right w:w="108" w:type="dxa"/>
          </w:tblCellMar>
        </w:tblPrEx>
        <w:trPr>
          <w:trHeight w:val="25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35BF8C">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E344C9">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BE26E1">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·无人操作时未切断电源的</w:t>
            </w:r>
          </w:p>
        </w:tc>
        <w:tc>
          <w:tcPr>
            <w:tcW w:w="518" w:type="pct"/>
            <w:gridSpan w:val="4"/>
            <w:tcBorders>
              <w:top w:val="nil"/>
              <w:left w:val="single" w:color="000000" w:sz="4" w:space="0"/>
              <w:bottom w:val="single" w:color="000000" w:sz="4" w:space="0"/>
              <w:right w:val="single" w:color="000000" w:sz="4" w:space="0"/>
            </w:tcBorders>
            <w:noWrap w:val="0"/>
            <w:vAlign w:val="center"/>
          </w:tcPr>
          <w:p w14:paraId="6024748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32F61B3B">
            <w:pPr>
              <w:rPr>
                <w:rFonts w:hint="eastAsia" w:ascii="宋体" w:hAnsi="宋体" w:eastAsia="宋体" w:cs="宋体"/>
                <w:color w:val="auto"/>
                <w:sz w:val="20"/>
                <w:szCs w:val="20"/>
                <w:highlight w:val="none"/>
              </w:rPr>
            </w:pPr>
          </w:p>
        </w:tc>
      </w:tr>
      <w:tr w14:paraId="16D015B3">
        <w:tblPrEx>
          <w:tblCellMar>
            <w:top w:w="0" w:type="dxa"/>
            <w:left w:w="108" w:type="dxa"/>
            <w:bottom w:w="0" w:type="dxa"/>
            <w:right w:w="108" w:type="dxa"/>
          </w:tblCellMar>
        </w:tblPrEx>
        <w:trPr>
          <w:trHeight w:val="30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B3543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w:t>
            </w:r>
          </w:p>
        </w:tc>
        <w:tc>
          <w:tcPr>
            <w:tcW w:w="745" w:type="pct"/>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6E64E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手持电动工具</w:t>
            </w: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8B9A09">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·I类手持电动工具无保护接零的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309A828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0D66CB42">
            <w:pPr>
              <w:rPr>
                <w:rFonts w:hint="eastAsia" w:ascii="宋体" w:hAnsi="宋体" w:eastAsia="宋体" w:cs="宋体"/>
                <w:color w:val="auto"/>
                <w:sz w:val="20"/>
                <w:szCs w:val="20"/>
                <w:highlight w:val="none"/>
              </w:rPr>
            </w:pPr>
          </w:p>
        </w:tc>
      </w:tr>
      <w:tr w14:paraId="4488D84A">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1DC702">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BFC846">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A923B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·使用I类手持电动工具不按规定穿戴绝缘用品的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5A113FF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24E51A0B">
            <w:pPr>
              <w:rPr>
                <w:rFonts w:hint="eastAsia" w:ascii="宋体" w:hAnsi="宋体" w:eastAsia="宋体" w:cs="宋体"/>
                <w:color w:val="auto"/>
                <w:sz w:val="20"/>
                <w:szCs w:val="20"/>
                <w:highlight w:val="none"/>
              </w:rPr>
            </w:pPr>
          </w:p>
        </w:tc>
      </w:tr>
      <w:tr w14:paraId="077895B4">
        <w:tblPrEx>
          <w:tblCellMar>
            <w:top w:w="0" w:type="dxa"/>
            <w:left w:w="108" w:type="dxa"/>
            <w:bottom w:w="0" w:type="dxa"/>
            <w:right w:w="108" w:type="dxa"/>
          </w:tblCellMar>
        </w:tblPrEx>
        <w:trPr>
          <w:trHeight w:val="31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8147B4">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98A080">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02585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·使用手持电动工具随意接长电源线或更换插头的 </w:t>
            </w:r>
          </w:p>
        </w:tc>
        <w:tc>
          <w:tcPr>
            <w:tcW w:w="518" w:type="pct"/>
            <w:gridSpan w:val="4"/>
            <w:tcBorders>
              <w:top w:val="nil"/>
              <w:left w:val="single" w:color="000000" w:sz="4" w:space="0"/>
              <w:bottom w:val="single" w:color="000000" w:sz="4" w:space="0"/>
              <w:right w:val="single" w:color="000000" w:sz="4" w:space="0"/>
            </w:tcBorders>
            <w:noWrap w:val="0"/>
            <w:vAlign w:val="center"/>
          </w:tcPr>
          <w:p w14:paraId="0006F99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29604E26">
            <w:pPr>
              <w:rPr>
                <w:rFonts w:hint="eastAsia" w:ascii="宋体" w:hAnsi="宋体" w:eastAsia="宋体" w:cs="宋体"/>
                <w:color w:val="auto"/>
                <w:sz w:val="20"/>
                <w:szCs w:val="20"/>
                <w:highlight w:val="none"/>
              </w:rPr>
            </w:pPr>
          </w:p>
        </w:tc>
      </w:tr>
      <w:tr w14:paraId="50337AE6">
        <w:tblPrEx>
          <w:tblCellMar>
            <w:top w:w="0" w:type="dxa"/>
            <w:left w:w="108" w:type="dxa"/>
            <w:bottom w:w="0" w:type="dxa"/>
            <w:right w:w="108" w:type="dxa"/>
          </w:tblCellMar>
        </w:tblPrEx>
        <w:trPr>
          <w:trHeight w:val="255"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C014C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w:t>
            </w:r>
          </w:p>
        </w:tc>
        <w:tc>
          <w:tcPr>
            <w:tcW w:w="745" w:type="pct"/>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9E1AA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钢筋机械</w:t>
            </w: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423577">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·机械安装后未经总包验收合格擅自使用的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007EB8F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81" w:type="pct"/>
            <w:tcBorders>
              <w:top w:val="nil"/>
              <w:left w:val="nil"/>
              <w:bottom w:val="nil"/>
              <w:right w:val="nil"/>
            </w:tcBorders>
            <w:noWrap/>
            <w:vAlign w:val="bottom"/>
          </w:tcPr>
          <w:p w14:paraId="303DD533">
            <w:pPr>
              <w:rPr>
                <w:rFonts w:hint="eastAsia" w:ascii="宋体" w:hAnsi="宋体" w:eastAsia="宋体" w:cs="宋体"/>
                <w:color w:val="auto"/>
                <w:sz w:val="20"/>
                <w:szCs w:val="20"/>
                <w:highlight w:val="none"/>
              </w:rPr>
            </w:pPr>
          </w:p>
        </w:tc>
      </w:tr>
      <w:tr w14:paraId="30E63A90">
        <w:tblPrEx>
          <w:tblCellMar>
            <w:top w:w="0" w:type="dxa"/>
            <w:left w:w="108" w:type="dxa"/>
            <w:bottom w:w="0" w:type="dxa"/>
            <w:right w:w="108" w:type="dxa"/>
          </w:tblCellMar>
        </w:tblPrEx>
        <w:trPr>
          <w:trHeight w:val="22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8DEF7E">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77C68A">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E8DBF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·未做保护接零、无漏电保护器的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7BF284C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75FF8BF">
            <w:pPr>
              <w:rPr>
                <w:rFonts w:hint="eastAsia" w:ascii="宋体" w:hAnsi="宋体" w:eastAsia="宋体" w:cs="宋体"/>
                <w:color w:val="auto"/>
                <w:sz w:val="20"/>
                <w:szCs w:val="20"/>
                <w:highlight w:val="none"/>
              </w:rPr>
            </w:pPr>
          </w:p>
        </w:tc>
      </w:tr>
      <w:tr w14:paraId="6224098B">
        <w:tblPrEx>
          <w:tblCellMar>
            <w:top w:w="0" w:type="dxa"/>
            <w:left w:w="108" w:type="dxa"/>
            <w:bottom w:w="0" w:type="dxa"/>
            <w:right w:w="108" w:type="dxa"/>
          </w:tblCellMar>
        </w:tblPrEx>
        <w:trPr>
          <w:trHeight w:val="19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61FF4B">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5E1BD">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4B6B91">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·钢筋冷拉作业区及对焊作业区无防护措施的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111A203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34411691">
            <w:pPr>
              <w:rPr>
                <w:rFonts w:hint="eastAsia" w:ascii="宋体" w:hAnsi="宋体" w:eastAsia="宋体" w:cs="宋体"/>
                <w:color w:val="auto"/>
                <w:sz w:val="20"/>
                <w:szCs w:val="20"/>
                <w:highlight w:val="none"/>
              </w:rPr>
            </w:pPr>
          </w:p>
        </w:tc>
      </w:tr>
      <w:tr w14:paraId="36D1B6CD">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8EB68">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7443A5">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AD775D">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·传动部位无防护的 </w:t>
            </w:r>
          </w:p>
        </w:tc>
        <w:tc>
          <w:tcPr>
            <w:tcW w:w="518" w:type="pct"/>
            <w:gridSpan w:val="4"/>
            <w:tcBorders>
              <w:top w:val="nil"/>
              <w:left w:val="single" w:color="000000" w:sz="4" w:space="0"/>
              <w:bottom w:val="single" w:color="000000" w:sz="4" w:space="0"/>
              <w:right w:val="single" w:color="000000" w:sz="4" w:space="0"/>
            </w:tcBorders>
            <w:noWrap w:val="0"/>
            <w:vAlign w:val="center"/>
          </w:tcPr>
          <w:p w14:paraId="1FFAFAC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A4904A0">
            <w:pPr>
              <w:rPr>
                <w:rFonts w:hint="eastAsia" w:ascii="宋体" w:hAnsi="宋体" w:eastAsia="宋体" w:cs="宋体"/>
                <w:color w:val="auto"/>
                <w:sz w:val="20"/>
                <w:szCs w:val="20"/>
                <w:highlight w:val="none"/>
              </w:rPr>
            </w:pPr>
          </w:p>
        </w:tc>
      </w:tr>
      <w:tr w14:paraId="0727EA2A">
        <w:tblPrEx>
          <w:tblCellMar>
            <w:top w:w="0" w:type="dxa"/>
            <w:left w:w="108" w:type="dxa"/>
            <w:bottom w:w="0" w:type="dxa"/>
            <w:right w:w="108" w:type="dxa"/>
          </w:tblCellMar>
        </w:tblPrEx>
        <w:trPr>
          <w:trHeight w:val="34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0EB98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w:t>
            </w:r>
          </w:p>
        </w:tc>
        <w:tc>
          <w:tcPr>
            <w:tcW w:w="745" w:type="pct"/>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C064E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电焊机</w:t>
            </w: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6AACA1">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·电焊机安装后未经总包验收合格擅自使用的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347E284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81" w:type="pct"/>
            <w:tcBorders>
              <w:top w:val="nil"/>
              <w:left w:val="nil"/>
              <w:bottom w:val="nil"/>
              <w:right w:val="nil"/>
            </w:tcBorders>
            <w:noWrap/>
            <w:vAlign w:val="bottom"/>
          </w:tcPr>
          <w:p w14:paraId="68BA10AB">
            <w:pPr>
              <w:rPr>
                <w:rFonts w:hint="eastAsia" w:ascii="宋体" w:hAnsi="宋体" w:eastAsia="宋体" w:cs="宋体"/>
                <w:color w:val="auto"/>
                <w:sz w:val="20"/>
                <w:szCs w:val="20"/>
                <w:highlight w:val="none"/>
              </w:rPr>
            </w:pPr>
          </w:p>
        </w:tc>
      </w:tr>
      <w:tr w14:paraId="7A7BF7CB">
        <w:tblPrEx>
          <w:tblCellMar>
            <w:top w:w="0" w:type="dxa"/>
            <w:left w:w="108" w:type="dxa"/>
            <w:bottom w:w="0" w:type="dxa"/>
            <w:right w:w="108" w:type="dxa"/>
          </w:tblCellMar>
        </w:tblPrEx>
        <w:trPr>
          <w:trHeight w:val="25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EB57E3">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270C5E">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970FD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·未做保护接零、无漏电保护器的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3908E72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01AE27F2">
            <w:pPr>
              <w:rPr>
                <w:rFonts w:hint="eastAsia" w:ascii="宋体" w:hAnsi="宋体" w:eastAsia="宋体" w:cs="宋体"/>
                <w:color w:val="auto"/>
                <w:sz w:val="20"/>
                <w:szCs w:val="20"/>
                <w:highlight w:val="none"/>
              </w:rPr>
            </w:pPr>
          </w:p>
        </w:tc>
      </w:tr>
      <w:tr w14:paraId="1E22ADAB">
        <w:tblPrEx>
          <w:tblCellMar>
            <w:top w:w="0" w:type="dxa"/>
            <w:left w:w="108" w:type="dxa"/>
            <w:bottom w:w="0" w:type="dxa"/>
            <w:right w:w="108" w:type="dxa"/>
          </w:tblCellMar>
        </w:tblPrEx>
        <w:trPr>
          <w:trHeight w:val="33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C96D98">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A0CCA">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CEA7A5">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·无二次空载降压保护器或无触电保护器的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381E2BF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024B65FA">
            <w:pPr>
              <w:rPr>
                <w:rFonts w:hint="eastAsia" w:ascii="宋体" w:hAnsi="宋体" w:eastAsia="宋体" w:cs="宋体"/>
                <w:color w:val="auto"/>
                <w:sz w:val="20"/>
                <w:szCs w:val="20"/>
                <w:highlight w:val="none"/>
              </w:rPr>
            </w:pPr>
          </w:p>
        </w:tc>
      </w:tr>
      <w:tr w14:paraId="74443617">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9B7DCE">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EA2109">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94769B">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·一次线长度超过规定或不穿管保护的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343A674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4271E047">
            <w:pPr>
              <w:rPr>
                <w:rFonts w:hint="eastAsia" w:ascii="宋体" w:hAnsi="宋体" w:eastAsia="宋体" w:cs="宋体"/>
                <w:color w:val="auto"/>
                <w:sz w:val="20"/>
                <w:szCs w:val="20"/>
                <w:highlight w:val="none"/>
              </w:rPr>
            </w:pPr>
          </w:p>
        </w:tc>
      </w:tr>
      <w:tr w14:paraId="276FB437">
        <w:tblPrEx>
          <w:tblCellMar>
            <w:top w:w="0" w:type="dxa"/>
            <w:left w:w="108" w:type="dxa"/>
            <w:bottom w:w="0" w:type="dxa"/>
            <w:right w:w="108" w:type="dxa"/>
          </w:tblCellMar>
        </w:tblPrEx>
        <w:trPr>
          <w:trHeight w:val="22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CA4B75">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B17551">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CD72C3">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·电源不使用自动开关的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358E1A1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6F479D7">
            <w:pPr>
              <w:rPr>
                <w:rFonts w:hint="eastAsia" w:ascii="宋体" w:hAnsi="宋体" w:eastAsia="宋体" w:cs="宋体"/>
                <w:color w:val="auto"/>
                <w:sz w:val="20"/>
                <w:szCs w:val="20"/>
                <w:highlight w:val="none"/>
              </w:rPr>
            </w:pPr>
          </w:p>
        </w:tc>
      </w:tr>
      <w:tr w14:paraId="77CB1DCD">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1D217F">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FEBF52">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C9755">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·焊把线接头超过2处或绝缘老化的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689AA66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24CE5DF1">
            <w:pPr>
              <w:rPr>
                <w:rFonts w:hint="eastAsia" w:ascii="宋体" w:hAnsi="宋体" w:eastAsia="宋体" w:cs="宋体"/>
                <w:color w:val="auto"/>
                <w:sz w:val="20"/>
                <w:szCs w:val="20"/>
                <w:highlight w:val="none"/>
              </w:rPr>
            </w:pPr>
          </w:p>
        </w:tc>
      </w:tr>
      <w:tr w14:paraId="1840E8F7">
        <w:tblPrEx>
          <w:tblCellMar>
            <w:top w:w="0" w:type="dxa"/>
            <w:left w:w="108" w:type="dxa"/>
            <w:bottom w:w="0" w:type="dxa"/>
            <w:right w:w="108" w:type="dxa"/>
          </w:tblCellMar>
        </w:tblPrEx>
        <w:trPr>
          <w:trHeight w:val="21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653B55">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D6F537">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CC626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·电焊机无防雨罩的</w:t>
            </w:r>
          </w:p>
        </w:tc>
        <w:tc>
          <w:tcPr>
            <w:tcW w:w="518" w:type="pct"/>
            <w:gridSpan w:val="4"/>
            <w:tcBorders>
              <w:top w:val="nil"/>
              <w:left w:val="single" w:color="000000" w:sz="4" w:space="0"/>
              <w:bottom w:val="single" w:color="000000" w:sz="4" w:space="0"/>
              <w:right w:val="single" w:color="000000" w:sz="4" w:space="0"/>
            </w:tcBorders>
            <w:noWrap w:val="0"/>
            <w:vAlign w:val="center"/>
          </w:tcPr>
          <w:p w14:paraId="61F7E4E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1B51E98">
            <w:pPr>
              <w:rPr>
                <w:rFonts w:hint="eastAsia" w:ascii="宋体" w:hAnsi="宋体" w:eastAsia="宋体" w:cs="宋体"/>
                <w:color w:val="auto"/>
                <w:sz w:val="20"/>
                <w:szCs w:val="20"/>
                <w:highlight w:val="none"/>
              </w:rPr>
            </w:pPr>
          </w:p>
        </w:tc>
      </w:tr>
      <w:tr w14:paraId="45699519">
        <w:tblPrEx>
          <w:tblCellMar>
            <w:top w:w="0" w:type="dxa"/>
            <w:left w:w="108" w:type="dxa"/>
            <w:bottom w:w="0" w:type="dxa"/>
            <w:right w:w="108" w:type="dxa"/>
          </w:tblCellMar>
        </w:tblPrEx>
        <w:trPr>
          <w:trHeight w:val="345"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09C6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6</w:t>
            </w:r>
          </w:p>
        </w:tc>
        <w:tc>
          <w:tcPr>
            <w:tcW w:w="745" w:type="pct"/>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83287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搅拌机</w:t>
            </w: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B0FB7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·搅拌机安装后未经总包验收合格擅自使用的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1C1A2D1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81" w:type="pct"/>
            <w:tcBorders>
              <w:top w:val="nil"/>
              <w:left w:val="nil"/>
              <w:bottom w:val="nil"/>
              <w:right w:val="nil"/>
            </w:tcBorders>
            <w:noWrap/>
            <w:vAlign w:val="bottom"/>
          </w:tcPr>
          <w:p w14:paraId="15EC198D">
            <w:pPr>
              <w:rPr>
                <w:rFonts w:hint="eastAsia" w:ascii="宋体" w:hAnsi="宋体" w:eastAsia="宋体" w:cs="宋体"/>
                <w:color w:val="auto"/>
                <w:sz w:val="20"/>
                <w:szCs w:val="20"/>
                <w:highlight w:val="none"/>
              </w:rPr>
            </w:pPr>
          </w:p>
        </w:tc>
      </w:tr>
      <w:tr w14:paraId="0F4D15C7">
        <w:tblPrEx>
          <w:tblCellMar>
            <w:top w:w="0" w:type="dxa"/>
            <w:left w:w="108" w:type="dxa"/>
            <w:bottom w:w="0" w:type="dxa"/>
            <w:right w:w="108" w:type="dxa"/>
          </w:tblCellMar>
        </w:tblPrEx>
        <w:trPr>
          <w:trHeight w:val="34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CBA4CF">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1CCA33">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D6D9F0">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·未做保护接零、无漏电保护器的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5059DFB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407384A0">
            <w:pPr>
              <w:rPr>
                <w:rFonts w:hint="eastAsia" w:ascii="宋体" w:hAnsi="宋体" w:eastAsia="宋体" w:cs="宋体"/>
                <w:color w:val="auto"/>
                <w:sz w:val="20"/>
                <w:szCs w:val="20"/>
                <w:highlight w:val="none"/>
              </w:rPr>
            </w:pPr>
          </w:p>
        </w:tc>
      </w:tr>
      <w:tr w14:paraId="20EF277A">
        <w:tblPrEx>
          <w:tblCellMar>
            <w:top w:w="0" w:type="dxa"/>
            <w:left w:w="108" w:type="dxa"/>
            <w:bottom w:w="0" w:type="dxa"/>
            <w:right w:w="108" w:type="dxa"/>
          </w:tblCellMar>
        </w:tblPrEx>
        <w:trPr>
          <w:trHeight w:val="33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0F9A84">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B29C5C">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90B400">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·离合器、制动器、钢丝绳达不到要求的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6D1D50E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0CC274EB">
            <w:pPr>
              <w:rPr>
                <w:rFonts w:hint="eastAsia" w:ascii="宋体" w:hAnsi="宋体" w:eastAsia="宋体" w:cs="宋体"/>
                <w:color w:val="auto"/>
                <w:sz w:val="20"/>
                <w:szCs w:val="20"/>
                <w:highlight w:val="none"/>
              </w:rPr>
            </w:pPr>
          </w:p>
        </w:tc>
      </w:tr>
      <w:tr w14:paraId="301646A4">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E93E7A">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B4ABDF">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B284A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·操作手柄无保险装置的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5F7620E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7EE91161">
            <w:pPr>
              <w:rPr>
                <w:rFonts w:hint="eastAsia" w:ascii="宋体" w:hAnsi="宋体" w:eastAsia="宋体" w:cs="宋体"/>
                <w:color w:val="auto"/>
                <w:sz w:val="20"/>
                <w:szCs w:val="20"/>
                <w:highlight w:val="none"/>
              </w:rPr>
            </w:pPr>
          </w:p>
        </w:tc>
      </w:tr>
      <w:tr w14:paraId="706138AF">
        <w:tblPrEx>
          <w:tblCellMar>
            <w:top w:w="0" w:type="dxa"/>
            <w:left w:w="108" w:type="dxa"/>
            <w:bottom w:w="0" w:type="dxa"/>
            <w:right w:w="108" w:type="dxa"/>
          </w:tblCellMar>
        </w:tblPrEx>
        <w:trPr>
          <w:trHeight w:val="34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C134B5">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769FAB">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175F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·搅拌机无防雨棚和作业台不安全的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4A25399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66F6258">
            <w:pPr>
              <w:rPr>
                <w:rFonts w:hint="eastAsia" w:ascii="宋体" w:hAnsi="宋体" w:eastAsia="宋体" w:cs="宋体"/>
                <w:color w:val="auto"/>
                <w:sz w:val="20"/>
                <w:szCs w:val="20"/>
                <w:highlight w:val="none"/>
              </w:rPr>
            </w:pPr>
          </w:p>
        </w:tc>
      </w:tr>
      <w:tr w14:paraId="232C76AE">
        <w:tblPrEx>
          <w:tblCellMar>
            <w:top w:w="0" w:type="dxa"/>
            <w:left w:w="108" w:type="dxa"/>
            <w:bottom w:w="0" w:type="dxa"/>
            <w:right w:w="108" w:type="dxa"/>
          </w:tblCellMar>
        </w:tblPrEx>
        <w:trPr>
          <w:trHeight w:val="33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CF3D3E">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E1CA69">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E02C9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·料斗无保险挂钩或挂钩不使用的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2AEC19F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03BE2178">
            <w:pPr>
              <w:rPr>
                <w:rFonts w:hint="eastAsia" w:ascii="宋体" w:hAnsi="宋体" w:eastAsia="宋体" w:cs="宋体"/>
                <w:color w:val="auto"/>
                <w:sz w:val="20"/>
                <w:szCs w:val="20"/>
                <w:highlight w:val="none"/>
              </w:rPr>
            </w:pPr>
          </w:p>
        </w:tc>
      </w:tr>
      <w:tr w14:paraId="23B7EBAE">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68701C">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8A37A6">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305D2D">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·传动部位无防护罩的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7E8BC95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0584A963">
            <w:pPr>
              <w:rPr>
                <w:rFonts w:hint="eastAsia" w:ascii="宋体" w:hAnsi="宋体" w:eastAsia="宋体" w:cs="宋体"/>
                <w:color w:val="auto"/>
                <w:sz w:val="20"/>
                <w:szCs w:val="20"/>
                <w:highlight w:val="none"/>
              </w:rPr>
            </w:pPr>
          </w:p>
        </w:tc>
      </w:tr>
      <w:tr w14:paraId="2FEAAFB3">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DBE8E4">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9149ED">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6FD951">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·作业平台不稳定的 </w:t>
            </w:r>
          </w:p>
        </w:tc>
        <w:tc>
          <w:tcPr>
            <w:tcW w:w="518" w:type="pct"/>
            <w:gridSpan w:val="4"/>
            <w:tcBorders>
              <w:top w:val="nil"/>
              <w:left w:val="single" w:color="000000" w:sz="4" w:space="0"/>
              <w:bottom w:val="single" w:color="000000" w:sz="4" w:space="0"/>
              <w:right w:val="single" w:color="000000" w:sz="4" w:space="0"/>
            </w:tcBorders>
            <w:noWrap w:val="0"/>
            <w:vAlign w:val="center"/>
          </w:tcPr>
          <w:p w14:paraId="7600EB1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2A8EC100">
            <w:pPr>
              <w:rPr>
                <w:rFonts w:hint="eastAsia" w:ascii="宋体" w:hAnsi="宋体" w:eastAsia="宋体" w:cs="宋体"/>
                <w:color w:val="auto"/>
                <w:sz w:val="20"/>
                <w:szCs w:val="20"/>
                <w:highlight w:val="none"/>
              </w:rPr>
            </w:pPr>
          </w:p>
        </w:tc>
      </w:tr>
      <w:tr w14:paraId="1AE054C4">
        <w:tblPrEx>
          <w:tblCellMar>
            <w:top w:w="0" w:type="dxa"/>
            <w:left w:w="108" w:type="dxa"/>
            <w:bottom w:w="0" w:type="dxa"/>
            <w:right w:w="108" w:type="dxa"/>
          </w:tblCellMar>
        </w:tblPrEx>
        <w:trPr>
          <w:trHeight w:val="255"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49F75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7</w:t>
            </w:r>
          </w:p>
        </w:tc>
        <w:tc>
          <w:tcPr>
            <w:tcW w:w="745" w:type="pct"/>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5AFDC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气瓶</w:t>
            </w: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8309C">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·各种气瓶无标准色标的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7D91E9B1">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48154ABF">
            <w:pPr>
              <w:rPr>
                <w:rFonts w:hint="eastAsia" w:ascii="宋体" w:hAnsi="宋体" w:eastAsia="宋体" w:cs="宋体"/>
                <w:color w:val="auto"/>
                <w:sz w:val="20"/>
                <w:szCs w:val="20"/>
                <w:highlight w:val="none"/>
              </w:rPr>
            </w:pPr>
          </w:p>
        </w:tc>
      </w:tr>
      <w:tr w14:paraId="7FD9B310">
        <w:tblPrEx>
          <w:tblCellMar>
            <w:top w:w="0" w:type="dxa"/>
            <w:left w:w="108" w:type="dxa"/>
            <w:bottom w:w="0" w:type="dxa"/>
            <w:right w:w="108" w:type="dxa"/>
          </w:tblCellMar>
        </w:tblPrEx>
        <w:trPr>
          <w:trHeight w:val="25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A5B3F8">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AA22BF">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91BBCD">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·使用间距小于5m、距明火小于10m又无隔离措施的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28BC6BB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27D9A0E2">
            <w:pPr>
              <w:rPr>
                <w:rFonts w:hint="eastAsia" w:ascii="宋体" w:hAnsi="宋体" w:eastAsia="宋体" w:cs="宋体"/>
                <w:color w:val="auto"/>
                <w:sz w:val="20"/>
                <w:szCs w:val="20"/>
                <w:highlight w:val="none"/>
              </w:rPr>
            </w:pPr>
          </w:p>
        </w:tc>
      </w:tr>
      <w:tr w14:paraId="124852F5">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4F27DC">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4DB018">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D86F300">
            <w:pPr>
              <w:widowControl/>
              <w:jc w:val="left"/>
              <w:textAlignment w:val="top"/>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·乙炔瓶使用或存放时平放的或未按规定设置灭火器的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0721846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6357712">
            <w:pPr>
              <w:rPr>
                <w:rFonts w:hint="eastAsia" w:ascii="宋体" w:hAnsi="宋体" w:eastAsia="宋体" w:cs="宋体"/>
                <w:color w:val="auto"/>
                <w:sz w:val="20"/>
                <w:szCs w:val="20"/>
                <w:highlight w:val="none"/>
              </w:rPr>
            </w:pPr>
          </w:p>
        </w:tc>
      </w:tr>
      <w:tr w14:paraId="39AD085F">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B3A3E">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1331AD">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604780">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·气瓶存放不符合要求的或不同类型气瓶储存间距小于2m的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3A63C2D1">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451EA401">
            <w:pPr>
              <w:rPr>
                <w:rFonts w:hint="eastAsia" w:ascii="宋体" w:hAnsi="宋体" w:eastAsia="宋体" w:cs="宋体"/>
                <w:color w:val="auto"/>
                <w:sz w:val="20"/>
                <w:szCs w:val="20"/>
                <w:highlight w:val="none"/>
              </w:rPr>
            </w:pPr>
          </w:p>
        </w:tc>
      </w:tr>
      <w:tr w14:paraId="01CEE8B8">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2A409">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D774F6">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090925">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·气瓶无防振圈和防护帽的</w:t>
            </w:r>
          </w:p>
        </w:tc>
        <w:tc>
          <w:tcPr>
            <w:tcW w:w="518" w:type="pct"/>
            <w:gridSpan w:val="4"/>
            <w:tcBorders>
              <w:top w:val="nil"/>
              <w:left w:val="single" w:color="000000" w:sz="4" w:space="0"/>
              <w:bottom w:val="single" w:color="000000" w:sz="4" w:space="0"/>
              <w:right w:val="single" w:color="000000" w:sz="4" w:space="0"/>
            </w:tcBorders>
            <w:noWrap w:val="0"/>
            <w:vAlign w:val="center"/>
          </w:tcPr>
          <w:p w14:paraId="5307433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5AC5C77A">
            <w:pPr>
              <w:rPr>
                <w:rFonts w:hint="eastAsia" w:ascii="宋体" w:hAnsi="宋体" w:eastAsia="宋体" w:cs="宋体"/>
                <w:color w:val="auto"/>
                <w:sz w:val="20"/>
                <w:szCs w:val="20"/>
                <w:highlight w:val="none"/>
              </w:rPr>
            </w:pPr>
          </w:p>
        </w:tc>
      </w:tr>
      <w:tr w14:paraId="1EAC6055">
        <w:tblPrEx>
          <w:tblCellMar>
            <w:top w:w="0" w:type="dxa"/>
            <w:left w:w="108" w:type="dxa"/>
            <w:bottom w:w="0" w:type="dxa"/>
            <w:right w:w="108" w:type="dxa"/>
          </w:tblCellMar>
        </w:tblPrEx>
        <w:trPr>
          <w:trHeight w:val="27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1C584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8</w:t>
            </w:r>
          </w:p>
        </w:tc>
        <w:tc>
          <w:tcPr>
            <w:tcW w:w="745" w:type="pct"/>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EEF7D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翻斗车</w:t>
            </w: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688E24C">
            <w:pPr>
              <w:widowControl/>
              <w:jc w:val="left"/>
              <w:textAlignment w:val="top"/>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·翻斗车制动装置不灵敏的 </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5AEBD30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1889433D">
            <w:pPr>
              <w:rPr>
                <w:rFonts w:hint="eastAsia" w:ascii="宋体" w:hAnsi="宋体" w:eastAsia="宋体" w:cs="宋体"/>
                <w:color w:val="auto"/>
                <w:sz w:val="20"/>
                <w:szCs w:val="20"/>
                <w:highlight w:val="none"/>
              </w:rPr>
            </w:pPr>
          </w:p>
        </w:tc>
      </w:tr>
      <w:tr w14:paraId="406E5A20">
        <w:tblPrEx>
          <w:tblCellMar>
            <w:top w:w="0" w:type="dxa"/>
            <w:left w:w="108" w:type="dxa"/>
            <w:bottom w:w="0" w:type="dxa"/>
            <w:right w:w="108" w:type="dxa"/>
          </w:tblCellMar>
        </w:tblPrEx>
        <w:trPr>
          <w:trHeight w:val="255"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50E898">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2A9FCC">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F53D6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·无证司机驾车的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5C799F8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0AB2B122">
            <w:pPr>
              <w:rPr>
                <w:rFonts w:hint="eastAsia" w:ascii="宋体" w:hAnsi="宋体" w:eastAsia="宋体" w:cs="宋体"/>
                <w:color w:val="auto"/>
                <w:sz w:val="20"/>
                <w:szCs w:val="20"/>
                <w:highlight w:val="none"/>
              </w:rPr>
            </w:pPr>
          </w:p>
        </w:tc>
      </w:tr>
      <w:tr w14:paraId="79EBF2CB">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F3DDF1">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B56F86">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B53A4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·行车载人或违章行车的</w:t>
            </w:r>
          </w:p>
        </w:tc>
        <w:tc>
          <w:tcPr>
            <w:tcW w:w="518" w:type="pct"/>
            <w:gridSpan w:val="4"/>
            <w:tcBorders>
              <w:top w:val="nil"/>
              <w:left w:val="single" w:color="000000" w:sz="4" w:space="0"/>
              <w:bottom w:val="single" w:color="000000" w:sz="4" w:space="0"/>
              <w:right w:val="single" w:color="000000" w:sz="4" w:space="0"/>
            </w:tcBorders>
            <w:noWrap w:val="0"/>
            <w:vAlign w:val="center"/>
          </w:tcPr>
          <w:p w14:paraId="16F09DE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0453DD4C">
            <w:pPr>
              <w:rPr>
                <w:rFonts w:hint="eastAsia" w:ascii="宋体" w:hAnsi="宋体" w:eastAsia="宋体" w:cs="宋体"/>
                <w:color w:val="auto"/>
                <w:sz w:val="20"/>
                <w:szCs w:val="20"/>
                <w:highlight w:val="none"/>
              </w:rPr>
            </w:pPr>
          </w:p>
        </w:tc>
      </w:tr>
      <w:tr w14:paraId="4C0DD0D8">
        <w:tblPrEx>
          <w:tblCellMar>
            <w:top w:w="0" w:type="dxa"/>
            <w:left w:w="108" w:type="dxa"/>
            <w:bottom w:w="0" w:type="dxa"/>
            <w:right w:w="108" w:type="dxa"/>
          </w:tblCellMar>
        </w:tblPrEx>
        <w:trPr>
          <w:trHeight w:val="27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96F28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9</w:t>
            </w:r>
          </w:p>
        </w:tc>
        <w:tc>
          <w:tcPr>
            <w:tcW w:w="745" w:type="pct"/>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0B100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潜水泵</w:t>
            </w: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F5B99">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·未做保护接零、无漏电保护器的</w:t>
            </w:r>
          </w:p>
        </w:tc>
        <w:tc>
          <w:tcPr>
            <w:tcW w:w="518" w:type="pct"/>
            <w:gridSpan w:val="4"/>
            <w:tcBorders>
              <w:top w:val="single" w:color="000000" w:sz="4" w:space="0"/>
              <w:left w:val="single" w:color="000000" w:sz="4" w:space="0"/>
              <w:bottom w:val="single" w:color="000000" w:sz="4" w:space="0"/>
              <w:right w:val="single" w:color="000000" w:sz="4" w:space="0"/>
            </w:tcBorders>
            <w:noWrap w:val="0"/>
            <w:vAlign w:val="center"/>
          </w:tcPr>
          <w:p w14:paraId="67D00B6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45CE96DC">
            <w:pPr>
              <w:rPr>
                <w:rFonts w:hint="eastAsia" w:ascii="宋体" w:hAnsi="宋体" w:eastAsia="宋体" w:cs="宋体"/>
                <w:color w:val="auto"/>
                <w:sz w:val="20"/>
                <w:szCs w:val="20"/>
                <w:highlight w:val="none"/>
              </w:rPr>
            </w:pPr>
          </w:p>
        </w:tc>
      </w:tr>
      <w:tr w14:paraId="4407BE6E">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66F855">
            <w:pPr>
              <w:jc w:val="center"/>
              <w:rPr>
                <w:rFonts w:hint="eastAsia" w:ascii="宋体" w:hAnsi="宋体" w:eastAsia="宋体" w:cs="宋体"/>
                <w:color w:val="auto"/>
                <w:sz w:val="20"/>
                <w:szCs w:val="20"/>
                <w:highlight w:val="none"/>
              </w:rPr>
            </w:pPr>
          </w:p>
        </w:tc>
        <w:tc>
          <w:tcPr>
            <w:tcW w:w="745" w:type="pct"/>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A0F3BE">
            <w:pPr>
              <w:jc w:val="center"/>
              <w:rPr>
                <w:rFonts w:hint="eastAsia" w:ascii="宋体" w:hAnsi="宋体" w:eastAsia="宋体" w:cs="宋体"/>
                <w:color w:val="auto"/>
                <w:sz w:val="20"/>
                <w:szCs w:val="20"/>
                <w:highlight w:val="none"/>
              </w:rPr>
            </w:pPr>
          </w:p>
        </w:tc>
        <w:tc>
          <w:tcPr>
            <w:tcW w:w="3115" w:type="pct"/>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299369">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·保护装置不灵敏、使用不合理的</w:t>
            </w:r>
          </w:p>
        </w:tc>
        <w:tc>
          <w:tcPr>
            <w:tcW w:w="518" w:type="pct"/>
            <w:gridSpan w:val="4"/>
            <w:tcBorders>
              <w:top w:val="nil"/>
              <w:left w:val="single" w:color="000000" w:sz="4" w:space="0"/>
              <w:bottom w:val="single" w:color="000000" w:sz="4" w:space="0"/>
              <w:right w:val="single" w:color="000000" w:sz="4" w:space="0"/>
            </w:tcBorders>
            <w:noWrap w:val="0"/>
            <w:vAlign w:val="center"/>
          </w:tcPr>
          <w:p w14:paraId="637FF96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nil"/>
              <w:right w:val="nil"/>
            </w:tcBorders>
            <w:noWrap/>
            <w:vAlign w:val="bottom"/>
          </w:tcPr>
          <w:p w14:paraId="2A0B902F">
            <w:pPr>
              <w:rPr>
                <w:rFonts w:hint="eastAsia" w:ascii="宋体" w:hAnsi="宋体" w:eastAsia="宋体" w:cs="宋体"/>
                <w:color w:val="auto"/>
                <w:sz w:val="20"/>
                <w:szCs w:val="20"/>
                <w:highlight w:val="none"/>
              </w:rPr>
            </w:pPr>
          </w:p>
        </w:tc>
      </w:tr>
      <w:tr w14:paraId="5AFD1C85">
        <w:tblPrEx>
          <w:tblCellMar>
            <w:top w:w="0" w:type="dxa"/>
            <w:left w:w="108" w:type="dxa"/>
            <w:bottom w:w="0" w:type="dxa"/>
            <w:right w:w="108" w:type="dxa"/>
          </w:tblCellMar>
        </w:tblPrEx>
        <w:trPr>
          <w:trHeight w:val="700" w:hRule="atLeast"/>
        </w:trPr>
        <w:tc>
          <w:tcPr>
            <w:tcW w:w="5000" w:type="pct"/>
            <w:gridSpan w:val="14"/>
            <w:tcBorders>
              <w:top w:val="nil"/>
              <w:left w:val="nil"/>
              <w:bottom w:val="nil"/>
              <w:right w:val="nil"/>
            </w:tcBorders>
            <w:shd w:val="clear" w:color="auto" w:fill="FFFFFF"/>
            <w:noWrap w:val="0"/>
            <w:vAlign w:val="center"/>
          </w:tcPr>
          <w:p w14:paraId="04E5AD1F">
            <w:pPr>
              <w:widowControl/>
              <w:jc w:val="center"/>
              <w:textAlignment w:val="center"/>
              <w:rPr>
                <w:rFonts w:hint="eastAsia" w:ascii="宋体" w:hAnsi="宋体" w:eastAsia="宋体" w:cs="宋体"/>
                <w:b/>
                <w:bCs/>
                <w:color w:val="auto"/>
                <w:kern w:val="0"/>
                <w:sz w:val="32"/>
                <w:szCs w:val="32"/>
                <w:highlight w:val="none"/>
                <w:lang w:bidi="ar"/>
              </w:rPr>
            </w:pPr>
          </w:p>
          <w:p w14:paraId="50483909">
            <w:pPr>
              <w:widowControl/>
              <w:jc w:val="center"/>
              <w:textAlignment w:val="center"/>
              <w:rPr>
                <w:rFonts w:hint="eastAsia" w:ascii="宋体" w:hAnsi="宋体" w:eastAsia="宋体" w:cs="宋体"/>
                <w:b/>
                <w:bCs/>
                <w:color w:val="auto"/>
                <w:kern w:val="0"/>
                <w:sz w:val="32"/>
                <w:szCs w:val="32"/>
                <w:highlight w:val="none"/>
                <w:lang w:bidi="ar"/>
              </w:rPr>
            </w:pPr>
          </w:p>
          <w:p w14:paraId="53E71E8C">
            <w:pPr>
              <w:widowControl/>
              <w:jc w:val="center"/>
              <w:textAlignment w:val="center"/>
              <w:rPr>
                <w:rFonts w:hint="eastAsia" w:ascii="宋体" w:hAnsi="宋体" w:eastAsia="宋体" w:cs="宋体"/>
                <w:b/>
                <w:bCs/>
                <w:color w:val="auto"/>
                <w:kern w:val="0"/>
                <w:sz w:val="32"/>
                <w:szCs w:val="32"/>
                <w:highlight w:val="none"/>
                <w:lang w:bidi="ar"/>
              </w:rPr>
            </w:pPr>
          </w:p>
          <w:p w14:paraId="617C682E">
            <w:pPr>
              <w:widowControl/>
              <w:jc w:val="center"/>
              <w:textAlignment w:val="center"/>
              <w:rPr>
                <w:rFonts w:hint="eastAsia" w:ascii="宋体" w:hAnsi="宋体" w:eastAsia="宋体" w:cs="宋体"/>
                <w:b/>
                <w:bCs/>
                <w:color w:val="auto"/>
                <w:kern w:val="0"/>
                <w:sz w:val="32"/>
                <w:szCs w:val="32"/>
                <w:highlight w:val="none"/>
                <w:lang w:bidi="ar"/>
              </w:rPr>
            </w:pPr>
          </w:p>
          <w:p w14:paraId="736E3D51">
            <w:pPr>
              <w:widowControl/>
              <w:jc w:val="center"/>
              <w:textAlignment w:val="center"/>
              <w:rPr>
                <w:rFonts w:hint="eastAsia" w:ascii="宋体" w:hAnsi="宋体" w:eastAsia="宋体" w:cs="宋体"/>
                <w:b/>
                <w:bCs/>
                <w:color w:val="auto"/>
                <w:kern w:val="0"/>
                <w:sz w:val="32"/>
                <w:szCs w:val="32"/>
                <w:highlight w:val="none"/>
                <w:lang w:bidi="ar"/>
              </w:rPr>
            </w:pPr>
          </w:p>
          <w:p w14:paraId="2F3D3230">
            <w:pPr>
              <w:widowControl/>
              <w:jc w:val="center"/>
              <w:textAlignment w:val="center"/>
              <w:rPr>
                <w:rFonts w:hint="eastAsia" w:ascii="宋体" w:hAnsi="宋体" w:eastAsia="宋体" w:cs="宋体"/>
                <w:b/>
                <w:bCs/>
                <w:color w:val="auto"/>
                <w:kern w:val="0"/>
                <w:sz w:val="32"/>
                <w:szCs w:val="32"/>
                <w:highlight w:val="none"/>
                <w:lang w:bidi="ar"/>
              </w:rPr>
            </w:pPr>
          </w:p>
          <w:p w14:paraId="085AEA9F">
            <w:pPr>
              <w:widowControl/>
              <w:jc w:val="center"/>
              <w:textAlignment w:val="center"/>
              <w:rPr>
                <w:rFonts w:hint="eastAsia" w:ascii="宋体" w:hAnsi="宋体" w:eastAsia="宋体" w:cs="宋体"/>
                <w:b/>
                <w:bCs/>
                <w:color w:val="auto"/>
                <w:kern w:val="0"/>
                <w:sz w:val="32"/>
                <w:szCs w:val="32"/>
                <w:highlight w:val="none"/>
                <w:lang w:bidi="ar"/>
              </w:rPr>
            </w:pPr>
          </w:p>
          <w:p w14:paraId="3E32480B">
            <w:pPr>
              <w:widowControl/>
              <w:jc w:val="center"/>
              <w:textAlignment w:val="center"/>
              <w:rPr>
                <w:rFonts w:hint="eastAsia" w:ascii="宋体" w:hAnsi="宋体" w:eastAsia="宋体" w:cs="宋体"/>
                <w:b/>
                <w:bCs/>
                <w:color w:val="auto"/>
                <w:kern w:val="0"/>
                <w:sz w:val="32"/>
                <w:szCs w:val="32"/>
                <w:highlight w:val="none"/>
                <w:lang w:bidi="ar"/>
              </w:rPr>
            </w:pPr>
          </w:p>
          <w:p w14:paraId="3A2B8A82">
            <w:pPr>
              <w:widowControl/>
              <w:jc w:val="center"/>
              <w:textAlignment w:val="center"/>
              <w:rPr>
                <w:rFonts w:hint="eastAsia" w:ascii="宋体" w:hAnsi="宋体" w:eastAsia="宋体" w:cs="宋体"/>
                <w:b/>
                <w:bCs/>
                <w:color w:val="auto"/>
                <w:kern w:val="0"/>
                <w:sz w:val="32"/>
                <w:szCs w:val="32"/>
                <w:highlight w:val="none"/>
                <w:lang w:bidi="ar"/>
              </w:rPr>
            </w:pPr>
          </w:p>
          <w:p w14:paraId="77940C29">
            <w:pPr>
              <w:widowControl/>
              <w:jc w:val="center"/>
              <w:textAlignment w:val="center"/>
              <w:rPr>
                <w:rFonts w:hint="eastAsia" w:ascii="宋体" w:hAnsi="宋体" w:eastAsia="宋体" w:cs="宋体"/>
                <w:b/>
                <w:bCs/>
                <w:color w:val="auto"/>
                <w:kern w:val="0"/>
                <w:sz w:val="32"/>
                <w:szCs w:val="32"/>
                <w:highlight w:val="none"/>
                <w:lang w:bidi="ar"/>
              </w:rPr>
            </w:pPr>
          </w:p>
          <w:p w14:paraId="47DC0262">
            <w:pPr>
              <w:widowControl/>
              <w:jc w:val="center"/>
              <w:textAlignment w:val="center"/>
              <w:rPr>
                <w:rFonts w:hint="eastAsia" w:ascii="宋体" w:hAnsi="宋体" w:eastAsia="宋体" w:cs="宋体"/>
                <w:b/>
                <w:bCs/>
                <w:color w:val="auto"/>
                <w:kern w:val="0"/>
                <w:sz w:val="32"/>
                <w:szCs w:val="32"/>
                <w:highlight w:val="none"/>
                <w:lang w:bidi="ar"/>
              </w:rPr>
            </w:pPr>
          </w:p>
          <w:p w14:paraId="30298FA6">
            <w:pPr>
              <w:widowControl/>
              <w:jc w:val="center"/>
              <w:textAlignment w:val="center"/>
              <w:rPr>
                <w:rFonts w:hint="eastAsia" w:ascii="宋体" w:hAnsi="宋体" w:eastAsia="宋体" w:cs="宋体"/>
                <w:b/>
                <w:bCs/>
                <w:color w:val="auto"/>
                <w:kern w:val="0"/>
                <w:sz w:val="32"/>
                <w:szCs w:val="32"/>
                <w:highlight w:val="none"/>
                <w:lang w:bidi="ar"/>
              </w:rPr>
            </w:pPr>
          </w:p>
          <w:p w14:paraId="7C9DE52A">
            <w:pPr>
              <w:widowControl/>
              <w:jc w:val="center"/>
              <w:textAlignment w:val="center"/>
              <w:rPr>
                <w:rFonts w:hint="eastAsia" w:ascii="宋体" w:hAnsi="宋体" w:eastAsia="宋体" w:cs="宋体"/>
                <w:b/>
                <w:bCs/>
                <w:color w:val="auto"/>
                <w:kern w:val="0"/>
                <w:sz w:val="32"/>
                <w:szCs w:val="32"/>
                <w:highlight w:val="none"/>
                <w:lang w:bidi="ar"/>
              </w:rPr>
            </w:pPr>
          </w:p>
          <w:p w14:paraId="30D74164">
            <w:pPr>
              <w:widowControl/>
              <w:jc w:val="center"/>
              <w:textAlignment w:val="center"/>
              <w:rPr>
                <w:rFonts w:hint="eastAsia" w:ascii="宋体" w:hAnsi="宋体" w:eastAsia="宋体" w:cs="宋体"/>
                <w:b/>
                <w:bCs/>
                <w:color w:val="auto"/>
                <w:kern w:val="0"/>
                <w:sz w:val="32"/>
                <w:szCs w:val="32"/>
                <w:highlight w:val="none"/>
                <w:lang w:bidi="ar"/>
              </w:rPr>
            </w:pPr>
          </w:p>
          <w:p w14:paraId="78CDC198">
            <w:pPr>
              <w:widowControl/>
              <w:jc w:val="center"/>
              <w:textAlignment w:val="center"/>
              <w:rPr>
                <w:rFonts w:hint="eastAsia" w:ascii="宋体" w:hAnsi="宋体" w:eastAsia="宋体" w:cs="宋体"/>
                <w:b/>
                <w:bCs/>
                <w:color w:val="auto"/>
                <w:kern w:val="0"/>
                <w:sz w:val="32"/>
                <w:szCs w:val="32"/>
                <w:highlight w:val="none"/>
                <w:lang w:bidi="ar"/>
              </w:rPr>
            </w:pPr>
          </w:p>
          <w:p w14:paraId="18CE76C5">
            <w:pPr>
              <w:widowControl/>
              <w:jc w:val="center"/>
              <w:textAlignment w:val="center"/>
              <w:rPr>
                <w:rFonts w:hint="eastAsia" w:ascii="宋体" w:hAnsi="宋体" w:eastAsia="宋体" w:cs="宋体"/>
                <w:b/>
                <w:bCs/>
                <w:color w:val="auto"/>
                <w:kern w:val="0"/>
                <w:sz w:val="32"/>
                <w:szCs w:val="32"/>
                <w:highlight w:val="none"/>
                <w:lang w:bidi="ar"/>
              </w:rPr>
            </w:pPr>
          </w:p>
          <w:p w14:paraId="75FA296C">
            <w:pPr>
              <w:widowControl/>
              <w:jc w:val="center"/>
              <w:textAlignment w:val="center"/>
              <w:rPr>
                <w:rFonts w:hint="eastAsia" w:ascii="宋体" w:hAnsi="宋体" w:eastAsia="宋体" w:cs="宋体"/>
                <w:b/>
                <w:bCs/>
                <w:color w:val="auto"/>
                <w:kern w:val="0"/>
                <w:sz w:val="32"/>
                <w:szCs w:val="32"/>
                <w:highlight w:val="none"/>
                <w:lang w:bidi="ar"/>
              </w:rPr>
            </w:pPr>
          </w:p>
          <w:p w14:paraId="69504E87">
            <w:pPr>
              <w:widowControl/>
              <w:jc w:val="center"/>
              <w:textAlignment w:val="center"/>
              <w:rPr>
                <w:rFonts w:hint="eastAsia" w:ascii="宋体" w:hAnsi="宋体" w:eastAsia="宋体" w:cs="宋体"/>
                <w:b/>
                <w:bCs/>
                <w:color w:val="auto"/>
                <w:kern w:val="0"/>
                <w:sz w:val="32"/>
                <w:szCs w:val="32"/>
                <w:highlight w:val="none"/>
                <w:lang w:bidi="ar"/>
              </w:rPr>
            </w:pPr>
          </w:p>
          <w:p w14:paraId="67BF789B">
            <w:pPr>
              <w:widowControl/>
              <w:jc w:val="both"/>
              <w:textAlignment w:val="center"/>
              <w:rPr>
                <w:rFonts w:hint="eastAsia" w:ascii="宋体" w:hAnsi="宋体" w:eastAsia="宋体" w:cs="宋体"/>
                <w:b/>
                <w:bCs/>
                <w:color w:val="auto"/>
                <w:kern w:val="0"/>
                <w:sz w:val="28"/>
                <w:szCs w:val="28"/>
                <w:highlight w:val="none"/>
                <w:lang w:bidi="ar"/>
              </w:rPr>
            </w:pPr>
          </w:p>
          <w:p w14:paraId="061A87C2">
            <w:pPr>
              <w:widowControl/>
              <w:jc w:val="center"/>
              <w:textAlignment w:val="center"/>
              <w:rPr>
                <w:rFonts w:hint="eastAsia" w:ascii="宋体" w:hAnsi="宋体" w:eastAsia="宋体" w:cs="宋体"/>
                <w:b/>
                <w:bCs/>
                <w:color w:val="auto"/>
                <w:sz w:val="32"/>
                <w:szCs w:val="32"/>
                <w:highlight w:val="none"/>
              </w:rPr>
            </w:pPr>
            <w:r>
              <w:rPr>
                <w:rFonts w:hint="eastAsia" w:ascii="宋体" w:hAnsi="宋体" w:eastAsia="宋体" w:cs="宋体"/>
                <w:b/>
                <w:bCs/>
                <w:color w:val="auto"/>
                <w:kern w:val="0"/>
                <w:sz w:val="28"/>
                <w:szCs w:val="28"/>
                <w:highlight w:val="none"/>
                <w:lang w:bidi="ar"/>
              </w:rPr>
              <w:br w:type="page"/>
            </w:r>
            <w:r>
              <w:rPr>
                <w:rFonts w:hint="eastAsia" w:ascii="宋体" w:hAnsi="宋体" w:eastAsia="宋体" w:cs="宋体"/>
                <w:b/>
                <w:bCs/>
                <w:color w:val="auto"/>
                <w:kern w:val="0"/>
                <w:sz w:val="28"/>
                <w:szCs w:val="28"/>
                <w:highlight w:val="none"/>
                <w:lang w:bidi="ar"/>
              </w:rPr>
              <w:t>城工集团施工用电检查处罚规定</w:t>
            </w:r>
          </w:p>
        </w:tc>
      </w:tr>
      <w:tr w14:paraId="34AAE035">
        <w:tblPrEx>
          <w:tblCellMar>
            <w:top w:w="0" w:type="dxa"/>
            <w:left w:w="108" w:type="dxa"/>
            <w:bottom w:w="0" w:type="dxa"/>
            <w:right w:w="108" w:type="dxa"/>
          </w:tblCellMar>
        </w:tblPrEx>
        <w:trPr>
          <w:trHeight w:val="510" w:hRule="atLeast"/>
        </w:trPr>
        <w:tc>
          <w:tcPr>
            <w:tcW w:w="33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1B6EF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序</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号</w:t>
            </w:r>
          </w:p>
        </w:tc>
        <w:tc>
          <w:tcPr>
            <w:tcW w:w="739" w:type="pct"/>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C151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检查项目</w:t>
            </w: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45702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工地存在问题</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A70F8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处罚金额</w:t>
            </w:r>
          </w:p>
        </w:tc>
      </w:tr>
      <w:tr w14:paraId="697DEAF4">
        <w:tblPrEx>
          <w:tblCellMar>
            <w:top w:w="0" w:type="dxa"/>
            <w:left w:w="108" w:type="dxa"/>
            <w:bottom w:w="0" w:type="dxa"/>
            <w:right w:w="108" w:type="dxa"/>
          </w:tblCellMar>
        </w:tblPrEx>
        <w:trPr>
          <w:trHeight w:val="30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CD6B6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w:t>
            </w:r>
          </w:p>
        </w:tc>
        <w:tc>
          <w:tcPr>
            <w:tcW w:w="739"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FE42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外电防护</w:t>
            </w: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1276A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·小于安全距离又无防护措施的 </w:t>
            </w:r>
          </w:p>
        </w:tc>
        <w:tc>
          <w:tcPr>
            <w:tcW w:w="142" w:type="pct"/>
            <w:tcBorders>
              <w:top w:val="single" w:color="000000" w:sz="4" w:space="0"/>
              <w:left w:val="single" w:color="000000" w:sz="4" w:space="0"/>
              <w:bottom w:val="single" w:color="000000" w:sz="4" w:space="0"/>
              <w:right w:val="nil"/>
            </w:tcBorders>
            <w:noWrap w:val="0"/>
            <w:vAlign w:val="center"/>
          </w:tcPr>
          <w:p w14:paraId="7B769942">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30E8FCC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5A8FD946">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7ECC9">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80276C">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F7AF26">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·防护措施不符合要求、封闭不严密的 </w:t>
            </w:r>
          </w:p>
        </w:tc>
        <w:tc>
          <w:tcPr>
            <w:tcW w:w="142" w:type="pct"/>
            <w:tcBorders>
              <w:top w:val="single" w:color="000000" w:sz="4" w:space="0"/>
              <w:left w:val="single" w:color="000000" w:sz="4" w:space="0"/>
              <w:bottom w:val="single" w:color="000000" w:sz="4" w:space="0"/>
              <w:right w:val="nil"/>
            </w:tcBorders>
            <w:noWrap w:val="0"/>
            <w:vAlign w:val="center"/>
          </w:tcPr>
          <w:p w14:paraId="0708F950">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44B86BE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58087435">
        <w:tblPrEx>
          <w:tblCellMar>
            <w:top w:w="0" w:type="dxa"/>
            <w:left w:w="108" w:type="dxa"/>
            <w:bottom w:w="0" w:type="dxa"/>
            <w:right w:w="108" w:type="dxa"/>
          </w:tblCellMar>
        </w:tblPrEx>
        <w:trPr>
          <w:trHeight w:val="30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335EB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w:t>
            </w:r>
          </w:p>
        </w:tc>
        <w:tc>
          <w:tcPr>
            <w:tcW w:w="739"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BAF86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接地与接零</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保护系统</w:t>
            </w: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87FD9C">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·工作接地与重复接地不符合要求的 </w:t>
            </w:r>
          </w:p>
        </w:tc>
        <w:tc>
          <w:tcPr>
            <w:tcW w:w="142" w:type="pct"/>
            <w:tcBorders>
              <w:top w:val="single" w:color="000000" w:sz="4" w:space="0"/>
              <w:left w:val="single" w:color="000000" w:sz="4" w:space="0"/>
              <w:bottom w:val="single" w:color="000000" w:sz="4" w:space="0"/>
              <w:right w:val="nil"/>
            </w:tcBorders>
            <w:noWrap w:val="0"/>
            <w:vAlign w:val="center"/>
          </w:tcPr>
          <w:p w14:paraId="1230D8E7">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4B749FB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7B0B11D5">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D2CA4D">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52A47E">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4B1902">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·专用保护零线设置不符合要求的 </w:t>
            </w:r>
          </w:p>
        </w:tc>
        <w:tc>
          <w:tcPr>
            <w:tcW w:w="142" w:type="pct"/>
            <w:tcBorders>
              <w:top w:val="single" w:color="000000" w:sz="4" w:space="0"/>
              <w:left w:val="single" w:color="000000" w:sz="4" w:space="0"/>
              <w:bottom w:val="single" w:color="000000" w:sz="4" w:space="0"/>
              <w:right w:val="nil"/>
            </w:tcBorders>
            <w:noWrap w:val="0"/>
            <w:vAlign w:val="center"/>
          </w:tcPr>
          <w:p w14:paraId="1E650116">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6086878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05518C0B">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61DE40">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0884DE">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033642">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·保护零线与工作零线混接的 </w:t>
            </w:r>
          </w:p>
        </w:tc>
        <w:tc>
          <w:tcPr>
            <w:tcW w:w="142" w:type="pct"/>
            <w:tcBorders>
              <w:top w:val="nil"/>
              <w:left w:val="single" w:color="000000" w:sz="4" w:space="0"/>
              <w:bottom w:val="single" w:color="000000" w:sz="4" w:space="0"/>
              <w:right w:val="nil"/>
            </w:tcBorders>
            <w:noWrap w:val="0"/>
            <w:vAlign w:val="center"/>
          </w:tcPr>
          <w:p w14:paraId="014AAF54">
            <w:pPr>
              <w:rPr>
                <w:rFonts w:hint="eastAsia" w:ascii="宋体" w:hAnsi="宋体" w:eastAsia="宋体" w:cs="宋体"/>
                <w:color w:val="auto"/>
                <w:sz w:val="20"/>
                <w:szCs w:val="20"/>
                <w:highlight w:val="none"/>
              </w:rPr>
            </w:pPr>
          </w:p>
        </w:tc>
        <w:tc>
          <w:tcPr>
            <w:tcW w:w="398" w:type="pct"/>
            <w:gridSpan w:val="2"/>
            <w:tcBorders>
              <w:top w:val="nil"/>
              <w:left w:val="nil"/>
              <w:bottom w:val="single" w:color="000000" w:sz="4" w:space="0"/>
              <w:right w:val="single" w:color="000000" w:sz="4" w:space="0"/>
            </w:tcBorders>
            <w:noWrap w:val="0"/>
            <w:vAlign w:val="center"/>
          </w:tcPr>
          <w:p w14:paraId="2477B62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0E8326CA">
        <w:tblPrEx>
          <w:tblCellMar>
            <w:top w:w="0" w:type="dxa"/>
            <w:left w:w="108" w:type="dxa"/>
            <w:bottom w:w="0" w:type="dxa"/>
            <w:right w:w="108" w:type="dxa"/>
          </w:tblCellMar>
        </w:tblPrEx>
        <w:trPr>
          <w:trHeight w:val="30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8F99E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w:t>
            </w:r>
          </w:p>
        </w:tc>
        <w:tc>
          <w:tcPr>
            <w:tcW w:w="739"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778AA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配电箱开关</w:t>
            </w: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AF0A07">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·不符合"三级配电两级保护"要求的</w:t>
            </w:r>
          </w:p>
        </w:tc>
        <w:tc>
          <w:tcPr>
            <w:tcW w:w="142" w:type="pct"/>
            <w:tcBorders>
              <w:top w:val="single" w:color="000000" w:sz="4" w:space="0"/>
              <w:left w:val="single" w:color="000000" w:sz="4" w:space="0"/>
              <w:bottom w:val="single" w:color="000000" w:sz="4" w:space="0"/>
              <w:right w:val="nil"/>
            </w:tcBorders>
            <w:noWrap w:val="0"/>
            <w:vAlign w:val="center"/>
          </w:tcPr>
          <w:p w14:paraId="67EF3BC1">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78B9277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276D1D1A">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1FFD20">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EDC710">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71C73B">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·开关箱（末级）无漏电保护或保护器失灵，每一处 </w:t>
            </w:r>
          </w:p>
        </w:tc>
        <w:tc>
          <w:tcPr>
            <w:tcW w:w="142" w:type="pct"/>
            <w:tcBorders>
              <w:top w:val="single" w:color="000000" w:sz="4" w:space="0"/>
              <w:left w:val="single" w:color="000000" w:sz="4" w:space="0"/>
              <w:bottom w:val="single" w:color="000000" w:sz="4" w:space="0"/>
              <w:right w:val="nil"/>
            </w:tcBorders>
            <w:noWrap w:val="0"/>
            <w:vAlign w:val="center"/>
          </w:tcPr>
          <w:p w14:paraId="61D149D2">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17EC9CA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246DFCF5">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6F4C64">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B95044">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1D9884">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·漏电保护装置参数不匹配，每发现一处 </w:t>
            </w:r>
          </w:p>
        </w:tc>
        <w:tc>
          <w:tcPr>
            <w:tcW w:w="142" w:type="pct"/>
            <w:tcBorders>
              <w:top w:val="single" w:color="000000" w:sz="4" w:space="0"/>
              <w:left w:val="single" w:color="000000" w:sz="4" w:space="0"/>
              <w:bottom w:val="single" w:color="000000" w:sz="4" w:space="0"/>
              <w:right w:val="nil"/>
            </w:tcBorders>
            <w:noWrap w:val="0"/>
            <w:vAlign w:val="center"/>
          </w:tcPr>
          <w:p w14:paraId="0D1F21D9">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13A2848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6CC6F43D">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7792BA">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655A8">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EA306D">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·电箱内无隔离开关每一处</w:t>
            </w:r>
          </w:p>
        </w:tc>
        <w:tc>
          <w:tcPr>
            <w:tcW w:w="142" w:type="pct"/>
            <w:tcBorders>
              <w:top w:val="single" w:color="000000" w:sz="4" w:space="0"/>
              <w:left w:val="single" w:color="000000" w:sz="4" w:space="0"/>
              <w:bottom w:val="single" w:color="000000" w:sz="4" w:space="0"/>
              <w:right w:val="nil"/>
            </w:tcBorders>
            <w:noWrap w:val="0"/>
            <w:vAlign w:val="center"/>
          </w:tcPr>
          <w:p w14:paraId="17407739">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3118834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3D1EC94C">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F90E8E">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CA38BA">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51930">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·违反“一机、一闸、一漏、一箱”的每一处</w:t>
            </w:r>
          </w:p>
        </w:tc>
        <w:tc>
          <w:tcPr>
            <w:tcW w:w="142" w:type="pct"/>
            <w:tcBorders>
              <w:top w:val="single" w:color="000000" w:sz="4" w:space="0"/>
              <w:left w:val="single" w:color="000000" w:sz="4" w:space="0"/>
              <w:bottom w:val="single" w:color="000000" w:sz="4" w:space="0"/>
              <w:right w:val="nil"/>
            </w:tcBorders>
            <w:noWrap w:val="0"/>
            <w:vAlign w:val="center"/>
          </w:tcPr>
          <w:p w14:paraId="358985BA">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64A4954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5D99874D">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92EF19">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801D20">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3A9FCD">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·安装位置不当、周围杂物多等不便操作的每一处 </w:t>
            </w:r>
          </w:p>
        </w:tc>
        <w:tc>
          <w:tcPr>
            <w:tcW w:w="142" w:type="pct"/>
            <w:tcBorders>
              <w:top w:val="single" w:color="000000" w:sz="4" w:space="0"/>
              <w:left w:val="single" w:color="000000" w:sz="4" w:space="0"/>
              <w:bottom w:val="single" w:color="000000" w:sz="4" w:space="0"/>
              <w:right w:val="nil"/>
            </w:tcBorders>
            <w:noWrap w:val="0"/>
            <w:vAlign w:val="center"/>
          </w:tcPr>
          <w:p w14:paraId="33346D60">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7F2CE14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21C7453E">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42018C">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DBA4D1">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CA419">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·闸具损坏、闸具不符合要求的每一处 </w:t>
            </w:r>
          </w:p>
        </w:tc>
        <w:tc>
          <w:tcPr>
            <w:tcW w:w="142" w:type="pct"/>
            <w:tcBorders>
              <w:top w:val="single" w:color="000000" w:sz="4" w:space="0"/>
              <w:left w:val="single" w:color="000000" w:sz="4" w:space="0"/>
              <w:bottom w:val="single" w:color="000000" w:sz="4" w:space="0"/>
              <w:right w:val="nil"/>
            </w:tcBorders>
            <w:noWrap w:val="0"/>
            <w:vAlign w:val="center"/>
          </w:tcPr>
          <w:p w14:paraId="5B9E85F9">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36B17DA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0B929749">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D46C1B">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AC757C">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2573E9">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·开关箱接入配电箱内无线路标记的每一处 </w:t>
            </w:r>
          </w:p>
        </w:tc>
        <w:tc>
          <w:tcPr>
            <w:tcW w:w="142" w:type="pct"/>
            <w:tcBorders>
              <w:top w:val="single" w:color="000000" w:sz="4" w:space="0"/>
              <w:left w:val="single" w:color="000000" w:sz="4" w:space="0"/>
              <w:bottom w:val="single" w:color="000000" w:sz="4" w:space="0"/>
              <w:right w:val="nil"/>
            </w:tcBorders>
            <w:noWrap w:val="0"/>
            <w:vAlign w:val="center"/>
          </w:tcPr>
          <w:p w14:paraId="33A651BB">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7997F42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2EFC5391">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0F95E0">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3F011E">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DFD5C">
            <w:pP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·开关箱未设置责任牌、线路图、电工巡查记录的每一处</w:t>
            </w:r>
          </w:p>
        </w:tc>
        <w:tc>
          <w:tcPr>
            <w:tcW w:w="142" w:type="pct"/>
            <w:tcBorders>
              <w:top w:val="single" w:color="000000" w:sz="4" w:space="0"/>
              <w:left w:val="single" w:color="000000" w:sz="4" w:space="0"/>
              <w:bottom w:val="single" w:color="000000" w:sz="4" w:space="0"/>
              <w:right w:val="nil"/>
            </w:tcBorders>
            <w:noWrap w:val="0"/>
            <w:vAlign w:val="center"/>
          </w:tcPr>
          <w:p w14:paraId="77244B58">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640F53B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39B70A50">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BFD393">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D2D1E9">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73FBE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·电箱下引出线混乱每一处 </w:t>
            </w:r>
          </w:p>
        </w:tc>
        <w:tc>
          <w:tcPr>
            <w:tcW w:w="142" w:type="pct"/>
            <w:tcBorders>
              <w:top w:val="single" w:color="000000" w:sz="4" w:space="0"/>
              <w:left w:val="single" w:color="000000" w:sz="4" w:space="0"/>
              <w:bottom w:val="single" w:color="000000" w:sz="4" w:space="0"/>
              <w:right w:val="nil"/>
            </w:tcBorders>
            <w:noWrap w:val="0"/>
            <w:vAlign w:val="center"/>
          </w:tcPr>
          <w:p w14:paraId="59E7555C">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3F5E408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74BDD428">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412D2E">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65B0A">
            <w:pPr>
              <w:jc w:val="center"/>
              <w:rPr>
                <w:rFonts w:hint="eastAsia" w:ascii="宋体" w:hAnsi="宋体" w:eastAsia="宋体" w:cs="宋体"/>
                <w:color w:val="auto"/>
                <w:sz w:val="20"/>
                <w:szCs w:val="20"/>
                <w:highlight w:val="none"/>
              </w:rPr>
            </w:pPr>
          </w:p>
        </w:tc>
        <w:tc>
          <w:tcPr>
            <w:tcW w:w="3014" w:type="pct"/>
            <w:gridSpan w:val="3"/>
            <w:tcBorders>
              <w:top w:val="single" w:color="000000" w:sz="4" w:space="0"/>
              <w:left w:val="single" w:color="000000" w:sz="4" w:space="0"/>
              <w:bottom w:val="nil"/>
              <w:right w:val="nil"/>
            </w:tcBorders>
            <w:shd w:val="clear" w:color="auto" w:fill="FFFFFF"/>
            <w:noWrap w:val="0"/>
            <w:vAlign w:val="center"/>
          </w:tcPr>
          <w:p w14:paraId="7F0813EC">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·开关箱内使用插座的</w:t>
            </w:r>
          </w:p>
        </w:tc>
        <w:tc>
          <w:tcPr>
            <w:tcW w:w="366" w:type="pct"/>
            <w:gridSpan w:val="4"/>
            <w:tcBorders>
              <w:top w:val="single" w:color="000000" w:sz="4" w:space="0"/>
              <w:left w:val="nil"/>
              <w:bottom w:val="nil"/>
              <w:right w:val="single" w:color="000000" w:sz="4" w:space="0"/>
            </w:tcBorders>
            <w:shd w:val="clear" w:color="auto" w:fill="FFFFFF"/>
            <w:noWrap w:val="0"/>
            <w:vAlign w:val="center"/>
          </w:tcPr>
          <w:p w14:paraId="5D06635C">
            <w:pPr>
              <w:rPr>
                <w:rFonts w:hint="eastAsia" w:ascii="宋体" w:hAnsi="宋体" w:eastAsia="宋体" w:cs="宋体"/>
                <w:color w:val="auto"/>
                <w:sz w:val="20"/>
                <w:szCs w:val="20"/>
                <w:highlight w:val="none"/>
              </w:rPr>
            </w:pPr>
          </w:p>
        </w:tc>
        <w:tc>
          <w:tcPr>
            <w:tcW w:w="142" w:type="pct"/>
            <w:tcBorders>
              <w:top w:val="nil"/>
              <w:left w:val="single" w:color="000000" w:sz="4" w:space="0"/>
              <w:bottom w:val="single" w:color="000000" w:sz="4" w:space="0"/>
              <w:right w:val="nil"/>
            </w:tcBorders>
            <w:noWrap w:val="0"/>
            <w:vAlign w:val="center"/>
          </w:tcPr>
          <w:p w14:paraId="158BA4FF">
            <w:pPr>
              <w:rPr>
                <w:rFonts w:hint="eastAsia" w:ascii="宋体" w:hAnsi="宋体" w:eastAsia="宋体" w:cs="宋体"/>
                <w:color w:val="auto"/>
                <w:sz w:val="20"/>
                <w:szCs w:val="20"/>
                <w:highlight w:val="none"/>
              </w:rPr>
            </w:pPr>
          </w:p>
        </w:tc>
        <w:tc>
          <w:tcPr>
            <w:tcW w:w="398" w:type="pct"/>
            <w:gridSpan w:val="2"/>
            <w:tcBorders>
              <w:top w:val="nil"/>
              <w:left w:val="nil"/>
              <w:bottom w:val="single" w:color="000000" w:sz="4" w:space="0"/>
              <w:right w:val="single" w:color="000000" w:sz="4" w:space="0"/>
            </w:tcBorders>
            <w:noWrap w:val="0"/>
            <w:vAlign w:val="center"/>
          </w:tcPr>
          <w:p w14:paraId="52DDB27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42DA2A48">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80BAD8">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43C9BF">
            <w:pPr>
              <w:jc w:val="center"/>
              <w:rPr>
                <w:rFonts w:hint="eastAsia" w:ascii="宋体" w:hAnsi="宋体" w:eastAsia="宋体" w:cs="宋体"/>
                <w:color w:val="auto"/>
                <w:sz w:val="20"/>
                <w:szCs w:val="20"/>
                <w:highlight w:val="none"/>
              </w:rPr>
            </w:pPr>
          </w:p>
        </w:tc>
        <w:tc>
          <w:tcPr>
            <w:tcW w:w="3014" w:type="pct"/>
            <w:gridSpan w:val="3"/>
            <w:tcBorders>
              <w:top w:val="single" w:color="000000" w:sz="4" w:space="0"/>
              <w:left w:val="single" w:color="000000" w:sz="4" w:space="0"/>
              <w:bottom w:val="nil"/>
              <w:right w:val="nil"/>
            </w:tcBorders>
            <w:shd w:val="clear" w:color="auto" w:fill="FFFFFF"/>
            <w:noWrap w:val="0"/>
            <w:vAlign w:val="center"/>
          </w:tcPr>
          <w:p w14:paraId="4CBC1A55">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·开关箱距离分配电箱大于30米的</w:t>
            </w:r>
          </w:p>
        </w:tc>
        <w:tc>
          <w:tcPr>
            <w:tcW w:w="366" w:type="pct"/>
            <w:gridSpan w:val="4"/>
            <w:tcBorders>
              <w:top w:val="single" w:color="000000" w:sz="4" w:space="0"/>
              <w:left w:val="nil"/>
              <w:bottom w:val="nil"/>
              <w:right w:val="single" w:color="000000" w:sz="4" w:space="0"/>
            </w:tcBorders>
            <w:shd w:val="clear" w:color="auto" w:fill="FFFFFF"/>
            <w:noWrap w:val="0"/>
            <w:vAlign w:val="center"/>
          </w:tcPr>
          <w:p w14:paraId="6F2B63E9">
            <w:pPr>
              <w:rPr>
                <w:rFonts w:hint="eastAsia" w:ascii="宋体" w:hAnsi="宋体" w:eastAsia="宋体" w:cs="宋体"/>
                <w:color w:val="auto"/>
                <w:sz w:val="20"/>
                <w:szCs w:val="20"/>
                <w:highlight w:val="none"/>
              </w:rPr>
            </w:pPr>
          </w:p>
        </w:tc>
        <w:tc>
          <w:tcPr>
            <w:tcW w:w="142" w:type="pct"/>
            <w:tcBorders>
              <w:top w:val="nil"/>
              <w:left w:val="single" w:color="000000" w:sz="4" w:space="0"/>
              <w:bottom w:val="single" w:color="000000" w:sz="4" w:space="0"/>
              <w:right w:val="nil"/>
            </w:tcBorders>
            <w:noWrap w:val="0"/>
            <w:vAlign w:val="center"/>
          </w:tcPr>
          <w:p w14:paraId="2BFB0FA2">
            <w:pPr>
              <w:rPr>
                <w:rFonts w:hint="eastAsia" w:ascii="宋体" w:hAnsi="宋体" w:eastAsia="宋体" w:cs="宋体"/>
                <w:color w:val="auto"/>
                <w:sz w:val="20"/>
                <w:szCs w:val="20"/>
                <w:highlight w:val="none"/>
              </w:rPr>
            </w:pPr>
          </w:p>
        </w:tc>
        <w:tc>
          <w:tcPr>
            <w:tcW w:w="398" w:type="pct"/>
            <w:gridSpan w:val="2"/>
            <w:tcBorders>
              <w:top w:val="nil"/>
              <w:left w:val="nil"/>
              <w:bottom w:val="single" w:color="000000" w:sz="4" w:space="0"/>
              <w:right w:val="single" w:color="000000" w:sz="4" w:space="0"/>
            </w:tcBorders>
            <w:noWrap w:val="0"/>
            <w:vAlign w:val="center"/>
          </w:tcPr>
          <w:p w14:paraId="5F14F44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367DA8D4">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FCD252">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31C589">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D5BD4A">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·电箱无门、无锁、无防雨措施的每一处 </w:t>
            </w:r>
          </w:p>
        </w:tc>
        <w:tc>
          <w:tcPr>
            <w:tcW w:w="142" w:type="pct"/>
            <w:tcBorders>
              <w:top w:val="nil"/>
              <w:left w:val="single" w:color="000000" w:sz="4" w:space="0"/>
              <w:bottom w:val="single" w:color="000000" w:sz="4" w:space="0"/>
              <w:right w:val="nil"/>
            </w:tcBorders>
            <w:noWrap w:val="0"/>
            <w:vAlign w:val="center"/>
          </w:tcPr>
          <w:p w14:paraId="70A99994">
            <w:pPr>
              <w:rPr>
                <w:rFonts w:hint="eastAsia" w:ascii="宋体" w:hAnsi="宋体" w:eastAsia="宋体" w:cs="宋体"/>
                <w:color w:val="auto"/>
                <w:sz w:val="20"/>
                <w:szCs w:val="20"/>
                <w:highlight w:val="none"/>
              </w:rPr>
            </w:pPr>
          </w:p>
        </w:tc>
        <w:tc>
          <w:tcPr>
            <w:tcW w:w="398" w:type="pct"/>
            <w:gridSpan w:val="2"/>
            <w:tcBorders>
              <w:top w:val="nil"/>
              <w:left w:val="nil"/>
              <w:bottom w:val="single" w:color="000000" w:sz="4" w:space="0"/>
              <w:right w:val="single" w:color="000000" w:sz="4" w:space="0"/>
            </w:tcBorders>
            <w:noWrap w:val="0"/>
            <w:vAlign w:val="center"/>
          </w:tcPr>
          <w:p w14:paraId="6F4D063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29D77914">
        <w:tblPrEx>
          <w:tblCellMar>
            <w:top w:w="0" w:type="dxa"/>
            <w:left w:w="108" w:type="dxa"/>
            <w:bottom w:w="0" w:type="dxa"/>
            <w:right w:w="108" w:type="dxa"/>
          </w:tblCellMar>
        </w:tblPrEx>
        <w:trPr>
          <w:trHeight w:val="30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BBDE7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w:t>
            </w:r>
          </w:p>
        </w:tc>
        <w:tc>
          <w:tcPr>
            <w:tcW w:w="739"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18B50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现场照明</w:t>
            </w: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F208E7">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·照明专用回路无漏电保护 </w:t>
            </w:r>
          </w:p>
        </w:tc>
        <w:tc>
          <w:tcPr>
            <w:tcW w:w="142" w:type="pct"/>
            <w:tcBorders>
              <w:top w:val="single" w:color="000000" w:sz="4" w:space="0"/>
              <w:left w:val="single" w:color="000000" w:sz="4" w:space="0"/>
              <w:bottom w:val="single" w:color="000000" w:sz="4" w:space="0"/>
              <w:right w:val="nil"/>
            </w:tcBorders>
            <w:noWrap w:val="0"/>
            <w:vAlign w:val="center"/>
          </w:tcPr>
          <w:p w14:paraId="1ADB8743">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02F7783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3D1A1930">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F9FDA2">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6118A8">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D62659">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·灯具金属外壳未作接零保护的每一处 </w:t>
            </w:r>
          </w:p>
        </w:tc>
        <w:tc>
          <w:tcPr>
            <w:tcW w:w="142" w:type="pct"/>
            <w:tcBorders>
              <w:top w:val="single" w:color="000000" w:sz="4" w:space="0"/>
              <w:left w:val="single" w:color="000000" w:sz="4" w:space="0"/>
              <w:bottom w:val="single" w:color="000000" w:sz="4" w:space="0"/>
              <w:right w:val="nil"/>
            </w:tcBorders>
            <w:noWrap w:val="0"/>
            <w:vAlign w:val="center"/>
          </w:tcPr>
          <w:p w14:paraId="3132311D">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187AC84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5DC038F3">
        <w:tblPrEx>
          <w:tblCellMar>
            <w:top w:w="0" w:type="dxa"/>
            <w:left w:w="108" w:type="dxa"/>
            <w:bottom w:w="0" w:type="dxa"/>
            <w:right w:w="108" w:type="dxa"/>
          </w:tblCellMar>
        </w:tblPrEx>
        <w:trPr>
          <w:trHeight w:val="3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A43460">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CA518F">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5F629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·室内线路及灯具安装高度低于2.4m未使用安全电压供电的 </w:t>
            </w:r>
          </w:p>
        </w:tc>
        <w:tc>
          <w:tcPr>
            <w:tcW w:w="142" w:type="pct"/>
            <w:tcBorders>
              <w:top w:val="single" w:color="000000" w:sz="4" w:space="0"/>
              <w:left w:val="single" w:color="000000" w:sz="4" w:space="0"/>
              <w:bottom w:val="single" w:color="000000" w:sz="4" w:space="0"/>
              <w:right w:val="nil"/>
            </w:tcBorders>
            <w:noWrap w:val="0"/>
            <w:vAlign w:val="center"/>
          </w:tcPr>
          <w:p w14:paraId="427C133B">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3621DF0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04F2D137">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D1EE82">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4AA048">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689FE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·潮湿作业未使用36v以下安全电压的 </w:t>
            </w:r>
          </w:p>
        </w:tc>
        <w:tc>
          <w:tcPr>
            <w:tcW w:w="142" w:type="pct"/>
            <w:tcBorders>
              <w:top w:val="single" w:color="000000" w:sz="4" w:space="0"/>
              <w:left w:val="single" w:color="000000" w:sz="4" w:space="0"/>
              <w:bottom w:val="single" w:color="000000" w:sz="4" w:space="0"/>
              <w:right w:val="nil"/>
            </w:tcBorders>
            <w:noWrap w:val="0"/>
            <w:vAlign w:val="center"/>
          </w:tcPr>
          <w:p w14:paraId="08120AD8">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20FE927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266FD5AD">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A889C0">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EB9655">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64B0C2">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·使用36v安全电压照明线路混乱和接头处未用绝缘布包扎 </w:t>
            </w:r>
          </w:p>
        </w:tc>
        <w:tc>
          <w:tcPr>
            <w:tcW w:w="142" w:type="pct"/>
            <w:tcBorders>
              <w:top w:val="single" w:color="000000" w:sz="4" w:space="0"/>
              <w:left w:val="single" w:color="000000" w:sz="4" w:space="0"/>
              <w:bottom w:val="single" w:color="000000" w:sz="4" w:space="0"/>
              <w:right w:val="nil"/>
            </w:tcBorders>
            <w:noWrap w:val="0"/>
            <w:vAlign w:val="center"/>
          </w:tcPr>
          <w:p w14:paraId="1C854404">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75365C6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2577002E">
        <w:tblPrEx>
          <w:tblCellMar>
            <w:top w:w="0" w:type="dxa"/>
            <w:left w:w="108" w:type="dxa"/>
            <w:bottom w:w="0" w:type="dxa"/>
            <w:right w:w="108" w:type="dxa"/>
          </w:tblCellMar>
        </w:tblPrEx>
        <w:trPr>
          <w:trHeight w:val="24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8F94A5">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4C9F0">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712C9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·手持照明灯未使用36v及以下电源供电</w:t>
            </w:r>
          </w:p>
        </w:tc>
        <w:tc>
          <w:tcPr>
            <w:tcW w:w="142" w:type="pct"/>
            <w:tcBorders>
              <w:top w:val="nil"/>
              <w:left w:val="single" w:color="000000" w:sz="4" w:space="0"/>
              <w:bottom w:val="single" w:color="000000" w:sz="4" w:space="0"/>
              <w:right w:val="nil"/>
            </w:tcBorders>
            <w:noWrap w:val="0"/>
            <w:vAlign w:val="center"/>
          </w:tcPr>
          <w:p w14:paraId="21326389">
            <w:pPr>
              <w:rPr>
                <w:rFonts w:hint="eastAsia" w:ascii="宋体" w:hAnsi="宋体" w:eastAsia="宋体" w:cs="宋体"/>
                <w:color w:val="auto"/>
                <w:sz w:val="20"/>
                <w:szCs w:val="20"/>
                <w:highlight w:val="none"/>
              </w:rPr>
            </w:pPr>
          </w:p>
        </w:tc>
        <w:tc>
          <w:tcPr>
            <w:tcW w:w="398" w:type="pct"/>
            <w:gridSpan w:val="2"/>
            <w:tcBorders>
              <w:top w:val="nil"/>
              <w:left w:val="nil"/>
              <w:bottom w:val="single" w:color="000000" w:sz="4" w:space="0"/>
              <w:right w:val="single" w:color="000000" w:sz="4" w:space="0"/>
            </w:tcBorders>
            <w:noWrap w:val="0"/>
            <w:vAlign w:val="center"/>
          </w:tcPr>
          <w:p w14:paraId="37D2354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2B422B85">
        <w:tblPrEx>
          <w:tblCellMar>
            <w:top w:w="0" w:type="dxa"/>
            <w:left w:w="108" w:type="dxa"/>
            <w:bottom w:w="0" w:type="dxa"/>
            <w:right w:w="108" w:type="dxa"/>
          </w:tblCellMar>
        </w:tblPrEx>
        <w:trPr>
          <w:trHeight w:val="27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85BF9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w:t>
            </w:r>
          </w:p>
        </w:tc>
        <w:tc>
          <w:tcPr>
            <w:tcW w:w="739"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2FDBA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配电线路</w:t>
            </w: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9C0334">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·电线老化、破皮未包扎的每一处 </w:t>
            </w:r>
          </w:p>
        </w:tc>
        <w:tc>
          <w:tcPr>
            <w:tcW w:w="142" w:type="pct"/>
            <w:tcBorders>
              <w:top w:val="single" w:color="000000" w:sz="4" w:space="0"/>
              <w:left w:val="single" w:color="000000" w:sz="4" w:space="0"/>
              <w:bottom w:val="single" w:color="000000" w:sz="4" w:space="0"/>
              <w:right w:val="nil"/>
            </w:tcBorders>
            <w:noWrap w:val="0"/>
            <w:vAlign w:val="center"/>
          </w:tcPr>
          <w:p w14:paraId="19515DE2">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16DAB6B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1B7B25A5">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10A4B0">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E4F40E">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53D336">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·线路过道无保护的或电线设置套管的每一处</w:t>
            </w:r>
          </w:p>
        </w:tc>
        <w:tc>
          <w:tcPr>
            <w:tcW w:w="142" w:type="pct"/>
            <w:tcBorders>
              <w:top w:val="single" w:color="000000" w:sz="4" w:space="0"/>
              <w:left w:val="single" w:color="000000" w:sz="4" w:space="0"/>
              <w:bottom w:val="single" w:color="000000" w:sz="4" w:space="0"/>
              <w:right w:val="nil"/>
            </w:tcBorders>
            <w:noWrap w:val="0"/>
            <w:vAlign w:val="center"/>
          </w:tcPr>
          <w:p w14:paraId="695956EE">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3559E4A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77079A77">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7BE14F">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D4CD9A">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4324A3">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·电杆、横担不符合要求的 </w:t>
            </w:r>
          </w:p>
        </w:tc>
        <w:tc>
          <w:tcPr>
            <w:tcW w:w="142" w:type="pct"/>
            <w:tcBorders>
              <w:top w:val="single" w:color="000000" w:sz="4" w:space="0"/>
              <w:left w:val="single" w:color="000000" w:sz="4" w:space="0"/>
              <w:bottom w:val="single" w:color="000000" w:sz="4" w:space="0"/>
              <w:right w:val="nil"/>
            </w:tcBorders>
            <w:noWrap w:val="0"/>
            <w:vAlign w:val="center"/>
          </w:tcPr>
          <w:p w14:paraId="4EF8FAB7">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10907CD1">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38BE899B">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D461C7">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BAC378">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87BDB0">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·架空线路不符合要求的</w:t>
            </w:r>
          </w:p>
        </w:tc>
        <w:tc>
          <w:tcPr>
            <w:tcW w:w="142" w:type="pct"/>
            <w:tcBorders>
              <w:top w:val="single" w:color="000000" w:sz="4" w:space="0"/>
              <w:left w:val="single" w:color="000000" w:sz="4" w:space="0"/>
              <w:bottom w:val="single" w:color="000000" w:sz="4" w:space="0"/>
              <w:right w:val="nil"/>
            </w:tcBorders>
            <w:noWrap w:val="0"/>
            <w:vAlign w:val="center"/>
          </w:tcPr>
          <w:p w14:paraId="3ABC47D0">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56BB8EE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6373E957">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9D7E12">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0AFF5C">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CD65B4">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·未使用五芯线（电缆）的 </w:t>
            </w:r>
          </w:p>
        </w:tc>
        <w:tc>
          <w:tcPr>
            <w:tcW w:w="142" w:type="pct"/>
            <w:tcBorders>
              <w:top w:val="single" w:color="000000" w:sz="4" w:space="0"/>
              <w:left w:val="single" w:color="000000" w:sz="4" w:space="0"/>
              <w:bottom w:val="single" w:color="000000" w:sz="4" w:space="0"/>
              <w:right w:val="nil"/>
            </w:tcBorders>
            <w:noWrap w:val="0"/>
            <w:vAlign w:val="center"/>
          </w:tcPr>
          <w:p w14:paraId="5100E704">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3F8BA3F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2A2A1349">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33036">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3AFB35">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DAC44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·使用四芯电缆外加一根线替代五芯电缆的 </w:t>
            </w:r>
          </w:p>
        </w:tc>
        <w:tc>
          <w:tcPr>
            <w:tcW w:w="142" w:type="pct"/>
            <w:tcBorders>
              <w:top w:val="single" w:color="000000" w:sz="4" w:space="0"/>
              <w:left w:val="single" w:color="000000" w:sz="4" w:space="0"/>
              <w:bottom w:val="single" w:color="000000" w:sz="4" w:space="0"/>
              <w:right w:val="nil"/>
            </w:tcBorders>
            <w:noWrap w:val="0"/>
            <w:vAlign w:val="center"/>
          </w:tcPr>
          <w:p w14:paraId="475FEE3B">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160AF92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6780CBC1">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FB82AC">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8E2DFF">
            <w:pPr>
              <w:jc w:val="center"/>
              <w:rPr>
                <w:rFonts w:hint="eastAsia" w:ascii="宋体" w:hAnsi="宋体" w:eastAsia="宋体" w:cs="宋体"/>
                <w:color w:val="auto"/>
                <w:sz w:val="20"/>
                <w:szCs w:val="20"/>
                <w:highlight w:val="none"/>
              </w:rPr>
            </w:pPr>
          </w:p>
        </w:tc>
        <w:tc>
          <w:tcPr>
            <w:tcW w:w="3014" w:type="pct"/>
            <w:gridSpan w:val="3"/>
            <w:tcBorders>
              <w:top w:val="single" w:color="000000" w:sz="4" w:space="0"/>
              <w:left w:val="single" w:color="000000" w:sz="4" w:space="0"/>
              <w:bottom w:val="nil"/>
              <w:right w:val="nil"/>
            </w:tcBorders>
            <w:shd w:val="clear" w:color="auto" w:fill="FFFFFF"/>
            <w:noWrap w:val="0"/>
            <w:vAlign w:val="center"/>
          </w:tcPr>
          <w:p w14:paraId="2DDDBDEC">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·电线乱拉乱接的</w:t>
            </w:r>
          </w:p>
        </w:tc>
        <w:tc>
          <w:tcPr>
            <w:tcW w:w="366" w:type="pct"/>
            <w:gridSpan w:val="4"/>
            <w:tcBorders>
              <w:top w:val="single" w:color="000000" w:sz="4" w:space="0"/>
              <w:left w:val="nil"/>
              <w:bottom w:val="nil"/>
              <w:right w:val="single" w:color="000000" w:sz="4" w:space="0"/>
            </w:tcBorders>
            <w:shd w:val="clear" w:color="auto" w:fill="FFFFFF"/>
            <w:noWrap w:val="0"/>
            <w:vAlign w:val="center"/>
          </w:tcPr>
          <w:p w14:paraId="431C84B6">
            <w:pPr>
              <w:rPr>
                <w:rFonts w:hint="eastAsia" w:ascii="宋体" w:hAnsi="宋体" w:eastAsia="宋体" w:cs="宋体"/>
                <w:color w:val="auto"/>
                <w:sz w:val="20"/>
                <w:szCs w:val="20"/>
                <w:highlight w:val="none"/>
              </w:rPr>
            </w:pPr>
          </w:p>
        </w:tc>
        <w:tc>
          <w:tcPr>
            <w:tcW w:w="142" w:type="pct"/>
            <w:tcBorders>
              <w:top w:val="nil"/>
              <w:left w:val="single" w:color="000000" w:sz="4" w:space="0"/>
              <w:bottom w:val="single" w:color="000000" w:sz="4" w:space="0"/>
              <w:right w:val="nil"/>
            </w:tcBorders>
            <w:noWrap w:val="0"/>
            <w:vAlign w:val="center"/>
          </w:tcPr>
          <w:p w14:paraId="7E5040AE">
            <w:pPr>
              <w:rPr>
                <w:rFonts w:hint="eastAsia" w:ascii="宋体" w:hAnsi="宋体" w:eastAsia="宋体" w:cs="宋体"/>
                <w:color w:val="auto"/>
                <w:sz w:val="20"/>
                <w:szCs w:val="20"/>
                <w:highlight w:val="none"/>
              </w:rPr>
            </w:pPr>
          </w:p>
        </w:tc>
        <w:tc>
          <w:tcPr>
            <w:tcW w:w="398" w:type="pct"/>
            <w:gridSpan w:val="2"/>
            <w:tcBorders>
              <w:top w:val="nil"/>
              <w:left w:val="nil"/>
              <w:bottom w:val="single" w:color="000000" w:sz="4" w:space="0"/>
              <w:right w:val="single" w:color="000000" w:sz="4" w:space="0"/>
            </w:tcBorders>
            <w:noWrap w:val="0"/>
            <w:vAlign w:val="center"/>
          </w:tcPr>
          <w:p w14:paraId="1A2C86B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5568670D">
        <w:tblPrEx>
          <w:tblCellMar>
            <w:top w:w="0" w:type="dxa"/>
            <w:left w:w="108" w:type="dxa"/>
            <w:bottom w:w="0" w:type="dxa"/>
            <w:right w:w="108" w:type="dxa"/>
          </w:tblCellMar>
        </w:tblPrEx>
        <w:trPr>
          <w:trHeight w:val="27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8485BD">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0CE42A">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0D929">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·电缆架设或埋设不符合要求的</w:t>
            </w:r>
          </w:p>
        </w:tc>
        <w:tc>
          <w:tcPr>
            <w:tcW w:w="142" w:type="pct"/>
            <w:tcBorders>
              <w:top w:val="nil"/>
              <w:left w:val="single" w:color="000000" w:sz="4" w:space="0"/>
              <w:bottom w:val="single" w:color="000000" w:sz="4" w:space="0"/>
              <w:right w:val="nil"/>
            </w:tcBorders>
            <w:noWrap w:val="0"/>
            <w:vAlign w:val="center"/>
          </w:tcPr>
          <w:p w14:paraId="4F6DBD00">
            <w:pPr>
              <w:rPr>
                <w:rFonts w:hint="eastAsia" w:ascii="宋体" w:hAnsi="宋体" w:eastAsia="宋体" w:cs="宋体"/>
                <w:color w:val="auto"/>
                <w:sz w:val="20"/>
                <w:szCs w:val="20"/>
                <w:highlight w:val="none"/>
              </w:rPr>
            </w:pPr>
          </w:p>
        </w:tc>
        <w:tc>
          <w:tcPr>
            <w:tcW w:w="398" w:type="pct"/>
            <w:gridSpan w:val="2"/>
            <w:tcBorders>
              <w:top w:val="nil"/>
              <w:left w:val="nil"/>
              <w:bottom w:val="single" w:color="000000" w:sz="4" w:space="0"/>
              <w:right w:val="single" w:color="000000" w:sz="4" w:space="0"/>
            </w:tcBorders>
            <w:noWrap w:val="0"/>
            <w:vAlign w:val="center"/>
          </w:tcPr>
          <w:p w14:paraId="63C8E6A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7C6224B8">
        <w:tblPrEx>
          <w:tblCellMar>
            <w:top w:w="0" w:type="dxa"/>
            <w:left w:w="108" w:type="dxa"/>
            <w:bottom w:w="0" w:type="dxa"/>
            <w:right w:w="108" w:type="dxa"/>
          </w:tblCellMar>
        </w:tblPrEx>
        <w:trPr>
          <w:trHeight w:val="465"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D0537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6</w:t>
            </w:r>
          </w:p>
        </w:tc>
        <w:tc>
          <w:tcPr>
            <w:tcW w:w="739"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612C3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电器装置</w:t>
            </w: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53CB05">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·闸具、熔断器参数与设备容量不匹配、安装不符合要求的每一处 </w:t>
            </w:r>
          </w:p>
        </w:tc>
        <w:tc>
          <w:tcPr>
            <w:tcW w:w="142" w:type="pct"/>
            <w:tcBorders>
              <w:top w:val="single" w:color="000000" w:sz="4" w:space="0"/>
              <w:left w:val="single" w:color="000000" w:sz="4" w:space="0"/>
              <w:bottom w:val="single" w:color="000000" w:sz="4" w:space="0"/>
              <w:right w:val="nil"/>
            </w:tcBorders>
            <w:noWrap w:val="0"/>
            <w:vAlign w:val="center"/>
          </w:tcPr>
          <w:p w14:paraId="51D74B05">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41E971C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1D1AC91D">
        <w:tblPrEx>
          <w:tblCellMar>
            <w:top w:w="0" w:type="dxa"/>
            <w:left w:w="108" w:type="dxa"/>
            <w:bottom w:w="0" w:type="dxa"/>
            <w:right w:w="108" w:type="dxa"/>
          </w:tblCellMar>
        </w:tblPrEx>
        <w:trPr>
          <w:trHeight w:val="30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925DD">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5547CA">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ACB15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·用其他金属代替熔丝的 </w:t>
            </w:r>
          </w:p>
        </w:tc>
        <w:tc>
          <w:tcPr>
            <w:tcW w:w="142" w:type="pct"/>
            <w:tcBorders>
              <w:top w:val="nil"/>
              <w:left w:val="single" w:color="000000" w:sz="4" w:space="0"/>
              <w:bottom w:val="single" w:color="000000" w:sz="4" w:space="0"/>
              <w:right w:val="nil"/>
            </w:tcBorders>
            <w:noWrap w:val="0"/>
            <w:vAlign w:val="center"/>
          </w:tcPr>
          <w:p w14:paraId="70562438">
            <w:pPr>
              <w:rPr>
                <w:rFonts w:hint="eastAsia" w:ascii="宋体" w:hAnsi="宋体" w:eastAsia="宋体" w:cs="宋体"/>
                <w:color w:val="auto"/>
                <w:sz w:val="20"/>
                <w:szCs w:val="20"/>
                <w:highlight w:val="none"/>
              </w:rPr>
            </w:pPr>
          </w:p>
        </w:tc>
        <w:tc>
          <w:tcPr>
            <w:tcW w:w="398" w:type="pct"/>
            <w:gridSpan w:val="2"/>
            <w:tcBorders>
              <w:top w:val="nil"/>
              <w:left w:val="nil"/>
              <w:bottom w:val="single" w:color="000000" w:sz="4" w:space="0"/>
              <w:right w:val="single" w:color="000000" w:sz="4" w:space="0"/>
            </w:tcBorders>
            <w:noWrap w:val="0"/>
            <w:vAlign w:val="center"/>
          </w:tcPr>
          <w:p w14:paraId="2375939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51BD7E34">
        <w:tblPrEx>
          <w:tblCellMar>
            <w:top w:w="0" w:type="dxa"/>
            <w:left w:w="108" w:type="dxa"/>
            <w:bottom w:w="0" w:type="dxa"/>
            <w:right w:w="108" w:type="dxa"/>
          </w:tblCellMar>
        </w:tblPrEx>
        <w:trPr>
          <w:trHeight w:val="30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2E7F0">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7</w:t>
            </w:r>
          </w:p>
        </w:tc>
        <w:tc>
          <w:tcPr>
            <w:tcW w:w="739" w:type="pct"/>
            <w:gridSpan w:val="3"/>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DAAD1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用电巡查</w:t>
            </w:r>
          </w:p>
        </w:tc>
        <w:tc>
          <w:tcPr>
            <w:tcW w:w="3014" w:type="pct"/>
            <w:gridSpan w:val="3"/>
            <w:tcBorders>
              <w:top w:val="single" w:color="000000" w:sz="4" w:space="0"/>
              <w:left w:val="single" w:color="000000" w:sz="4" w:space="0"/>
              <w:bottom w:val="nil"/>
              <w:right w:val="nil"/>
            </w:tcBorders>
            <w:shd w:val="clear" w:color="auto" w:fill="FFFFFF"/>
            <w:noWrap w:val="0"/>
            <w:vAlign w:val="center"/>
          </w:tcPr>
          <w:p w14:paraId="01F44025">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·电工无证上岗的</w:t>
            </w:r>
          </w:p>
        </w:tc>
        <w:tc>
          <w:tcPr>
            <w:tcW w:w="366" w:type="pct"/>
            <w:gridSpan w:val="4"/>
            <w:tcBorders>
              <w:top w:val="single" w:color="000000" w:sz="4" w:space="0"/>
              <w:left w:val="nil"/>
              <w:bottom w:val="nil"/>
              <w:right w:val="single" w:color="000000" w:sz="4" w:space="0"/>
            </w:tcBorders>
            <w:shd w:val="clear" w:color="auto" w:fill="FFFFFF"/>
            <w:noWrap w:val="0"/>
            <w:vAlign w:val="center"/>
          </w:tcPr>
          <w:p w14:paraId="5CB6CBA6">
            <w:pPr>
              <w:rPr>
                <w:rFonts w:hint="eastAsia" w:ascii="宋体" w:hAnsi="宋体" w:eastAsia="宋体" w:cs="宋体"/>
                <w:color w:val="auto"/>
                <w:sz w:val="20"/>
                <w:szCs w:val="20"/>
                <w:highlight w:val="none"/>
              </w:rPr>
            </w:pPr>
          </w:p>
        </w:tc>
        <w:tc>
          <w:tcPr>
            <w:tcW w:w="540" w:type="pct"/>
            <w:gridSpan w:val="3"/>
            <w:tcBorders>
              <w:top w:val="nil"/>
              <w:left w:val="single" w:color="000000" w:sz="4" w:space="0"/>
              <w:bottom w:val="single" w:color="000000" w:sz="4" w:space="0"/>
              <w:right w:val="single" w:color="000000" w:sz="4" w:space="0"/>
            </w:tcBorders>
            <w:noWrap w:val="0"/>
            <w:vAlign w:val="center"/>
          </w:tcPr>
          <w:p w14:paraId="74BA9B7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0C00AC15">
        <w:tblPrEx>
          <w:tblCellMar>
            <w:top w:w="0" w:type="dxa"/>
            <w:left w:w="108" w:type="dxa"/>
            <w:bottom w:w="0" w:type="dxa"/>
            <w:right w:w="108" w:type="dxa"/>
          </w:tblCellMar>
        </w:tblPrEx>
        <w:trPr>
          <w:trHeight w:val="33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C65276">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934DCF">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BE86CC">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·无接地电阻测试记录的</w:t>
            </w:r>
          </w:p>
        </w:tc>
        <w:tc>
          <w:tcPr>
            <w:tcW w:w="142" w:type="pct"/>
            <w:tcBorders>
              <w:top w:val="single" w:color="000000" w:sz="4" w:space="0"/>
              <w:left w:val="single" w:color="000000" w:sz="4" w:space="0"/>
              <w:bottom w:val="single" w:color="000000" w:sz="4" w:space="0"/>
              <w:right w:val="nil"/>
            </w:tcBorders>
            <w:noWrap w:val="0"/>
            <w:vAlign w:val="center"/>
          </w:tcPr>
          <w:p w14:paraId="3964E17C">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1B1066C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482F593F">
        <w:tblPrEx>
          <w:tblCellMar>
            <w:top w:w="0" w:type="dxa"/>
            <w:left w:w="108" w:type="dxa"/>
            <w:bottom w:w="0" w:type="dxa"/>
            <w:right w:w="108" w:type="dxa"/>
          </w:tblCellMar>
        </w:tblPrEx>
        <w:trPr>
          <w:trHeight w:val="33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F9FAD5">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DE37D9">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8436EF">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·无电工巡视维修记录或填写不真实的 </w:t>
            </w:r>
          </w:p>
        </w:tc>
        <w:tc>
          <w:tcPr>
            <w:tcW w:w="142" w:type="pct"/>
            <w:tcBorders>
              <w:top w:val="single" w:color="000000" w:sz="4" w:space="0"/>
              <w:left w:val="single" w:color="000000" w:sz="4" w:space="0"/>
              <w:bottom w:val="single" w:color="000000" w:sz="4" w:space="0"/>
              <w:right w:val="nil"/>
            </w:tcBorders>
            <w:noWrap w:val="0"/>
            <w:vAlign w:val="center"/>
          </w:tcPr>
          <w:p w14:paraId="6D570FB6">
            <w:pPr>
              <w:rPr>
                <w:rFonts w:hint="eastAsia" w:ascii="宋体" w:hAnsi="宋体" w:eastAsia="宋体" w:cs="宋体"/>
                <w:color w:val="auto"/>
                <w:sz w:val="20"/>
                <w:szCs w:val="20"/>
                <w:highlight w:val="none"/>
              </w:rPr>
            </w:pPr>
          </w:p>
        </w:tc>
        <w:tc>
          <w:tcPr>
            <w:tcW w:w="398" w:type="pct"/>
            <w:gridSpan w:val="2"/>
            <w:tcBorders>
              <w:top w:val="single" w:color="000000" w:sz="4" w:space="0"/>
              <w:left w:val="nil"/>
              <w:bottom w:val="single" w:color="000000" w:sz="4" w:space="0"/>
              <w:right w:val="single" w:color="000000" w:sz="4" w:space="0"/>
            </w:tcBorders>
            <w:noWrap w:val="0"/>
            <w:vAlign w:val="center"/>
          </w:tcPr>
          <w:p w14:paraId="318B586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4A61D605">
        <w:tblPrEx>
          <w:tblCellMar>
            <w:top w:w="0" w:type="dxa"/>
            <w:left w:w="108" w:type="dxa"/>
            <w:bottom w:w="0" w:type="dxa"/>
            <w:right w:w="108" w:type="dxa"/>
          </w:tblCellMar>
        </w:tblPrEx>
        <w:trPr>
          <w:trHeight w:val="33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A010BA">
            <w:pPr>
              <w:jc w:val="center"/>
              <w:rPr>
                <w:rFonts w:hint="eastAsia" w:ascii="宋体" w:hAnsi="宋体" w:eastAsia="宋体" w:cs="宋体"/>
                <w:color w:val="auto"/>
                <w:sz w:val="20"/>
                <w:szCs w:val="20"/>
                <w:highlight w:val="none"/>
              </w:rPr>
            </w:pPr>
          </w:p>
        </w:tc>
        <w:tc>
          <w:tcPr>
            <w:tcW w:w="739" w:type="pct"/>
            <w:gridSpan w:val="3"/>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16C8DD">
            <w:pPr>
              <w:jc w:val="center"/>
              <w:rPr>
                <w:rFonts w:hint="eastAsia" w:ascii="宋体" w:hAnsi="宋体" w:eastAsia="宋体" w:cs="宋体"/>
                <w:color w:val="auto"/>
                <w:sz w:val="20"/>
                <w:szCs w:val="20"/>
                <w:highlight w:val="none"/>
              </w:rPr>
            </w:pPr>
          </w:p>
        </w:tc>
        <w:tc>
          <w:tcPr>
            <w:tcW w:w="3380" w:type="pct"/>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6943E2">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·档案乱、内容不全、无专人管理的 </w:t>
            </w:r>
          </w:p>
        </w:tc>
        <w:tc>
          <w:tcPr>
            <w:tcW w:w="142" w:type="pct"/>
            <w:tcBorders>
              <w:top w:val="nil"/>
              <w:left w:val="single" w:color="000000" w:sz="4" w:space="0"/>
              <w:bottom w:val="single" w:color="000000" w:sz="4" w:space="0"/>
              <w:right w:val="nil"/>
            </w:tcBorders>
            <w:noWrap w:val="0"/>
            <w:vAlign w:val="center"/>
          </w:tcPr>
          <w:p w14:paraId="652209D1">
            <w:pPr>
              <w:rPr>
                <w:rFonts w:hint="eastAsia" w:ascii="宋体" w:hAnsi="宋体" w:eastAsia="宋体" w:cs="宋体"/>
                <w:color w:val="auto"/>
                <w:sz w:val="20"/>
                <w:szCs w:val="20"/>
                <w:highlight w:val="none"/>
              </w:rPr>
            </w:pPr>
          </w:p>
        </w:tc>
        <w:tc>
          <w:tcPr>
            <w:tcW w:w="398" w:type="pct"/>
            <w:gridSpan w:val="2"/>
            <w:tcBorders>
              <w:top w:val="nil"/>
              <w:left w:val="nil"/>
              <w:bottom w:val="single" w:color="000000" w:sz="4" w:space="0"/>
              <w:right w:val="single" w:color="000000" w:sz="4" w:space="0"/>
            </w:tcBorders>
            <w:noWrap w:val="0"/>
            <w:vAlign w:val="center"/>
          </w:tcPr>
          <w:p w14:paraId="3D9FE4F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150A7687">
        <w:tblPrEx>
          <w:tblCellMar>
            <w:top w:w="0" w:type="dxa"/>
            <w:left w:w="108" w:type="dxa"/>
            <w:bottom w:w="0" w:type="dxa"/>
            <w:right w:w="108" w:type="dxa"/>
          </w:tblCellMar>
        </w:tblPrEx>
        <w:trPr>
          <w:trHeight w:val="675" w:hRule="atLeast"/>
        </w:trPr>
        <w:tc>
          <w:tcPr>
            <w:tcW w:w="5000" w:type="pct"/>
            <w:gridSpan w:val="14"/>
            <w:tcBorders>
              <w:top w:val="nil"/>
              <w:left w:val="nil"/>
              <w:bottom w:val="nil"/>
              <w:right w:val="nil"/>
            </w:tcBorders>
            <w:shd w:val="clear" w:color="auto" w:fill="FFFFFF"/>
            <w:noWrap w:val="0"/>
            <w:vAlign w:val="center"/>
          </w:tcPr>
          <w:p w14:paraId="031531C0">
            <w:pPr>
              <w:widowControl/>
              <w:jc w:val="center"/>
              <w:textAlignment w:val="center"/>
              <w:rPr>
                <w:rFonts w:hint="eastAsia" w:ascii="宋体" w:hAnsi="宋体" w:eastAsia="宋体" w:cs="宋体"/>
                <w:b/>
                <w:bCs/>
                <w:color w:val="auto"/>
                <w:sz w:val="32"/>
                <w:szCs w:val="32"/>
                <w:highlight w:val="none"/>
              </w:rPr>
            </w:pPr>
            <w:r>
              <w:rPr>
                <w:rFonts w:hint="eastAsia" w:ascii="宋体" w:hAnsi="宋体" w:eastAsia="宋体" w:cs="宋体"/>
                <w:b/>
                <w:bCs/>
                <w:color w:val="auto"/>
                <w:kern w:val="0"/>
                <w:sz w:val="28"/>
                <w:szCs w:val="28"/>
                <w:highlight w:val="none"/>
                <w:lang w:bidi="ar"/>
              </w:rPr>
              <w:t>城工集团“三宝”、“四口”防护及危险作业检查处罚规定</w:t>
            </w:r>
          </w:p>
        </w:tc>
      </w:tr>
      <w:tr w14:paraId="6EF6B661">
        <w:tblPrEx>
          <w:tblCellMar>
            <w:top w:w="0" w:type="dxa"/>
            <w:left w:w="108" w:type="dxa"/>
            <w:bottom w:w="0" w:type="dxa"/>
            <w:right w:w="108" w:type="dxa"/>
          </w:tblCellMar>
        </w:tblPrEx>
        <w:trPr>
          <w:trHeight w:val="100" w:hRule="atLeast"/>
        </w:trPr>
        <w:tc>
          <w:tcPr>
            <w:tcW w:w="5000" w:type="pct"/>
            <w:gridSpan w:val="14"/>
            <w:tcBorders>
              <w:top w:val="nil"/>
              <w:left w:val="nil"/>
              <w:bottom w:val="single" w:color="000000" w:sz="4" w:space="0"/>
              <w:right w:val="nil"/>
            </w:tcBorders>
            <w:shd w:val="clear" w:color="auto" w:fill="FFFFFF"/>
            <w:noWrap w:val="0"/>
            <w:vAlign w:val="center"/>
          </w:tcPr>
          <w:p w14:paraId="2DCF668E">
            <w:pPr>
              <w:jc w:val="right"/>
              <w:rPr>
                <w:rFonts w:hint="eastAsia" w:ascii="宋体" w:hAnsi="宋体" w:eastAsia="宋体" w:cs="宋体"/>
                <w:color w:val="auto"/>
                <w:sz w:val="20"/>
                <w:szCs w:val="20"/>
                <w:highlight w:val="none"/>
              </w:rPr>
            </w:pPr>
          </w:p>
        </w:tc>
      </w:tr>
      <w:tr w14:paraId="47B6840A">
        <w:tblPrEx>
          <w:tblCellMar>
            <w:top w:w="0" w:type="dxa"/>
            <w:left w:w="108" w:type="dxa"/>
            <w:bottom w:w="0" w:type="dxa"/>
            <w:right w:w="108" w:type="dxa"/>
          </w:tblCellMar>
        </w:tblPrEx>
        <w:trPr>
          <w:trHeight w:val="540" w:hRule="atLeast"/>
        </w:trPr>
        <w:tc>
          <w:tcPr>
            <w:tcW w:w="411" w:type="pct"/>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44245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序</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号</w:t>
            </w:r>
          </w:p>
        </w:tc>
        <w:tc>
          <w:tcPr>
            <w:tcW w:w="57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0E9BC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检查项目</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51488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工地存在问题</w:t>
            </w:r>
          </w:p>
        </w:tc>
        <w:tc>
          <w:tcPr>
            <w:tcW w:w="870" w:type="pct"/>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02994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处罚金额</w:t>
            </w:r>
          </w:p>
        </w:tc>
      </w:tr>
      <w:tr w14:paraId="7BE0FFA9">
        <w:tblPrEx>
          <w:tblCellMar>
            <w:top w:w="0" w:type="dxa"/>
            <w:left w:w="108" w:type="dxa"/>
            <w:bottom w:w="0" w:type="dxa"/>
            <w:right w:w="108" w:type="dxa"/>
          </w:tblCellMar>
        </w:tblPrEx>
        <w:trPr>
          <w:trHeight w:val="340"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E124C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60F72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安全帽</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CEC37C">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·有一人不戴安全帽的 </w:t>
            </w:r>
          </w:p>
        </w:tc>
        <w:tc>
          <w:tcPr>
            <w:tcW w:w="238" w:type="pct"/>
            <w:gridSpan w:val="2"/>
            <w:tcBorders>
              <w:top w:val="single" w:color="000000" w:sz="4" w:space="0"/>
              <w:left w:val="single" w:color="000000" w:sz="4" w:space="0"/>
              <w:bottom w:val="single" w:color="000000" w:sz="4" w:space="0"/>
              <w:right w:val="nil"/>
            </w:tcBorders>
            <w:noWrap w:val="0"/>
            <w:vAlign w:val="center"/>
          </w:tcPr>
          <w:p w14:paraId="6C4290F0">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6F164752">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c>
          <w:tcPr>
            <w:tcW w:w="281" w:type="pct"/>
            <w:tcBorders>
              <w:top w:val="single" w:color="000000" w:sz="4" w:space="0"/>
              <w:left w:val="nil"/>
              <w:bottom w:val="single" w:color="000000" w:sz="4" w:space="0"/>
              <w:right w:val="single" w:color="000000" w:sz="4" w:space="0"/>
            </w:tcBorders>
            <w:noWrap w:val="0"/>
            <w:vAlign w:val="center"/>
          </w:tcPr>
          <w:p w14:paraId="3111CE6E">
            <w:pPr>
              <w:rPr>
                <w:rFonts w:hint="eastAsia" w:ascii="宋体" w:hAnsi="宋体" w:eastAsia="宋体" w:cs="宋体"/>
                <w:color w:val="auto"/>
                <w:sz w:val="20"/>
                <w:szCs w:val="20"/>
                <w:highlight w:val="none"/>
              </w:rPr>
            </w:pPr>
          </w:p>
        </w:tc>
      </w:tr>
      <w:tr w14:paraId="186AD523">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BC1E32">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631BFF">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A10BD5">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·安全帽不符合标准的每发现一顶 </w:t>
            </w:r>
          </w:p>
        </w:tc>
        <w:tc>
          <w:tcPr>
            <w:tcW w:w="238" w:type="pct"/>
            <w:gridSpan w:val="2"/>
            <w:tcBorders>
              <w:top w:val="single" w:color="000000" w:sz="4" w:space="0"/>
              <w:left w:val="single" w:color="000000" w:sz="4" w:space="0"/>
              <w:bottom w:val="single" w:color="000000" w:sz="4" w:space="0"/>
              <w:right w:val="nil"/>
            </w:tcBorders>
            <w:noWrap w:val="0"/>
            <w:vAlign w:val="center"/>
          </w:tcPr>
          <w:p w14:paraId="4FC55E6E">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661CB6FE">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c>
          <w:tcPr>
            <w:tcW w:w="281" w:type="pct"/>
            <w:tcBorders>
              <w:top w:val="single" w:color="000000" w:sz="4" w:space="0"/>
              <w:left w:val="nil"/>
              <w:bottom w:val="single" w:color="000000" w:sz="4" w:space="0"/>
              <w:right w:val="single" w:color="000000" w:sz="4" w:space="0"/>
            </w:tcBorders>
            <w:noWrap w:val="0"/>
            <w:vAlign w:val="center"/>
          </w:tcPr>
          <w:p w14:paraId="53FECEC1">
            <w:pPr>
              <w:rPr>
                <w:rFonts w:hint="eastAsia" w:ascii="宋体" w:hAnsi="宋体" w:eastAsia="宋体" w:cs="宋体"/>
                <w:color w:val="auto"/>
                <w:sz w:val="20"/>
                <w:szCs w:val="20"/>
                <w:highlight w:val="none"/>
              </w:rPr>
            </w:pPr>
          </w:p>
        </w:tc>
      </w:tr>
      <w:tr w14:paraId="74E477E4">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39E527">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086A4D">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EE9880">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·不按规定佩戴安全帽的有一人 </w:t>
            </w:r>
          </w:p>
        </w:tc>
        <w:tc>
          <w:tcPr>
            <w:tcW w:w="238" w:type="pct"/>
            <w:gridSpan w:val="2"/>
            <w:tcBorders>
              <w:top w:val="single" w:color="000000" w:sz="4" w:space="0"/>
              <w:left w:val="single" w:color="000000" w:sz="4" w:space="0"/>
              <w:bottom w:val="single" w:color="000000" w:sz="4" w:space="0"/>
              <w:right w:val="nil"/>
            </w:tcBorders>
            <w:noWrap w:val="0"/>
            <w:vAlign w:val="center"/>
          </w:tcPr>
          <w:p w14:paraId="39772B78">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5591D68C">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c>
          <w:tcPr>
            <w:tcW w:w="281" w:type="pct"/>
            <w:tcBorders>
              <w:top w:val="single" w:color="000000" w:sz="4" w:space="0"/>
              <w:left w:val="nil"/>
              <w:bottom w:val="single" w:color="000000" w:sz="4" w:space="0"/>
              <w:right w:val="single" w:color="000000" w:sz="4" w:space="0"/>
            </w:tcBorders>
            <w:noWrap w:val="0"/>
            <w:vAlign w:val="center"/>
          </w:tcPr>
          <w:p w14:paraId="23BCF5A0">
            <w:pPr>
              <w:rPr>
                <w:rFonts w:hint="eastAsia" w:ascii="宋体" w:hAnsi="宋体" w:eastAsia="宋体" w:cs="宋体"/>
                <w:color w:val="auto"/>
                <w:sz w:val="20"/>
                <w:szCs w:val="20"/>
                <w:highlight w:val="none"/>
              </w:rPr>
            </w:pPr>
          </w:p>
        </w:tc>
      </w:tr>
      <w:tr w14:paraId="11465A3E">
        <w:tblPrEx>
          <w:tblCellMar>
            <w:top w:w="0" w:type="dxa"/>
            <w:left w:w="108" w:type="dxa"/>
            <w:bottom w:w="0" w:type="dxa"/>
            <w:right w:w="108" w:type="dxa"/>
          </w:tblCellMar>
        </w:tblPrEx>
        <w:trPr>
          <w:trHeight w:val="340" w:hRule="atLeast"/>
        </w:trPr>
        <w:tc>
          <w:tcPr>
            <w:tcW w:w="411" w:type="pct"/>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1FE05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w:t>
            </w:r>
          </w:p>
        </w:tc>
        <w:tc>
          <w:tcPr>
            <w:tcW w:w="57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FE3A6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安全网</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03205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·擅自拆除安全网未及时恢复的 </w:t>
            </w:r>
          </w:p>
        </w:tc>
        <w:tc>
          <w:tcPr>
            <w:tcW w:w="238" w:type="pct"/>
            <w:gridSpan w:val="2"/>
            <w:tcBorders>
              <w:top w:val="single" w:color="000000" w:sz="4" w:space="0"/>
              <w:left w:val="single" w:color="000000" w:sz="4" w:space="0"/>
              <w:bottom w:val="single" w:color="000000" w:sz="4" w:space="0"/>
              <w:right w:val="nil"/>
            </w:tcBorders>
            <w:noWrap w:val="0"/>
            <w:vAlign w:val="center"/>
          </w:tcPr>
          <w:p w14:paraId="742566A2">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444F68D2">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single" w:color="000000" w:sz="4" w:space="0"/>
              <w:left w:val="nil"/>
              <w:bottom w:val="single" w:color="000000" w:sz="4" w:space="0"/>
              <w:right w:val="single" w:color="000000" w:sz="4" w:space="0"/>
            </w:tcBorders>
            <w:noWrap w:val="0"/>
            <w:vAlign w:val="center"/>
          </w:tcPr>
          <w:p w14:paraId="6A532AE0">
            <w:pPr>
              <w:rPr>
                <w:rFonts w:hint="eastAsia" w:ascii="宋体" w:hAnsi="宋体" w:eastAsia="宋体" w:cs="宋体"/>
                <w:color w:val="auto"/>
                <w:sz w:val="20"/>
                <w:szCs w:val="20"/>
                <w:highlight w:val="none"/>
              </w:rPr>
            </w:pPr>
          </w:p>
        </w:tc>
      </w:tr>
      <w:tr w14:paraId="159CDE57">
        <w:tblPrEx>
          <w:tblCellMar>
            <w:top w:w="0" w:type="dxa"/>
            <w:left w:w="108" w:type="dxa"/>
            <w:bottom w:w="0" w:type="dxa"/>
            <w:right w:w="108" w:type="dxa"/>
          </w:tblCellMar>
        </w:tblPrEx>
        <w:trPr>
          <w:trHeight w:val="340"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EFAF9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6CB25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安全带</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D5A3E0">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·高处作业有一人未系安全带的 </w:t>
            </w:r>
          </w:p>
        </w:tc>
        <w:tc>
          <w:tcPr>
            <w:tcW w:w="238" w:type="pct"/>
            <w:gridSpan w:val="2"/>
            <w:tcBorders>
              <w:top w:val="single" w:color="000000" w:sz="4" w:space="0"/>
              <w:left w:val="single" w:color="000000" w:sz="4" w:space="0"/>
              <w:bottom w:val="single" w:color="000000" w:sz="4" w:space="0"/>
              <w:right w:val="nil"/>
            </w:tcBorders>
            <w:noWrap w:val="0"/>
            <w:vAlign w:val="center"/>
          </w:tcPr>
          <w:p w14:paraId="2280A88C">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1671CBE3">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c>
          <w:tcPr>
            <w:tcW w:w="281" w:type="pct"/>
            <w:tcBorders>
              <w:top w:val="single" w:color="000000" w:sz="4" w:space="0"/>
              <w:left w:val="nil"/>
              <w:bottom w:val="single" w:color="000000" w:sz="4" w:space="0"/>
              <w:right w:val="single" w:color="000000" w:sz="4" w:space="0"/>
            </w:tcBorders>
            <w:noWrap w:val="0"/>
            <w:vAlign w:val="center"/>
          </w:tcPr>
          <w:p w14:paraId="747BEE40">
            <w:pPr>
              <w:rPr>
                <w:rFonts w:hint="eastAsia" w:ascii="宋体" w:hAnsi="宋体" w:eastAsia="宋体" w:cs="宋体"/>
                <w:color w:val="auto"/>
                <w:sz w:val="20"/>
                <w:szCs w:val="20"/>
                <w:highlight w:val="none"/>
              </w:rPr>
            </w:pPr>
          </w:p>
        </w:tc>
      </w:tr>
      <w:tr w14:paraId="15142626">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8A0CB0">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751D07">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E4EFC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·有一人安全带系挂不符合要求 </w:t>
            </w:r>
          </w:p>
        </w:tc>
        <w:tc>
          <w:tcPr>
            <w:tcW w:w="238" w:type="pct"/>
            <w:gridSpan w:val="2"/>
            <w:tcBorders>
              <w:top w:val="single" w:color="000000" w:sz="4" w:space="0"/>
              <w:left w:val="single" w:color="000000" w:sz="4" w:space="0"/>
              <w:bottom w:val="single" w:color="000000" w:sz="4" w:space="0"/>
              <w:right w:val="nil"/>
            </w:tcBorders>
            <w:noWrap w:val="0"/>
            <w:vAlign w:val="center"/>
          </w:tcPr>
          <w:p w14:paraId="267E05EC">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27BE7530">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c>
          <w:tcPr>
            <w:tcW w:w="281" w:type="pct"/>
            <w:tcBorders>
              <w:top w:val="single" w:color="000000" w:sz="4" w:space="0"/>
              <w:left w:val="nil"/>
              <w:bottom w:val="single" w:color="000000" w:sz="4" w:space="0"/>
              <w:right w:val="single" w:color="000000" w:sz="4" w:space="0"/>
            </w:tcBorders>
            <w:noWrap w:val="0"/>
            <w:vAlign w:val="center"/>
          </w:tcPr>
          <w:p w14:paraId="611542B0">
            <w:pPr>
              <w:rPr>
                <w:rFonts w:hint="eastAsia" w:ascii="宋体" w:hAnsi="宋体" w:eastAsia="宋体" w:cs="宋体"/>
                <w:color w:val="auto"/>
                <w:sz w:val="20"/>
                <w:szCs w:val="20"/>
                <w:highlight w:val="none"/>
              </w:rPr>
            </w:pPr>
          </w:p>
        </w:tc>
      </w:tr>
      <w:tr w14:paraId="39A228F5">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0D7555">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B247B8">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8B1B0B">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·安全带不符合标准，每发现一条 </w:t>
            </w:r>
          </w:p>
        </w:tc>
        <w:tc>
          <w:tcPr>
            <w:tcW w:w="238" w:type="pct"/>
            <w:gridSpan w:val="2"/>
            <w:tcBorders>
              <w:top w:val="nil"/>
              <w:left w:val="single" w:color="000000" w:sz="4" w:space="0"/>
              <w:bottom w:val="single" w:color="000000" w:sz="4" w:space="0"/>
              <w:right w:val="nil"/>
            </w:tcBorders>
            <w:noWrap w:val="0"/>
            <w:vAlign w:val="center"/>
          </w:tcPr>
          <w:p w14:paraId="2354DF81">
            <w:pPr>
              <w:rPr>
                <w:rFonts w:hint="eastAsia" w:ascii="宋体" w:hAnsi="宋体" w:eastAsia="宋体" w:cs="宋体"/>
                <w:color w:val="auto"/>
                <w:sz w:val="20"/>
                <w:szCs w:val="20"/>
                <w:highlight w:val="none"/>
              </w:rPr>
            </w:pPr>
          </w:p>
        </w:tc>
        <w:tc>
          <w:tcPr>
            <w:tcW w:w="350" w:type="pct"/>
            <w:gridSpan w:val="3"/>
            <w:tcBorders>
              <w:top w:val="nil"/>
              <w:left w:val="nil"/>
              <w:bottom w:val="single" w:color="000000" w:sz="4" w:space="0"/>
              <w:right w:val="nil"/>
            </w:tcBorders>
            <w:noWrap w:val="0"/>
            <w:vAlign w:val="center"/>
          </w:tcPr>
          <w:p w14:paraId="756F9B96">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w:t>
            </w:r>
          </w:p>
        </w:tc>
        <w:tc>
          <w:tcPr>
            <w:tcW w:w="281" w:type="pct"/>
            <w:tcBorders>
              <w:top w:val="nil"/>
              <w:left w:val="nil"/>
              <w:bottom w:val="single" w:color="000000" w:sz="4" w:space="0"/>
              <w:right w:val="single" w:color="000000" w:sz="4" w:space="0"/>
            </w:tcBorders>
            <w:noWrap w:val="0"/>
            <w:vAlign w:val="center"/>
          </w:tcPr>
          <w:p w14:paraId="20B0D6B1">
            <w:pPr>
              <w:rPr>
                <w:rFonts w:hint="eastAsia" w:ascii="宋体" w:hAnsi="宋体" w:eastAsia="宋体" w:cs="宋体"/>
                <w:color w:val="auto"/>
                <w:sz w:val="20"/>
                <w:szCs w:val="20"/>
                <w:highlight w:val="none"/>
              </w:rPr>
            </w:pPr>
          </w:p>
        </w:tc>
      </w:tr>
      <w:tr w14:paraId="344A06AC">
        <w:tblPrEx>
          <w:tblCellMar>
            <w:top w:w="0" w:type="dxa"/>
            <w:left w:w="108" w:type="dxa"/>
            <w:bottom w:w="0" w:type="dxa"/>
            <w:right w:w="108" w:type="dxa"/>
          </w:tblCellMar>
        </w:tblPrEx>
        <w:trPr>
          <w:trHeight w:val="340"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5B34B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A76E6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楼梯口、</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电梯井口</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防护</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4BA06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·擅自拆除或破坏楼梯口防护棚或杆件的</w:t>
            </w:r>
          </w:p>
        </w:tc>
        <w:tc>
          <w:tcPr>
            <w:tcW w:w="238" w:type="pct"/>
            <w:gridSpan w:val="2"/>
            <w:tcBorders>
              <w:top w:val="single" w:color="000000" w:sz="4" w:space="0"/>
              <w:left w:val="single" w:color="000000" w:sz="4" w:space="0"/>
              <w:bottom w:val="single" w:color="000000" w:sz="4" w:space="0"/>
              <w:right w:val="nil"/>
            </w:tcBorders>
            <w:noWrap w:val="0"/>
            <w:vAlign w:val="center"/>
          </w:tcPr>
          <w:p w14:paraId="7729C79D">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50EDA82B">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c>
          <w:tcPr>
            <w:tcW w:w="281" w:type="pct"/>
            <w:tcBorders>
              <w:top w:val="single" w:color="000000" w:sz="4" w:space="0"/>
              <w:left w:val="nil"/>
              <w:bottom w:val="single" w:color="000000" w:sz="4" w:space="0"/>
              <w:right w:val="single" w:color="000000" w:sz="4" w:space="0"/>
            </w:tcBorders>
            <w:noWrap w:val="0"/>
            <w:vAlign w:val="center"/>
          </w:tcPr>
          <w:p w14:paraId="7F1C8057">
            <w:pPr>
              <w:rPr>
                <w:rFonts w:hint="eastAsia" w:ascii="宋体" w:hAnsi="宋体" w:eastAsia="宋体" w:cs="宋体"/>
                <w:color w:val="auto"/>
                <w:sz w:val="20"/>
                <w:szCs w:val="20"/>
                <w:highlight w:val="none"/>
              </w:rPr>
            </w:pPr>
          </w:p>
        </w:tc>
      </w:tr>
      <w:tr w14:paraId="31602EA0">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B0E451">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B27790">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E1A79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·擅自拆开电梯井口防护门未及恢复的 </w:t>
            </w:r>
          </w:p>
        </w:tc>
        <w:tc>
          <w:tcPr>
            <w:tcW w:w="238" w:type="pct"/>
            <w:gridSpan w:val="2"/>
            <w:tcBorders>
              <w:top w:val="single" w:color="000000" w:sz="4" w:space="0"/>
              <w:left w:val="single" w:color="000000" w:sz="4" w:space="0"/>
              <w:bottom w:val="single" w:color="000000" w:sz="4" w:space="0"/>
              <w:right w:val="nil"/>
            </w:tcBorders>
            <w:noWrap w:val="0"/>
            <w:vAlign w:val="center"/>
          </w:tcPr>
          <w:p w14:paraId="7DD43B06">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0A4BBC76">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c>
          <w:tcPr>
            <w:tcW w:w="281" w:type="pct"/>
            <w:tcBorders>
              <w:top w:val="single" w:color="000000" w:sz="4" w:space="0"/>
              <w:left w:val="nil"/>
              <w:bottom w:val="single" w:color="000000" w:sz="4" w:space="0"/>
              <w:right w:val="single" w:color="000000" w:sz="4" w:space="0"/>
            </w:tcBorders>
            <w:noWrap w:val="0"/>
            <w:vAlign w:val="center"/>
          </w:tcPr>
          <w:p w14:paraId="51E9A3ED">
            <w:pPr>
              <w:rPr>
                <w:rFonts w:hint="eastAsia" w:ascii="宋体" w:hAnsi="宋体" w:eastAsia="宋体" w:cs="宋体"/>
                <w:color w:val="auto"/>
                <w:sz w:val="20"/>
                <w:szCs w:val="20"/>
                <w:highlight w:val="none"/>
              </w:rPr>
            </w:pPr>
          </w:p>
        </w:tc>
      </w:tr>
      <w:tr w14:paraId="18CB71EA">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0AB678">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58664F">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F2878B">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·造成井口内封闭堆积垃圾未及时清理的</w:t>
            </w:r>
          </w:p>
        </w:tc>
        <w:tc>
          <w:tcPr>
            <w:tcW w:w="238" w:type="pct"/>
            <w:gridSpan w:val="2"/>
            <w:tcBorders>
              <w:top w:val="nil"/>
              <w:left w:val="single" w:color="000000" w:sz="4" w:space="0"/>
              <w:bottom w:val="single" w:color="000000" w:sz="4" w:space="0"/>
              <w:right w:val="nil"/>
            </w:tcBorders>
            <w:noWrap w:val="0"/>
            <w:vAlign w:val="center"/>
          </w:tcPr>
          <w:p w14:paraId="399E90A0">
            <w:pPr>
              <w:rPr>
                <w:rFonts w:hint="eastAsia" w:ascii="宋体" w:hAnsi="宋体" w:eastAsia="宋体" w:cs="宋体"/>
                <w:color w:val="auto"/>
                <w:sz w:val="20"/>
                <w:szCs w:val="20"/>
                <w:highlight w:val="none"/>
              </w:rPr>
            </w:pPr>
          </w:p>
        </w:tc>
        <w:tc>
          <w:tcPr>
            <w:tcW w:w="350" w:type="pct"/>
            <w:gridSpan w:val="3"/>
            <w:tcBorders>
              <w:top w:val="nil"/>
              <w:left w:val="nil"/>
              <w:bottom w:val="single" w:color="000000" w:sz="4" w:space="0"/>
              <w:right w:val="nil"/>
            </w:tcBorders>
            <w:noWrap w:val="0"/>
            <w:vAlign w:val="center"/>
          </w:tcPr>
          <w:p w14:paraId="2D4520DD">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c>
          <w:tcPr>
            <w:tcW w:w="281" w:type="pct"/>
            <w:tcBorders>
              <w:top w:val="nil"/>
              <w:left w:val="nil"/>
              <w:bottom w:val="single" w:color="000000" w:sz="4" w:space="0"/>
              <w:right w:val="single" w:color="000000" w:sz="4" w:space="0"/>
            </w:tcBorders>
            <w:noWrap w:val="0"/>
            <w:vAlign w:val="center"/>
          </w:tcPr>
          <w:p w14:paraId="7603A6CB">
            <w:pPr>
              <w:rPr>
                <w:rFonts w:hint="eastAsia" w:ascii="宋体" w:hAnsi="宋体" w:eastAsia="宋体" w:cs="宋体"/>
                <w:color w:val="auto"/>
                <w:sz w:val="20"/>
                <w:szCs w:val="20"/>
                <w:highlight w:val="none"/>
              </w:rPr>
            </w:pPr>
          </w:p>
        </w:tc>
      </w:tr>
      <w:tr w14:paraId="135F7D7A">
        <w:tblPrEx>
          <w:tblCellMar>
            <w:top w:w="0" w:type="dxa"/>
            <w:left w:w="108" w:type="dxa"/>
            <w:bottom w:w="0" w:type="dxa"/>
            <w:right w:w="108" w:type="dxa"/>
          </w:tblCellMar>
        </w:tblPrEx>
        <w:trPr>
          <w:trHeight w:val="340"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C601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D7C25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预留洞口、</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坑井防护</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6A819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·擅自拆除或破坏预留洞口盖板或防护栏杆的</w:t>
            </w:r>
          </w:p>
        </w:tc>
        <w:tc>
          <w:tcPr>
            <w:tcW w:w="238" w:type="pct"/>
            <w:gridSpan w:val="2"/>
            <w:tcBorders>
              <w:top w:val="single" w:color="000000" w:sz="4" w:space="0"/>
              <w:left w:val="single" w:color="000000" w:sz="4" w:space="0"/>
              <w:bottom w:val="single" w:color="000000" w:sz="4" w:space="0"/>
              <w:right w:val="nil"/>
            </w:tcBorders>
            <w:noWrap w:val="0"/>
            <w:vAlign w:val="center"/>
          </w:tcPr>
          <w:p w14:paraId="1B548129">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1221AFD5">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c>
          <w:tcPr>
            <w:tcW w:w="281" w:type="pct"/>
            <w:tcBorders>
              <w:top w:val="single" w:color="000000" w:sz="4" w:space="0"/>
              <w:left w:val="nil"/>
              <w:bottom w:val="single" w:color="000000" w:sz="4" w:space="0"/>
              <w:right w:val="single" w:color="000000" w:sz="4" w:space="0"/>
            </w:tcBorders>
            <w:noWrap w:val="0"/>
            <w:vAlign w:val="center"/>
          </w:tcPr>
          <w:p w14:paraId="339B2912">
            <w:pPr>
              <w:rPr>
                <w:rFonts w:hint="eastAsia" w:ascii="宋体" w:hAnsi="宋体" w:eastAsia="宋体" w:cs="宋体"/>
                <w:color w:val="auto"/>
                <w:sz w:val="20"/>
                <w:szCs w:val="20"/>
                <w:highlight w:val="none"/>
              </w:rPr>
            </w:pPr>
          </w:p>
        </w:tc>
      </w:tr>
      <w:tr w14:paraId="4BE7D091">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0DCA5A">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F6B369">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5E142B">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·造成防护不严密的 </w:t>
            </w:r>
          </w:p>
        </w:tc>
        <w:tc>
          <w:tcPr>
            <w:tcW w:w="238" w:type="pct"/>
            <w:gridSpan w:val="2"/>
            <w:tcBorders>
              <w:top w:val="nil"/>
              <w:left w:val="single" w:color="000000" w:sz="4" w:space="0"/>
              <w:bottom w:val="single" w:color="000000" w:sz="4" w:space="0"/>
              <w:right w:val="nil"/>
            </w:tcBorders>
            <w:noWrap w:val="0"/>
            <w:vAlign w:val="center"/>
          </w:tcPr>
          <w:p w14:paraId="36AAAC12">
            <w:pPr>
              <w:rPr>
                <w:rFonts w:hint="eastAsia" w:ascii="宋体" w:hAnsi="宋体" w:eastAsia="宋体" w:cs="宋体"/>
                <w:color w:val="auto"/>
                <w:sz w:val="20"/>
                <w:szCs w:val="20"/>
                <w:highlight w:val="none"/>
              </w:rPr>
            </w:pPr>
          </w:p>
        </w:tc>
        <w:tc>
          <w:tcPr>
            <w:tcW w:w="350" w:type="pct"/>
            <w:gridSpan w:val="3"/>
            <w:tcBorders>
              <w:top w:val="nil"/>
              <w:left w:val="nil"/>
              <w:bottom w:val="single" w:color="000000" w:sz="4" w:space="0"/>
              <w:right w:val="nil"/>
            </w:tcBorders>
            <w:noWrap w:val="0"/>
            <w:vAlign w:val="center"/>
          </w:tcPr>
          <w:p w14:paraId="41B5B657">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c>
          <w:tcPr>
            <w:tcW w:w="281" w:type="pct"/>
            <w:tcBorders>
              <w:top w:val="nil"/>
              <w:left w:val="nil"/>
              <w:bottom w:val="single" w:color="000000" w:sz="4" w:space="0"/>
              <w:right w:val="single" w:color="000000" w:sz="4" w:space="0"/>
            </w:tcBorders>
            <w:noWrap w:val="0"/>
            <w:vAlign w:val="center"/>
          </w:tcPr>
          <w:p w14:paraId="59B32AD0">
            <w:pPr>
              <w:rPr>
                <w:rFonts w:hint="eastAsia" w:ascii="宋体" w:hAnsi="宋体" w:eastAsia="宋体" w:cs="宋体"/>
                <w:color w:val="auto"/>
                <w:sz w:val="20"/>
                <w:szCs w:val="20"/>
                <w:highlight w:val="none"/>
              </w:rPr>
            </w:pPr>
          </w:p>
        </w:tc>
      </w:tr>
      <w:tr w14:paraId="371A2FEA">
        <w:tblPrEx>
          <w:tblCellMar>
            <w:top w:w="0" w:type="dxa"/>
            <w:left w:w="108" w:type="dxa"/>
            <w:bottom w:w="0" w:type="dxa"/>
            <w:right w:w="108" w:type="dxa"/>
          </w:tblCellMar>
        </w:tblPrEx>
        <w:trPr>
          <w:trHeight w:val="340"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5D80B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6</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BB955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通道口防护</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D6D66C">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·擅自拆除或破坏通道口防护棚或杆件的 </w:t>
            </w:r>
          </w:p>
        </w:tc>
        <w:tc>
          <w:tcPr>
            <w:tcW w:w="238" w:type="pct"/>
            <w:gridSpan w:val="2"/>
            <w:tcBorders>
              <w:top w:val="single" w:color="000000" w:sz="4" w:space="0"/>
              <w:left w:val="single" w:color="000000" w:sz="4" w:space="0"/>
              <w:bottom w:val="single" w:color="000000" w:sz="4" w:space="0"/>
              <w:right w:val="nil"/>
            </w:tcBorders>
            <w:noWrap w:val="0"/>
            <w:vAlign w:val="center"/>
          </w:tcPr>
          <w:p w14:paraId="268D9491">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3D9C083F">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81" w:type="pct"/>
            <w:tcBorders>
              <w:top w:val="single" w:color="000000" w:sz="4" w:space="0"/>
              <w:left w:val="nil"/>
              <w:bottom w:val="single" w:color="000000" w:sz="4" w:space="0"/>
              <w:right w:val="single" w:color="000000" w:sz="4" w:space="0"/>
            </w:tcBorders>
            <w:noWrap w:val="0"/>
            <w:vAlign w:val="center"/>
          </w:tcPr>
          <w:p w14:paraId="08DE6C35">
            <w:pPr>
              <w:rPr>
                <w:rFonts w:hint="eastAsia" w:ascii="宋体" w:hAnsi="宋体" w:eastAsia="宋体" w:cs="宋体"/>
                <w:color w:val="auto"/>
                <w:sz w:val="20"/>
                <w:szCs w:val="20"/>
                <w:highlight w:val="none"/>
              </w:rPr>
            </w:pPr>
          </w:p>
        </w:tc>
      </w:tr>
      <w:tr w14:paraId="0A8C8A5D">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B9F55A">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C91C75">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AF8513">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·造成防护不严密的  </w:t>
            </w:r>
          </w:p>
        </w:tc>
        <w:tc>
          <w:tcPr>
            <w:tcW w:w="238" w:type="pct"/>
            <w:gridSpan w:val="2"/>
            <w:tcBorders>
              <w:top w:val="nil"/>
              <w:left w:val="single" w:color="000000" w:sz="4" w:space="0"/>
              <w:bottom w:val="single" w:color="000000" w:sz="4" w:space="0"/>
              <w:right w:val="nil"/>
            </w:tcBorders>
            <w:noWrap w:val="0"/>
            <w:vAlign w:val="center"/>
          </w:tcPr>
          <w:p w14:paraId="01650FE0">
            <w:pPr>
              <w:rPr>
                <w:rFonts w:hint="eastAsia" w:ascii="宋体" w:hAnsi="宋体" w:eastAsia="宋体" w:cs="宋体"/>
                <w:color w:val="auto"/>
                <w:sz w:val="20"/>
                <w:szCs w:val="20"/>
                <w:highlight w:val="none"/>
              </w:rPr>
            </w:pPr>
          </w:p>
        </w:tc>
        <w:tc>
          <w:tcPr>
            <w:tcW w:w="350" w:type="pct"/>
            <w:gridSpan w:val="3"/>
            <w:tcBorders>
              <w:top w:val="nil"/>
              <w:left w:val="nil"/>
              <w:bottom w:val="single" w:color="000000" w:sz="4" w:space="0"/>
              <w:right w:val="nil"/>
            </w:tcBorders>
            <w:noWrap w:val="0"/>
            <w:vAlign w:val="center"/>
          </w:tcPr>
          <w:p w14:paraId="38EE9A2E">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nil"/>
              <w:left w:val="nil"/>
              <w:bottom w:val="single" w:color="000000" w:sz="4" w:space="0"/>
              <w:right w:val="single" w:color="000000" w:sz="4" w:space="0"/>
            </w:tcBorders>
            <w:noWrap w:val="0"/>
            <w:vAlign w:val="center"/>
          </w:tcPr>
          <w:p w14:paraId="40839A05">
            <w:pPr>
              <w:rPr>
                <w:rFonts w:hint="eastAsia" w:ascii="宋体" w:hAnsi="宋体" w:eastAsia="宋体" w:cs="宋体"/>
                <w:color w:val="auto"/>
                <w:sz w:val="20"/>
                <w:szCs w:val="20"/>
                <w:highlight w:val="none"/>
              </w:rPr>
            </w:pPr>
          </w:p>
        </w:tc>
      </w:tr>
      <w:tr w14:paraId="5C05AF07">
        <w:tblPrEx>
          <w:tblCellMar>
            <w:top w:w="0" w:type="dxa"/>
            <w:left w:w="108" w:type="dxa"/>
            <w:bottom w:w="0" w:type="dxa"/>
            <w:right w:w="108" w:type="dxa"/>
          </w:tblCellMar>
        </w:tblPrEx>
        <w:trPr>
          <w:trHeight w:val="340"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EBE2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7</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F8E05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阳台、楼板、屋面等临边防护</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929F4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·擅自拆除或破坏临边防护栏杆的 </w:t>
            </w:r>
          </w:p>
        </w:tc>
        <w:tc>
          <w:tcPr>
            <w:tcW w:w="238" w:type="pct"/>
            <w:gridSpan w:val="2"/>
            <w:tcBorders>
              <w:top w:val="single" w:color="000000" w:sz="4" w:space="0"/>
              <w:left w:val="single" w:color="000000" w:sz="4" w:space="0"/>
              <w:bottom w:val="single" w:color="000000" w:sz="4" w:space="0"/>
              <w:right w:val="nil"/>
            </w:tcBorders>
            <w:noWrap w:val="0"/>
            <w:vAlign w:val="center"/>
          </w:tcPr>
          <w:p w14:paraId="769B5AD6">
            <w:pP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0"/>
            <w:vAlign w:val="center"/>
          </w:tcPr>
          <w:p w14:paraId="308938E5">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single" w:color="000000" w:sz="4" w:space="0"/>
              <w:left w:val="nil"/>
              <w:bottom w:val="single" w:color="000000" w:sz="4" w:space="0"/>
              <w:right w:val="single" w:color="000000" w:sz="4" w:space="0"/>
            </w:tcBorders>
            <w:noWrap w:val="0"/>
            <w:vAlign w:val="center"/>
          </w:tcPr>
          <w:p w14:paraId="4C27588B">
            <w:pPr>
              <w:rPr>
                <w:rFonts w:hint="eastAsia" w:ascii="宋体" w:hAnsi="宋体" w:eastAsia="宋体" w:cs="宋体"/>
                <w:color w:val="auto"/>
                <w:sz w:val="20"/>
                <w:szCs w:val="20"/>
                <w:highlight w:val="none"/>
              </w:rPr>
            </w:pPr>
          </w:p>
        </w:tc>
      </w:tr>
      <w:tr w14:paraId="3F3F1FA1">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DCA8C6">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706759">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65A70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·造成防护不严密的 </w:t>
            </w:r>
          </w:p>
        </w:tc>
        <w:tc>
          <w:tcPr>
            <w:tcW w:w="238" w:type="pct"/>
            <w:gridSpan w:val="2"/>
            <w:tcBorders>
              <w:top w:val="nil"/>
              <w:left w:val="single" w:color="000000" w:sz="4" w:space="0"/>
              <w:bottom w:val="single" w:color="000000" w:sz="4" w:space="0"/>
              <w:right w:val="nil"/>
            </w:tcBorders>
            <w:noWrap w:val="0"/>
            <w:vAlign w:val="center"/>
          </w:tcPr>
          <w:p w14:paraId="71429F71">
            <w:pPr>
              <w:rPr>
                <w:rFonts w:hint="eastAsia" w:ascii="宋体" w:hAnsi="宋体" w:eastAsia="宋体" w:cs="宋体"/>
                <w:color w:val="auto"/>
                <w:sz w:val="20"/>
                <w:szCs w:val="20"/>
                <w:highlight w:val="none"/>
              </w:rPr>
            </w:pPr>
          </w:p>
        </w:tc>
        <w:tc>
          <w:tcPr>
            <w:tcW w:w="350" w:type="pct"/>
            <w:gridSpan w:val="3"/>
            <w:tcBorders>
              <w:top w:val="nil"/>
              <w:left w:val="nil"/>
              <w:bottom w:val="single" w:color="000000" w:sz="4" w:space="0"/>
              <w:right w:val="nil"/>
            </w:tcBorders>
            <w:noWrap w:val="0"/>
            <w:vAlign w:val="center"/>
          </w:tcPr>
          <w:p w14:paraId="21AD9027">
            <w:pPr>
              <w:widowControl/>
              <w:jc w:val="righ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300</w:t>
            </w:r>
          </w:p>
        </w:tc>
        <w:tc>
          <w:tcPr>
            <w:tcW w:w="281" w:type="pct"/>
            <w:tcBorders>
              <w:top w:val="nil"/>
              <w:left w:val="nil"/>
              <w:bottom w:val="single" w:color="000000" w:sz="4" w:space="0"/>
              <w:right w:val="single" w:color="000000" w:sz="4" w:space="0"/>
            </w:tcBorders>
            <w:noWrap w:val="0"/>
            <w:vAlign w:val="center"/>
          </w:tcPr>
          <w:p w14:paraId="5D9C8874">
            <w:pPr>
              <w:rPr>
                <w:rFonts w:hint="eastAsia" w:ascii="宋体" w:hAnsi="宋体" w:eastAsia="宋体" w:cs="宋体"/>
                <w:color w:val="auto"/>
                <w:sz w:val="20"/>
                <w:szCs w:val="20"/>
                <w:highlight w:val="none"/>
              </w:rPr>
            </w:pPr>
          </w:p>
        </w:tc>
      </w:tr>
      <w:tr w14:paraId="0CEA49DF">
        <w:tblPrEx>
          <w:tblCellMar>
            <w:top w:w="0" w:type="dxa"/>
            <w:left w:w="108" w:type="dxa"/>
            <w:bottom w:w="0" w:type="dxa"/>
            <w:right w:w="108" w:type="dxa"/>
          </w:tblCellMar>
        </w:tblPrEx>
        <w:trPr>
          <w:trHeight w:val="340" w:hRule="atLeast"/>
        </w:trPr>
        <w:tc>
          <w:tcPr>
            <w:tcW w:w="411" w:type="pct"/>
            <w:gridSpan w:val="2"/>
            <w:vMerge w:val="restart"/>
            <w:tcBorders>
              <w:top w:val="single" w:color="000000" w:sz="4" w:space="0"/>
              <w:left w:val="single" w:color="000000" w:sz="4" w:space="0"/>
              <w:bottom w:val="nil"/>
              <w:right w:val="single" w:color="000000" w:sz="4" w:space="0"/>
            </w:tcBorders>
            <w:shd w:val="clear" w:color="auto" w:fill="auto"/>
            <w:noWrap/>
            <w:vAlign w:val="center"/>
          </w:tcPr>
          <w:p w14:paraId="48C54B2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8</w:t>
            </w:r>
          </w:p>
        </w:tc>
        <w:tc>
          <w:tcPr>
            <w:tcW w:w="574" w:type="pct"/>
            <w:vMerge w:val="restart"/>
            <w:tcBorders>
              <w:top w:val="single" w:color="000000" w:sz="4" w:space="0"/>
              <w:left w:val="single" w:color="000000" w:sz="4" w:space="0"/>
              <w:bottom w:val="nil"/>
              <w:right w:val="single" w:color="000000" w:sz="4" w:space="0"/>
            </w:tcBorders>
            <w:shd w:val="clear" w:color="auto" w:fill="auto"/>
            <w:noWrap/>
            <w:vAlign w:val="center"/>
          </w:tcPr>
          <w:p w14:paraId="0DD4F88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高处作业</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7447D7">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·作业平台未经总包验收合格擅自进行作业的</w:t>
            </w:r>
          </w:p>
        </w:tc>
        <w:tc>
          <w:tcPr>
            <w:tcW w:w="870" w:type="pct"/>
            <w:gridSpan w:val="6"/>
            <w:tcBorders>
              <w:top w:val="single" w:color="000000" w:sz="4" w:space="0"/>
              <w:left w:val="single" w:color="000000" w:sz="4" w:space="0"/>
              <w:bottom w:val="single" w:color="000000" w:sz="4" w:space="0"/>
              <w:right w:val="single" w:color="000000" w:sz="4" w:space="0"/>
            </w:tcBorders>
            <w:noWrap/>
            <w:vAlign w:val="bottom"/>
          </w:tcPr>
          <w:p w14:paraId="2CF2C413">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53F4EF81">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395F53DC">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nil"/>
              <w:right w:val="single" w:color="000000" w:sz="4" w:space="0"/>
            </w:tcBorders>
            <w:shd w:val="clear" w:color="auto" w:fill="auto"/>
            <w:noWrap/>
            <w:vAlign w:val="center"/>
          </w:tcPr>
          <w:p w14:paraId="63275C40">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70FC31">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·移动式作业平台无抗覆装置的或顶部无设置防护栏杆的</w:t>
            </w:r>
          </w:p>
        </w:tc>
        <w:tc>
          <w:tcPr>
            <w:tcW w:w="870" w:type="pct"/>
            <w:gridSpan w:val="6"/>
            <w:tcBorders>
              <w:top w:val="single" w:color="000000" w:sz="4" w:space="0"/>
              <w:left w:val="single" w:color="000000" w:sz="4" w:space="0"/>
              <w:bottom w:val="single" w:color="000000" w:sz="4" w:space="0"/>
              <w:right w:val="single" w:color="000000" w:sz="4" w:space="0"/>
            </w:tcBorders>
            <w:noWrap/>
            <w:vAlign w:val="bottom"/>
          </w:tcPr>
          <w:p w14:paraId="60E3E10C">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0E91672B">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1020A9B2">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nil"/>
              <w:right w:val="single" w:color="000000" w:sz="4" w:space="0"/>
            </w:tcBorders>
            <w:shd w:val="clear" w:color="auto" w:fill="auto"/>
            <w:noWrap/>
            <w:vAlign w:val="center"/>
          </w:tcPr>
          <w:p w14:paraId="57D38F9C">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94EA0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·移动式作业平台底座滑轮未上锁的</w:t>
            </w:r>
          </w:p>
        </w:tc>
        <w:tc>
          <w:tcPr>
            <w:tcW w:w="238" w:type="pct"/>
            <w:gridSpan w:val="2"/>
            <w:tcBorders>
              <w:top w:val="single" w:color="000000" w:sz="4" w:space="0"/>
              <w:left w:val="single" w:color="000000" w:sz="4" w:space="0"/>
              <w:bottom w:val="single" w:color="000000" w:sz="4" w:space="0"/>
              <w:right w:val="nil"/>
            </w:tcBorders>
            <w:noWrap/>
            <w:vAlign w:val="bottom"/>
          </w:tcPr>
          <w:p w14:paraId="791FC4FC">
            <w:pPr>
              <w:jc w:val="cente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ign w:val="bottom"/>
          </w:tcPr>
          <w:p w14:paraId="4F93E534">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single" w:color="000000" w:sz="4" w:space="0"/>
              <w:left w:val="nil"/>
              <w:bottom w:val="single" w:color="000000" w:sz="4" w:space="0"/>
              <w:right w:val="single" w:color="000000" w:sz="4" w:space="0"/>
            </w:tcBorders>
            <w:noWrap/>
            <w:vAlign w:val="bottom"/>
          </w:tcPr>
          <w:p w14:paraId="5FE0F8E5">
            <w:pPr>
              <w:jc w:val="center"/>
              <w:rPr>
                <w:rFonts w:hint="eastAsia" w:ascii="宋体" w:hAnsi="宋体" w:eastAsia="宋体" w:cs="宋体"/>
                <w:color w:val="auto"/>
                <w:sz w:val="20"/>
                <w:szCs w:val="20"/>
                <w:highlight w:val="none"/>
              </w:rPr>
            </w:pPr>
          </w:p>
        </w:tc>
      </w:tr>
      <w:tr w14:paraId="651BA6AC">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1364AD16">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nil"/>
              <w:right w:val="single" w:color="000000" w:sz="4" w:space="0"/>
            </w:tcBorders>
            <w:shd w:val="clear" w:color="auto" w:fill="auto"/>
            <w:noWrap/>
            <w:vAlign w:val="center"/>
          </w:tcPr>
          <w:p w14:paraId="59E90636">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6EC6E7">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·移动式作业平台移动时作业人员在平台上的</w:t>
            </w:r>
          </w:p>
        </w:tc>
        <w:tc>
          <w:tcPr>
            <w:tcW w:w="238" w:type="pct"/>
            <w:gridSpan w:val="2"/>
            <w:tcBorders>
              <w:top w:val="single" w:color="000000" w:sz="4" w:space="0"/>
              <w:left w:val="single" w:color="000000" w:sz="4" w:space="0"/>
              <w:bottom w:val="single" w:color="000000" w:sz="4" w:space="0"/>
              <w:right w:val="nil"/>
            </w:tcBorders>
            <w:noWrap/>
            <w:vAlign w:val="bottom"/>
          </w:tcPr>
          <w:p w14:paraId="523775B0">
            <w:pPr>
              <w:jc w:val="cente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ign w:val="bottom"/>
          </w:tcPr>
          <w:p w14:paraId="1964F409">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81" w:type="pct"/>
            <w:tcBorders>
              <w:top w:val="single" w:color="000000" w:sz="4" w:space="0"/>
              <w:left w:val="nil"/>
              <w:bottom w:val="single" w:color="000000" w:sz="4" w:space="0"/>
              <w:right w:val="single" w:color="000000" w:sz="4" w:space="0"/>
            </w:tcBorders>
            <w:noWrap/>
            <w:vAlign w:val="bottom"/>
          </w:tcPr>
          <w:p w14:paraId="37A03793">
            <w:pPr>
              <w:jc w:val="center"/>
              <w:rPr>
                <w:rFonts w:hint="eastAsia" w:ascii="宋体" w:hAnsi="宋体" w:eastAsia="宋体" w:cs="宋体"/>
                <w:color w:val="auto"/>
                <w:sz w:val="20"/>
                <w:szCs w:val="20"/>
                <w:highlight w:val="none"/>
              </w:rPr>
            </w:pPr>
          </w:p>
        </w:tc>
      </w:tr>
      <w:tr w14:paraId="7B8B8A3D">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2B42114E">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nil"/>
              <w:right w:val="single" w:color="000000" w:sz="4" w:space="0"/>
            </w:tcBorders>
            <w:shd w:val="clear" w:color="auto" w:fill="auto"/>
            <w:noWrap/>
            <w:vAlign w:val="center"/>
          </w:tcPr>
          <w:p w14:paraId="24F54F39">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CDC35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·爬梯材质不符合要求的或使用爬梯登高作业无看护人的</w:t>
            </w:r>
          </w:p>
        </w:tc>
        <w:tc>
          <w:tcPr>
            <w:tcW w:w="238" w:type="pct"/>
            <w:gridSpan w:val="2"/>
            <w:tcBorders>
              <w:top w:val="single" w:color="000000" w:sz="4" w:space="0"/>
              <w:left w:val="single" w:color="000000" w:sz="4" w:space="0"/>
              <w:bottom w:val="single" w:color="000000" w:sz="4" w:space="0"/>
              <w:right w:val="nil"/>
            </w:tcBorders>
            <w:noWrap/>
            <w:vAlign w:val="bottom"/>
          </w:tcPr>
          <w:p w14:paraId="4C88470D">
            <w:pPr>
              <w:jc w:val="cente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ign w:val="bottom"/>
          </w:tcPr>
          <w:p w14:paraId="01B2062F">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single" w:color="000000" w:sz="4" w:space="0"/>
              <w:left w:val="nil"/>
              <w:bottom w:val="single" w:color="000000" w:sz="4" w:space="0"/>
              <w:right w:val="single" w:color="000000" w:sz="4" w:space="0"/>
            </w:tcBorders>
            <w:noWrap/>
            <w:vAlign w:val="bottom"/>
          </w:tcPr>
          <w:p w14:paraId="7221695B">
            <w:pPr>
              <w:jc w:val="center"/>
              <w:rPr>
                <w:rFonts w:hint="eastAsia" w:ascii="宋体" w:hAnsi="宋体" w:eastAsia="宋体" w:cs="宋体"/>
                <w:color w:val="auto"/>
                <w:sz w:val="20"/>
                <w:szCs w:val="20"/>
                <w:highlight w:val="none"/>
              </w:rPr>
            </w:pPr>
          </w:p>
        </w:tc>
      </w:tr>
      <w:tr w14:paraId="0013033E">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7CEFF96D">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nil"/>
              <w:right w:val="single" w:color="000000" w:sz="4" w:space="0"/>
            </w:tcBorders>
            <w:shd w:val="clear" w:color="auto" w:fill="auto"/>
            <w:noWrap/>
            <w:vAlign w:val="center"/>
          </w:tcPr>
          <w:p w14:paraId="7E891A5C">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E02BD8">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·高空车进场未经验收擅自进行作业的</w:t>
            </w:r>
          </w:p>
        </w:tc>
        <w:tc>
          <w:tcPr>
            <w:tcW w:w="238" w:type="pct"/>
            <w:gridSpan w:val="2"/>
            <w:tcBorders>
              <w:top w:val="single" w:color="000000" w:sz="4" w:space="0"/>
              <w:left w:val="single" w:color="000000" w:sz="4" w:space="0"/>
              <w:bottom w:val="single" w:color="000000" w:sz="4" w:space="0"/>
              <w:right w:val="nil"/>
            </w:tcBorders>
            <w:noWrap/>
            <w:vAlign w:val="bottom"/>
          </w:tcPr>
          <w:p w14:paraId="3D4B172F">
            <w:pPr>
              <w:jc w:val="cente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ign w:val="bottom"/>
          </w:tcPr>
          <w:p w14:paraId="2426113F">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c>
          <w:tcPr>
            <w:tcW w:w="281" w:type="pct"/>
            <w:tcBorders>
              <w:top w:val="single" w:color="000000" w:sz="4" w:space="0"/>
              <w:left w:val="nil"/>
              <w:bottom w:val="single" w:color="000000" w:sz="4" w:space="0"/>
              <w:right w:val="single" w:color="000000" w:sz="4" w:space="0"/>
            </w:tcBorders>
            <w:noWrap/>
            <w:vAlign w:val="bottom"/>
          </w:tcPr>
          <w:p w14:paraId="482662A7">
            <w:pPr>
              <w:jc w:val="center"/>
              <w:rPr>
                <w:rFonts w:hint="eastAsia" w:ascii="宋体" w:hAnsi="宋体" w:eastAsia="宋体" w:cs="宋体"/>
                <w:color w:val="auto"/>
                <w:sz w:val="20"/>
                <w:szCs w:val="20"/>
                <w:highlight w:val="none"/>
              </w:rPr>
            </w:pPr>
          </w:p>
        </w:tc>
      </w:tr>
      <w:tr w14:paraId="565E04A7">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4E40CABF">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nil"/>
              <w:right w:val="single" w:color="000000" w:sz="4" w:space="0"/>
            </w:tcBorders>
            <w:shd w:val="clear" w:color="auto" w:fill="auto"/>
            <w:noWrap/>
            <w:vAlign w:val="center"/>
          </w:tcPr>
          <w:p w14:paraId="7122DC02">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91316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·高空车未设置防冲顶装置的</w:t>
            </w:r>
          </w:p>
        </w:tc>
        <w:tc>
          <w:tcPr>
            <w:tcW w:w="238" w:type="pct"/>
            <w:gridSpan w:val="2"/>
            <w:tcBorders>
              <w:top w:val="single" w:color="000000" w:sz="4" w:space="0"/>
              <w:left w:val="single" w:color="000000" w:sz="4" w:space="0"/>
              <w:bottom w:val="single" w:color="000000" w:sz="4" w:space="0"/>
              <w:right w:val="nil"/>
            </w:tcBorders>
            <w:noWrap/>
            <w:vAlign w:val="bottom"/>
          </w:tcPr>
          <w:p w14:paraId="5E3F7A20">
            <w:pPr>
              <w:jc w:val="cente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ign w:val="bottom"/>
          </w:tcPr>
          <w:p w14:paraId="1732B1B7">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single" w:color="000000" w:sz="4" w:space="0"/>
              <w:left w:val="nil"/>
              <w:bottom w:val="single" w:color="000000" w:sz="4" w:space="0"/>
              <w:right w:val="single" w:color="000000" w:sz="4" w:space="0"/>
            </w:tcBorders>
            <w:noWrap/>
            <w:vAlign w:val="bottom"/>
          </w:tcPr>
          <w:p w14:paraId="2959D5DE">
            <w:pPr>
              <w:jc w:val="center"/>
              <w:rPr>
                <w:rFonts w:hint="eastAsia" w:ascii="宋体" w:hAnsi="宋体" w:eastAsia="宋体" w:cs="宋体"/>
                <w:color w:val="auto"/>
                <w:sz w:val="20"/>
                <w:szCs w:val="20"/>
                <w:highlight w:val="none"/>
              </w:rPr>
            </w:pPr>
          </w:p>
        </w:tc>
      </w:tr>
      <w:tr w14:paraId="4A9DB5EF">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1EC55140">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nil"/>
              <w:right w:val="single" w:color="000000" w:sz="4" w:space="0"/>
            </w:tcBorders>
            <w:shd w:val="clear" w:color="auto" w:fill="auto"/>
            <w:noWrap/>
            <w:vAlign w:val="center"/>
          </w:tcPr>
          <w:p w14:paraId="05528BEE">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137DDC">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·高空车作业人员攀爬平台栏杆作业的</w:t>
            </w:r>
          </w:p>
        </w:tc>
        <w:tc>
          <w:tcPr>
            <w:tcW w:w="238" w:type="pct"/>
            <w:gridSpan w:val="2"/>
            <w:tcBorders>
              <w:top w:val="single" w:color="000000" w:sz="4" w:space="0"/>
              <w:left w:val="single" w:color="000000" w:sz="4" w:space="0"/>
              <w:bottom w:val="single" w:color="000000" w:sz="4" w:space="0"/>
              <w:right w:val="nil"/>
            </w:tcBorders>
            <w:noWrap/>
            <w:vAlign w:val="bottom"/>
          </w:tcPr>
          <w:p w14:paraId="68D30916">
            <w:pPr>
              <w:jc w:val="center"/>
              <w:rPr>
                <w:rFonts w:hint="eastAsia" w:ascii="宋体" w:hAnsi="宋体" w:eastAsia="宋体" w:cs="宋体"/>
                <w:color w:val="auto"/>
                <w:sz w:val="20"/>
                <w:szCs w:val="20"/>
                <w:highlight w:val="none"/>
              </w:rPr>
            </w:pPr>
          </w:p>
        </w:tc>
        <w:tc>
          <w:tcPr>
            <w:tcW w:w="350" w:type="pct"/>
            <w:gridSpan w:val="3"/>
            <w:tcBorders>
              <w:top w:val="single" w:color="000000" w:sz="4" w:space="0"/>
              <w:left w:val="nil"/>
              <w:bottom w:val="single" w:color="000000" w:sz="4" w:space="0"/>
              <w:right w:val="nil"/>
            </w:tcBorders>
            <w:noWrap/>
            <w:vAlign w:val="bottom"/>
          </w:tcPr>
          <w:p w14:paraId="1255AD06">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c>
          <w:tcPr>
            <w:tcW w:w="281" w:type="pct"/>
            <w:tcBorders>
              <w:top w:val="single" w:color="000000" w:sz="4" w:space="0"/>
              <w:left w:val="nil"/>
              <w:bottom w:val="single" w:color="000000" w:sz="4" w:space="0"/>
              <w:right w:val="single" w:color="000000" w:sz="4" w:space="0"/>
            </w:tcBorders>
            <w:noWrap/>
            <w:vAlign w:val="bottom"/>
          </w:tcPr>
          <w:p w14:paraId="407CFEE8">
            <w:pPr>
              <w:jc w:val="center"/>
              <w:rPr>
                <w:rFonts w:hint="eastAsia" w:ascii="宋体" w:hAnsi="宋体" w:eastAsia="宋体" w:cs="宋体"/>
                <w:color w:val="auto"/>
                <w:sz w:val="20"/>
                <w:szCs w:val="20"/>
                <w:highlight w:val="none"/>
              </w:rPr>
            </w:pPr>
          </w:p>
        </w:tc>
      </w:tr>
      <w:tr w14:paraId="42F683F6">
        <w:tblPrEx>
          <w:tblCellMar>
            <w:top w:w="0" w:type="dxa"/>
            <w:left w:w="108" w:type="dxa"/>
            <w:bottom w:w="0" w:type="dxa"/>
            <w:right w:w="108" w:type="dxa"/>
          </w:tblCellMar>
        </w:tblPrEx>
        <w:trPr>
          <w:trHeight w:val="340"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90A7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9</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3799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动火作业</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237423">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·动火作业未提前报总包审批的</w:t>
            </w:r>
          </w:p>
        </w:tc>
        <w:tc>
          <w:tcPr>
            <w:tcW w:w="870" w:type="pct"/>
            <w:gridSpan w:val="6"/>
            <w:tcBorders>
              <w:top w:val="single" w:color="000000" w:sz="4" w:space="0"/>
              <w:left w:val="single" w:color="000000" w:sz="4" w:space="0"/>
              <w:bottom w:val="single" w:color="000000" w:sz="4" w:space="0"/>
              <w:right w:val="single" w:color="000000" w:sz="4" w:space="0"/>
            </w:tcBorders>
            <w:noWrap/>
            <w:vAlign w:val="bottom"/>
          </w:tcPr>
          <w:p w14:paraId="24DB3C4C">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1D3FDE03">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54A42">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6E69">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3E76AA">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·动火作业未安排监护人在现场监管的</w:t>
            </w:r>
          </w:p>
        </w:tc>
        <w:tc>
          <w:tcPr>
            <w:tcW w:w="870" w:type="pct"/>
            <w:gridSpan w:val="6"/>
            <w:tcBorders>
              <w:top w:val="single" w:color="000000" w:sz="4" w:space="0"/>
              <w:left w:val="single" w:color="000000" w:sz="4" w:space="0"/>
              <w:bottom w:val="single" w:color="000000" w:sz="4" w:space="0"/>
              <w:right w:val="single" w:color="000000" w:sz="4" w:space="0"/>
            </w:tcBorders>
            <w:noWrap/>
            <w:vAlign w:val="bottom"/>
          </w:tcPr>
          <w:p w14:paraId="43E91763">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0FE995EB">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9EC9">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B6F8B">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E1575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·动火作业前未将作业范围易燃物品清除的</w:t>
            </w:r>
          </w:p>
        </w:tc>
        <w:tc>
          <w:tcPr>
            <w:tcW w:w="870" w:type="pct"/>
            <w:gridSpan w:val="6"/>
            <w:tcBorders>
              <w:top w:val="single" w:color="000000" w:sz="4" w:space="0"/>
              <w:left w:val="single" w:color="000000" w:sz="4" w:space="0"/>
              <w:bottom w:val="single" w:color="000000" w:sz="4" w:space="0"/>
              <w:right w:val="single" w:color="000000" w:sz="4" w:space="0"/>
            </w:tcBorders>
            <w:noWrap/>
            <w:vAlign w:val="bottom"/>
          </w:tcPr>
          <w:p w14:paraId="4A84BA54">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6AC4586E">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060F">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B5ED4">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EBFDF9">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·动火作业未使用接火斗或防火布的，且未配备灭火器的</w:t>
            </w:r>
          </w:p>
        </w:tc>
        <w:tc>
          <w:tcPr>
            <w:tcW w:w="870" w:type="pct"/>
            <w:gridSpan w:val="6"/>
            <w:tcBorders>
              <w:top w:val="single" w:color="000000" w:sz="4" w:space="0"/>
              <w:left w:val="single" w:color="000000" w:sz="4" w:space="0"/>
              <w:bottom w:val="single" w:color="000000" w:sz="4" w:space="0"/>
              <w:right w:val="single" w:color="000000" w:sz="4" w:space="0"/>
            </w:tcBorders>
            <w:noWrap/>
            <w:vAlign w:val="bottom"/>
          </w:tcPr>
          <w:p w14:paraId="5A960FE9">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468F8B97">
        <w:tblPrEx>
          <w:tblCellMar>
            <w:top w:w="0" w:type="dxa"/>
            <w:left w:w="108" w:type="dxa"/>
            <w:bottom w:w="0" w:type="dxa"/>
            <w:right w:w="108" w:type="dxa"/>
          </w:tblCellMar>
        </w:tblPrEx>
        <w:trPr>
          <w:trHeight w:val="340"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D52F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456EF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有限空间    作业</w:t>
            </w: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C5467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·有限空间作业未按“先通风、后检测、再作业”原则实施的</w:t>
            </w:r>
          </w:p>
        </w:tc>
        <w:tc>
          <w:tcPr>
            <w:tcW w:w="870" w:type="pct"/>
            <w:gridSpan w:val="6"/>
            <w:tcBorders>
              <w:top w:val="single" w:color="000000" w:sz="4" w:space="0"/>
              <w:left w:val="single" w:color="000000" w:sz="4" w:space="0"/>
              <w:bottom w:val="single" w:color="000000" w:sz="4" w:space="0"/>
              <w:right w:val="single" w:color="000000" w:sz="4" w:space="0"/>
            </w:tcBorders>
            <w:noWrap/>
            <w:vAlign w:val="bottom"/>
          </w:tcPr>
          <w:p w14:paraId="60B6A325">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1000</w:t>
            </w:r>
          </w:p>
        </w:tc>
      </w:tr>
      <w:tr w14:paraId="087A22BD">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BC1A">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ABF3CA">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9799C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·作业现场未配备监护人的</w:t>
            </w:r>
          </w:p>
        </w:tc>
        <w:tc>
          <w:tcPr>
            <w:tcW w:w="870" w:type="pct"/>
            <w:gridSpan w:val="6"/>
            <w:tcBorders>
              <w:top w:val="single" w:color="000000" w:sz="4" w:space="0"/>
              <w:left w:val="single" w:color="000000" w:sz="4" w:space="0"/>
              <w:bottom w:val="single" w:color="000000" w:sz="4" w:space="0"/>
              <w:right w:val="single" w:color="000000" w:sz="4" w:space="0"/>
            </w:tcBorders>
            <w:noWrap/>
            <w:vAlign w:val="bottom"/>
          </w:tcPr>
          <w:p w14:paraId="289DA11F">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r w14:paraId="7B90A578">
        <w:tblPrEx>
          <w:tblCellMar>
            <w:top w:w="0" w:type="dxa"/>
            <w:left w:w="108" w:type="dxa"/>
            <w:bottom w:w="0" w:type="dxa"/>
            <w:right w:w="108" w:type="dxa"/>
          </w:tblCellMar>
        </w:tblPrEx>
        <w:trPr>
          <w:trHeight w:val="340"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9E3E4">
            <w:pPr>
              <w:jc w:val="center"/>
              <w:rPr>
                <w:rFonts w:hint="eastAsia" w:ascii="宋体" w:hAnsi="宋体" w:eastAsia="宋体" w:cs="宋体"/>
                <w:color w:val="auto"/>
                <w:sz w:val="20"/>
                <w:szCs w:val="20"/>
                <w:highlight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05ED88">
            <w:pPr>
              <w:jc w:val="center"/>
              <w:rPr>
                <w:rFonts w:hint="eastAsia" w:ascii="宋体" w:hAnsi="宋体" w:eastAsia="宋体" w:cs="宋体"/>
                <w:color w:val="auto"/>
                <w:sz w:val="20"/>
                <w:szCs w:val="20"/>
                <w:highlight w:val="none"/>
              </w:rPr>
            </w:pPr>
          </w:p>
        </w:tc>
        <w:tc>
          <w:tcPr>
            <w:tcW w:w="3142"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36808C">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 xml:space="preserve">  ·作业期间未持续做好通风措施的</w:t>
            </w:r>
          </w:p>
        </w:tc>
        <w:tc>
          <w:tcPr>
            <w:tcW w:w="870" w:type="pct"/>
            <w:gridSpan w:val="6"/>
            <w:tcBorders>
              <w:top w:val="single" w:color="000000" w:sz="4" w:space="0"/>
              <w:left w:val="single" w:color="000000" w:sz="4" w:space="0"/>
              <w:bottom w:val="single" w:color="000000" w:sz="4" w:space="0"/>
              <w:right w:val="single" w:color="000000" w:sz="4" w:space="0"/>
            </w:tcBorders>
            <w:noWrap/>
            <w:vAlign w:val="bottom"/>
          </w:tcPr>
          <w:p w14:paraId="720F04C5">
            <w:pPr>
              <w:widowControl/>
              <w:jc w:val="center"/>
              <w:textAlignment w:val="bottom"/>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500</w:t>
            </w:r>
          </w:p>
        </w:tc>
      </w:tr>
    </w:tbl>
    <w:p w14:paraId="456F7FD1">
      <w:pPr>
        <w:widowControl/>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9372108">
      <w:pPr>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分包单位日常行为管理条例</w:t>
      </w:r>
    </w:p>
    <w:p w14:paraId="25204BA2">
      <w:pPr>
        <w:pStyle w:val="13"/>
        <w:numPr>
          <w:ilvl w:val="0"/>
          <w:numId w:val="8"/>
        </w:numPr>
        <w:spacing w:line="360" w:lineRule="auto"/>
        <w:ind w:left="0" w:firstLine="357"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定期不定时参加甲方组织召开的各类会议，包括：合同的会、每日碰头会、进度质量安全专题协调会、现场工作会等。如果不能参加，应提前2小时向甲方负责人请假，若未及时请假无故缺席会议，第一次处以警告，后续有故缺席，每次予以500元处罚。</w:t>
      </w:r>
    </w:p>
    <w:p w14:paraId="156AF563">
      <w:pPr>
        <w:pStyle w:val="13"/>
        <w:numPr>
          <w:ilvl w:val="0"/>
          <w:numId w:val="8"/>
        </w:numPr>
        <w:spacing w:line="360" w:lineRule="auto"/>
        <w:ind w:left="0" w:firstLine="357"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开工2天前，乙方应将拟投入于本项目的管理人员报甲方确认，无故不上报，每迟一天处以1000元经济处罚；拟更换本项目负责人，应于更换前7天以书面形式报甲方确认，在甲方未明确下私自更换项目负责人的，每次视情况处罚。</w:t>
      </w:r>
    </w:p>
    <w:p w14:paraId="30367DC6">
      <w:pPr>
        <w:pStyle w:val="13"/>
        <w:numPr>
          <w:ilvl w:val="0"/>
          <w:numId w:val="8"/>
        </w:numPr>
        <w:spacing w:line="360" w:lineRule="auto"/>
        <w:ind w:left="0" w:firstLine="357"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应在施工期间常驻项目。遇节假日、公司事宜等事项需离开项目时，应以书面形式提前告知甲方现场负责人，并经同意后方能离开项目现场。若未及时告知，第一次处以警告，若乙方有再次发生这种问题，每次予以500元处罚。</w:t>
      </w:r>
    </w:p>
    <w:p w14:paraId="1AE73FD3">
      <w:pPr>
        <w:pStyle w:val="13"/>
        <w:numPr>
          <w:ilvl w:val="0"/>
          <w:numId w:val="8"/>
        </w:numPr>
        <w:spacing w:line="360" w:lineRule="auto"/>
        <w:ind w:left="0" w:firstLine="357"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项目应每周组织专项的安全、质量巡查，并以书面形式报甲方项目部。累计2次及以上未上报巡查报告每次按情况罚款予以500元处罚。</w:t>
      </w:r>
    </w:p>
    <w:p w14:paraId="7297C91E">
      <w:pPr>
        <w:pStyle w:val="13"/>
        <w:numPr>
          <w:ilvl w:val="0"/>
          <w:numId w:val="8"/>
        </w:numPr>
        <w:spacing w:line="360" w:lineRule="auto"/>
        <w:ind w:left="0" w:firstLine="357"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遇节假日，重大危害性天气等情况时，乙方应安排相应值班人员在项目现场值班并监督到位，经甲方项目部确认后方能离开值班岗位。因值班不到位原因，给项目带来损失的，对值班人员每次予以1000元处罚。</w:t>
      </w:r>
    </w:p>
    <w:p w14:paraId="55B58F6E">
      <w:pPr>
        <w:spacing w:line="360" w:lineRule="auto"/>
        <w:ind w:left="-540" w:leftChars="-257" w:firstLine="371" w:firstLineChars="177"/>
        <w:rPr>
          <w:rFonts w:hint="eastAsia" w:ascii="宋体" w:hAnsi="宋体" w:eastAsia="宋体" w:cs="宋体"/>
          <w:color w:val="auto"/>
          <w:szCs w:val="20"/>
          <w:highlight w:val="none"/>
        </w:rPr>
      </w:pPr>
    </w:p>
    <w:p w14:paraId="3435954A">
      <w:pPr>
        <w:widowControl/>
        <w:rPr>
          <w:rFonts w:hint="eastAsia" w:ascii="宋体" w:hAnsi="宋体" w:eastAsia="宋体" w:cs="宋体"/>
          <w:color w:val="auto"/>
          <w:szCs w:val="20"/>
          <w:highlight w:val="none"/>
        </w:rPr>
      </w:pPr>
      <w:r>
        <w:rPr>
          <w:rFonts w:hint="eastAsia" w:ascii="宋体" w:hAnsi="宋体" w:eastAsia="宋体" w:cs="宋体"/>
          <w:color w:val="auto"/>
          <w:szCs w:val="20"/>
          <w:highlight w:val="none"/>
        </w:rPr>
        <w:br w:type="page"/>
      </w:r>
    </w:p>
    <w:tbl>
      <w:tblPr>
        <w:tblStyle w:val="9"/>
        <w:tblW w:w="0" w:type="auto"/>
        <w:tblInd w:w="93" w:type="dxa"/>
        <w:tblLayout w:type="fixed"/>
        <w:tblCellMar>
          <w:top w:w="0" w:type="dxa"/>
          <w:left w:w="108" w:type="dxa"/>
          <w:bottom w:w="0" w:type="dxa"/>
          <w:right w:w="108" w:type="dxa"/>
        </w:tblCellMar>
      </w:tblPr>
      <w:tblGrid>
        <w:gridCol w:w="728"/>
        <w:gridCol w:w="509"/>
        <w:gridCol w:w="396"/>
        <w:gridCol w:w="7528"/>
        <w:gridCol w:w="708"/>
      </w:tblGrid>
      <w:tr w14:paraId="75258606">
        <w:tblPrEx>
          <w:tblCellMar>
            <w:top w:w="0" w:type="dxa"/>
            <w:left w:w="108" w:type="dxa"/>
            <w:bottom w:w="0" w:type="dxa"/>
            <w:right w:w="108" w:type="dxa"/>
          </w:tblCellMar>
        </w:tblPrEx>
        <w:trPr>
          <w:trHeight w:val="499" w:hRule="atLeast"/>
        </w:trPr>
        <w:tc>
          <w:tcPr>
            <w:tcW w:w="9869" w:type="dxa"/>
            <w:gridSpan w:val="5"/>
            <w:tcBorders>
              <w:top w:val="nil"/>
              <w:left w:val="nil"/>
              <w:bottom w:val="nil"/>
              <w:right w:val="nil"/>
            </w:tcBorders>
            <w:shd w:val="clear" w:color="000000" w:fill="FFFFFF"/>
            <w:noWrap w:val="0"/>
            <w:vAlign w:val="top"/>
          </w:tcPr>
          <w:p w14:paraId="7E3336BA">
            <w:pPr>
              <w:widowControl/>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基础、结构工程质量管理细则</w:t>
            </w:r>
          </w:p>
        </w:tc>
      </w:tr>
      <w:tr w14:paraId="2D10D981">
        <w:tblPrEx>
          <w:tblCellMar>
            <w:top w:w="0" w:type="dxa"/>
            <w:left w:w="108" w:type="dxa"/>
            <w:bottom w:w="0" w:type="dxa"/>
            <w:right w:w="108" w:type="dxa"/>
          </w:tblCellMar>
        </w:tblPrEx>
        <w:trPr>
          <w:trHeight w:val="540"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BA2EBD2">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检查项目</w:t>
            </w:r>
          </w:p>
        </w:tc>
        <w:tc>
          <w:tcPr>
            <w:tcW w:w="905" w:type="dxa"/>
            <w:gridSpan w:val="2"/>
            <w:tcBorders>
              <w:top w:val="single" w:color="auto" w:sz="4" w:space="0"/>
              <w:left w:val="nil"/>
              <w:bottom w:val="single" w:color="auto" w:sz="4" w:space="0"/>
              <w:right w:val="single" w:color="auto" w:sz="4" w:space="0"/>
            </w:tcBorders>
            <w:shd w:val="clear" w:color="000000" w:fill="FFFFFF"/>
            <w:noWrap w:val="0"/>
            <w:vAlign w:val="center"/>
          </w:tcPr>
          <w:p w14:paraId="29A5786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编号</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348BEE9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工程质量管控要求</w:t>
            </w:r>
          </w:p>
        </w:tc>
        <w:tc>
          <w:tcPr>
            <w:tcW w:w="708" w:type="dxa"/>
            <w:tcBorders>
              <w:top w:val="single" w:color="auto" w:sz="4" w:space="0"/>
              <w:left w:val="nil"/>
              <w:bottom w:val="single" w:color="auto" w:sz="4" w:space="0"/>
              <w:right w:val="single" w:color="auto" w:sz="4" w:space="0"/>
            </w:tcBorders>
            <w:shd w:val="clear" w:color="000000" w:fill="FFFFFF"/>
            <w:noWrap w:val="0"/>
            <w:vAlign w:val="center"/>
          </w:tcPr>
          <w:p w14:paraId="37E7CB06">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罚款金额/次</w:t>
            </w:r>
          </w:p>
        </w:tc>
      </w:tr>
      <w:tr w14:paraId="3527BE5B">
        <w:tblPrEx>
          <w:tblCellMar>
            <w:top w:w="0" w:type="dxa"/>
            <w:left w:w="108" w:type="dxa"/>
            <w:bottom w:w="0" w:type="dxa"/>
            <w:right w:w="108" w:type="dxa"/>
          </w:tblCellMar>
        </w:tblPrEx>
        <w:trPr>
          <w:trHeight w:val="1399"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87BBEA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基础工程</w:t>
            </w: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0B68D3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开挖及</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回填</w:t>
            </w:r>
          </w:p>
        </w:tc>
        <w:tc>
          <w:tcPr>
            <w:tcW w:w="396" w:type="dxa"/>
            <w:tcBorders>
              <w:top w:val="nil"/>
              <w:left w:val="nil"/>
              <w:bottom w:val="single" w:color="auto" w:sz="4" w:space="0"/>
              <w:right w:val="single" w:color="auto" w:sz="4" w:space="0"/>
            </w:tcBorders>
            <w:shd w:val="clear" w:color="000000" w:fill="FFFFFF"/>
            <w:noWrap w:val="0"/>
            <w:vAlign w:val="center"/>
          </w:tcPr>
          <w:p w14:paraId="7A9F0133">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0808A835">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土方开挖时应有防止附近已有建筑物或构筑物、道路、管线等发生下沉和变形措施；</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土方施工前应作好施工区域内临时排水系统，阻止场外水流入施工场地，基坑（槽）；                                                                             结构施工时应采用集水坑降水、井点降水等措施降低地下水位。</w:t>
            </w:r>
          </w:p>
        </w:tc>
        <w:tc>
          <w:tcPr>
            <w:tcW w:w="708" w:type="dxa"/>
            <w:tcBorders>
              <w:top w:val="nil"/>
              <w:left w:val="nil"/>
              <w:bottom w:val="single" w:color="auto" w:sz="4" w:space="0"/>
              <w:right w:val="single" w:color="auto" w:sz="4" w:space="0"/>
            </w:tcBorders>
            <w:shd w:val="clear" w:color="000000" w:fill="FFFFFF"/>
            <w:noWrap w:val="0"/>
            <w:vAlign w:val="center"/>
          </w:tcPr>
          <w:p w14:paraId="24A6203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5D4B523B">
        <w:tblPrEx>
          <w:tblCellMar>
            <w:top w:w="0" w:type="dxa"/>
            <w:left w:w="108" w:type="dxa"/>
            <w:bottom w:w="0" w:type="dxa"/>
            <w:right w:w="108" w:type="dxa"/>
          </w:tblCellMar>
        </w:tblPrEx>
        <w:trPr>
          <w:trHeight w:val="72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9278C4A">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21EA340">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2A6A808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3729A767">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填土方必须分层夯压密实并清除杂物、积水、淤泥，无任何有机物（如碎模板)等。</w:t>
            </w:r>
          </w:p>
        </w:tc>
        <w:tc>
          <w:tcPr>
            <w:tcW w:w="708" w:type="dxa"/>
            <w:tcBorders>
              <w:top w:val="nil"/>
              <w:left w:val="nil"/>
              <w:bottom w:val="single" w:color="auto" w:sz="4" w:space="0"/>
              <w:right w:val="single" w:color="auto" w:sz="4" w:space="0"/>
            </w:tcBorders>
            <w:shd w:val="clear" w:color="000000" w:fill="FFFFFF"/>
            <w:noWrap w:val="0"/>
            <w:vAlign w:val="center"/>
          </w:tcPr>
          <w:p w14:paraId="39EA82A3">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0CDD72FA">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6364477">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BD98939">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3657948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42A93FD8">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边坡外回填前，若有深埋的化粪池，应先施工完成后再回填土；                                        边坡回填土完成后，要用压路机压实后，再开挖安装室外给排水电气管网。</w:t>
            </w:r>
          </w:p>
        </w:tc>
        <w:tc>
          <w:tcPr>
            <w:tcW w:w="708" w:type="dxa"/>
            <w:tcBorders>
              <w:top w:val="nil"/>
              <w:left w:val="nil"/>
              <w:bottom w:val="single" w:color="auto" w:sz="4" w:space="0"/>
              <w:right w:val="single" w:color="auto" w:sz="4" w:space="0"/>
            </w:tcBorders>
            <w:shd w:val="clear" w:color="000000" w:fill="FFFFFF"/>
            <w:noWrap w:val="0"/>
            <w:vAlign w:val="center"/>
          </w:tcPr>
          <w:p w14:paraId="678A7C54">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3372AAB9">
        <w:tblPrEx>
          <w:tblCellMar>
            <w:top w:w="0" w:type="dxa"/>
            <w:left w:w="108" w:type="dxa"/>
            <w:bottom w:w="0" w:type="dxa"/>
            <w:right w:w="108" w:type="dxa"/>
          </w:tblCellMar>
        </w:tblPrEx>
        <w:trPr>
          <w:trHeight w:val="58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6B819E5">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2B9B223">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609476D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3642F277">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钢筋网喷射砼施工时，钢筋网需在坡面喷射一层砼后铺设，采用双层钢筋网时，第二层钢筋网应在第一层钢筋网被砼覆盖后铺设；锚杆尾端及钢筋网等不得外露。</w:t>
            </w:r>
          </w:p>
        </w:tc>
        <w:tc>
          <w:tcPr>
            <w:tcW w:w="708" w:type="dxa"/>
            <w:tcBorders>
              <w:top w:val="nil"/>
              <w:left w:val="nil"/>
              <w:bottom w:val="single" w:color="auto" w:sz="4" w:space="0"/>
              <w:right w:val="single" w:color="auto" w:sz="4" w:space="0"/>
            </w:tcBorders>
            <w:shd w:val="clear" w:color="000000" w:fill="FFFFFF"/>
            <w:noWrap w:val="0"/>
            <w:vAlign w:val="center"/>
          </w:tcPr>
          <w:p w14:paraId="4125F3D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1811D7FB">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58C5932">
            <w:pPr>
              <w:widowControl/>
              <w:rPr>
                <w:rFonts w:hint="eastAsia" w:ascii="宋体" w:hAnsi="宋体" w:eastAsia="宋体" w:cs="宋体"/>
                <w:color w:val="auto"/>
                <w:sz w:val="18"/>
                <w:szCs w:val="18"/>
                <w:highlight w:val="none"/>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F7E04A2">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396" w:type="dxa"/>
            <w:tcBorders>
              <w:top w:val="nil"/>
              <w:left w:val="nil"/>
              <w:bottom w:val="single" w:color="auto" w:sz="4" w:space="0"/>
              <w:right w:val="single" w:color="auto" w:sz="4" w:space="0"/>
            </w:tcBorders>
            <w:shd w:val="clear" w:color="000000" w:fill="FFFFFF"/>
            <w:noWrap w:val="0"/>
            <w:vAlign w:val="center"/>
          </w:tcPr>
          <w:p w14:paraId="6503986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55C4D9F7">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（1）土方开挖时应有防止附近已有建筑物或构筑物、道路、管线等发生下沉和变形的措施；（2）有科学、合理的降水方案。</w:t>
            </w:r>
          </w:p>
        </w:tc>
        <w:tc>
          <w:tcPr>
            <w:tcW w:w="708" w:type="dxa"/>
            <w:tcBorders>
              <w:top w:val="nil"/>
              <w:left w:val="nil"/>
              <w:bottom w:val="single" w:color="auto" w:sz="4" w:space="0"/>
              <w:right w:val="single" w:color="auto" w:sz="4" w:space="0"/>
            </w:tcBorders>
            <w:shd w:val="clear" w:color="000000" w:fill="FFFFFF"/>
            <w:noWrap w:val="0"/>
            <w:vAlign w:val="center"/>
          </w:tcPr>
          <w:p w14:paraId="0BB6197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5756292A">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57A2D70">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5240964">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68817F53">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437F68A7">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已完成基坑（槽）不能被水浸泡，雨期施工挖方时，不能及时进行下一工序时，应留150~300㎜不挖，保证基底土质符合设计要求，原土严禁扰动。</w:t>
            </w:r>
          </w:p>
        </w:tc>
        <w:tc>
          <w:tcPr>
            <w:tcW w:w="708" w:type="dxa"/>
            <w:tcBorders>
              <w:top w:val="nil"/>
              <w:left w:val="nil"/>
              <w:bottom w:val="single" w:color="auto" w:sz="4" w:space="0"/>
              <w:right w:val="single" w:color="auto" w:sz="4" w:space="0"/>
            </w:tcBorders>
            <w:shd w:val="clear" w:color="000000" w:fill="FFFFFF"/>
            <w:noWrap w:val="0"/>
            <w:vAlign w:val="center"/>
          </w:tcPr>
          <w:p w14:paraId="5F044E4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0EC80330">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0A95C5C">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8EED873">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0374F82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7</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067775C4">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重锤夯实应在地下水位以上稍湿的土方施工，每层虚铺厚度以相当锤底直径，落锤距2.5~4.5m，最后下沉量为10~20㎜。</w:t>
            </w:r>
          </w:p>
        </w:tc>
        <w:tc>
          <w:tcPr>
            <w:tcW w:w="708" w:type="dxa"/>
            <w:tcBorders>
              <w:top w:val="nil"/>
              <w:left w:val="nil"/>
              <w:bottom w:val="single" w:color="auto" w:sz="4" w:space="0"/>
              <w:right w:val="single" w:color="auto" w:sz="4" w:space="0"/>
            </w:tcBorders>
            <w:shd w:val="clear" w:color="000000" w:fill="FFFFFF"/>
            <w:noWrap w:val="0"/>
            <w:vAlign w:val="center"/>
          </w:tcPr>
          <w:p w14:paraId="3314A3D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029EBA27">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5A041D6">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A98EAAB">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3B838EA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60596769">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高低基础施工时基土必须按要求放阶，保证基土稳定，距离过近应作支护防止高处基础底部空隙。</w:t>
            </w:r>
          </w:p>
        </w:tc>
        <w:tc>
          <w:tcPr>
            <w:tcW w:w="708" w:type="dxa"/>
            <w:tcBorders>
              <w:top w:val="nil"/>
              <w:left w:val="nil"/>
              <w:bottom w:val="single" w:color="auto" w:sz="4" w:space="0"/>
              <w:right w:val="single" w:color="auto" w:sz="4" w:space="0"/>
            </w:tcBorders>
            <w:shd w:val="clear" w:color="000000" w:fill="FFFFFF"/>
            <w:noWrap w:val="0"/>
            <w:vAlign w:val="center"/>
          </w:tcPr>
          <w:p w14:paraId="009F4D2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6D318187">
        <w:tblPrEx>
          <w:tblCellMar>
            <w:top w:w="0" w:type="dxa"/>
            <w:left w:w="108" w:type="dxa"/>
            <w:bottom w:w="0" w:type="dxa"/>
            <w:right w:w="108" w:type="dxa"/>
          </w:tblCellMar>
        </w:tblPrEx>
        <w:trPr>
          <w:trHeight w:val="109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44949B8">
            <w:pPr>
              <w:widowControl/>
              <w:rPr>
                <w:rFonts w:hint="eastAsia" w:ascii="宋体" w:hAnsi="宋体" w:eastAsia="宋体" w:cs="宋体"/>
                <w:color w:val="auto"/>
                <w:sz w:val="18"/>
                <w:szCs w:val="18"/>
                <w:highlight w:val="none"/>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A83DBC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桩基础</w:t>
            </w:r>
          </w:p>
        </w:tc>
        <w:tc>
          <w:tcPr>
            <w:tcW w:w="396" w:type="dxa"/>
            <w:tcBorders>
              <w:top w:val="nil"/>
              <w:left w:val="nil"/>
              <w:bottom w:val="single" w:color="auto" w:sz="4" w:space="0"/>
              <w:right w:val="single" w:color="auto" w:sz="4" w:space="0"/>
            </w:tcBorders>
            <w:shd w:val="clear" w:color="000000" w:fill="FFFFFF"/>
            <w:noWrap w:val="0"/>
            <w:vAlign w:val="center"/>
          </w:tcPr>
          <w:p w14:paraId="27EE478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15AE86D6">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各种桩基础工程：（1）平面布线准确，桩的平面偏位值和垂直度必须符合设计要求；（2）桩顶入承台深度必须符合要求；（3）桩入承台钢筋锚固长度必须符合要求，锚入承台；抗拔桩内钢筋伸入承台砼；（4）预制管桩破桩必须用机械锯切桩，严禁用锤打破桩；其它桩均应机械凿除桩顶浮浆，要求桩顶平整。                                                                                                                   </w:t>
            </w:r>
          </w:p>
        </w:tc>
        <w:tc>
          <w:tcPr>
            <w:tcW w:w="708" w:type="dxa"/>
            <w:tcBorders>
              <w:top w:val="nil"/>
              <w:left w:val="nil"/>
              <w:bottom w:val="single" w:color="auto" w:sz="4" w:space="0"/>
              <w:right w:val="single" w:color="auto" w:sz="4" w:space="0"/>
            </w:tcBorders>
            <w:shd w:val="clear" w:color="000000" w:fill="FFFFFF"/>
            <w:noWrap w:val="0"/>
            <w:vAlign w:val="center"/>
          </w:tcPr>
          <w:p w14:paraId="393AB80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3E9A273E">
        <w:tblPrEx>
          <w:tblCellMar>
            <w:top w:w="0" w:type="dxa"/>
            <w:left w:w="108" w:type="dxa"/>
            <w:bottom w:w="0" w:type="dxa"/>
            <w:right w:w="108" w:type="dxa"/>
          </w:tblCellMar>
        </w:tblPrEx>
        <w:trPr>
          <w:trHeight w:val="162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D6F1A65">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8AF15CC">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202CE07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6C25F75C">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预制管桩：（1）桩身无残缺、裂纹；强度、规格、型号，符合设计要求；                              （2）打桩宜重锤低击，最后三阵锤每阵10击的平均贯入度不应大于设计数值；                   （3）桩尖必须符合设计要求；                                                             （4）预制管桩桩底及桩芯砼浇筑完成后才能进入下道工序施工；                                 （5）抗拔桩钢筋需按设计留设，不得随意断开；                                        （6）送桩留下的桩孔应立即回填或做好防护。</w:t>
            </w:r>
          </w:p>
        </w:tc>
        <w:tc>
          <w:tcPr>
            <w:tcW w:w="708" w:type="dxa"/>
            <w:tcBorders>
              <w:top w:val="nil"/>
              <w:left w:val="nil"/>
              <w:bottom w:val="single" w:color="auto" w:sz="4" w:space="0"/>
              <w:right w:val="single" w:color="auto" w:sz="4" w:space="0"/>
            </w:tcBorders>
            <w:shd w:val="clear" w:color="000000" w:fill="FFFFFF"/>
            <w:noWrap w:val="0"/>
            <w:vAlign w:val="center"/>
          </w:tcPr>
          <w:p w14:paraId="1A90596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65060BD5">
        <w:tblPrEx>
          <w:tblCellMar>
            <w:top w:w="0" w:type="dxa"/>
            <w:left w:w="108" w:type="dxa"/>
            <w:bottom w:w="0" w:type="dxa"/>
            <w:right w:w="108" w:type="dxa"/>
          </w:tblCellMar>
        </w:tblPrEx>
        <w:trPr>
          <w:trHeight w:val="135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1208F20">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4F79CBD">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257C097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14</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34735082">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钻、冲孔桩：（1）钢套筒必须高于地面200mm；泥浆池除碴方便，泥浆比重大于1.2；（2）成孔桩底沉碴无杂质、颗粒硬度均匀、强度符合设计要求；且每小时进尺深度与设计岩层持力层基本相符合；（3）钢筋笼配筋、长度、入承台钢筋预留长度符合设计要求；（4）桩身砼强度、抽心强度均符合设计要求；（5）超前钻桩底岩石厚度大于3米。                                                                                                                                                                                                                                 </w:t>
            </w:r>
          </w:p>
        </w:tc>
        <w:tc>
          <w:tcPr>
            <w:tcW w:w="708" w:type="dxa"/>
            <w:tcBorders>
              <w:top w:val="nil"/>
              <w:left w:val="nil"/>
              <w:bottom w:val="single" w:color="auto" w:sz="4" w:space="0"/>
              <w:right w:val="single" w:color="auto" w:sz="4" w:space="0"/>
            </w:tcBorders>
            <w:shd w:val="clear" w:color="000000" w:fill="FFFFFF"/>
            <w:noWrap w:val="0"/>
            <w:vAlign w:val="center"/>
          </w:tcPr>
          <w:p w14:paraId="4623317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3119DFA7">
        <w:tblPrEx>
          <w:tblCellMar>
            <w:top w:w="0" w:type="dxa"/>
            <w:left w:w="108" w:type="dxa"/>
            <w:bottom w:w="0" w:type="dxa"/>
            <w:right w:w="108" w:type="dxa"/>
          </w:tblCellMar>
        </w:tblPrEx>
        <w:trPr>
          <w:trHeight w:val="8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786F8B3">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52062C1">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08BCC2B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15</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64FA88D0">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桩顶必须按设计要求锚入承台内；                                                                 预制管桩长度低于设计要求时，可采用接桩，不允许擅自降低或加高承台；                                  其它桩若低于设计标高，必须加大承台厚度。</w:t>
            </w:r>
          </w:p>
        </w:tc>
        <w:tc>
          <w:tcPr>
            <w:tcW w:w="708" w:type="dxa"/>
            <w:tcBorders>
              <w:top w:val="nil"/>
              <w:left w:val="nil"/>
              <w:bottom w:val="single" w:color="auto" w:sz="4" w:space="0"/>
              <w:right w:val="single" w:color="auto" w:sz="4" w:space="0"/>
            </w:tcBorders>
            <w:shd w:val="clear" w:color="000000" w:fill="FFFFFF"/>
            <w:noWrap w:val="0"/>
            <w:vAlign w:val="center"/>
          </w:tcPr>
          <w:p w14:paraId="7C76C41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1636BEA2">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BB81C5B">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0C3A5BA">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3474F752">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3C631FF3">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承台垫层标高应符合设计要求，相同标高差不能超过20㎜，垫层基础土质必须夯实，垫层必须符合要求。</w:t>
            </w:r>
          </w:p>
        </w:tc>
        <w:tc>
          <w:tcPr>
            <w:tcW w:w="708" w:type="dxa"/>
            <w:tcBorders>
              <w:top w:val="nil"/>
              <w:left w:val="nil"/>
              <w:bottom w:val="single" w:color="auto" w:sz="4" w:space="0"/>
              <w:right w:val="single" w:color="auto" w:sz="4" w:space="0"/>
            </w:tcBorders>
            <w:shd w:val="clear" w:color="000000" w:fill="FFFFFF"/>
            <w:noWrap w:val="0"/>
            <w:vAlign w:val="center"/>
          </w:tcPr>
          <w:p w14:paraId="1435402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74C8B6B9">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516D364">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C3964CB">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5A908F1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17</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332B5C21">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桩顶锚入承台的钢筋成45°～60°锚入承台内，承台顶、底标高必须符合设计要求。</w:t>
            </w:r>
          </w:p>
        </w:tc>
        <w:tc>
          <w:tcPr>
            <w:tcW w:w="708" w:type="dxa"/>
            <w:tcBorders>
              <w:top w:val="nil"/>
              <w:left w:val="nil"/>
              <w:bottom w:val="single" w:color="auto" w:sz="4" w:space="0"/>
              <w:right w:val="single" w:color="auto" w:sz="4" w:space="0"/>
            </w:tcBorders>
            <w:shd w:val="clear" w:color="000000" w:fill="FFFFFF"/>
            <w:noWrap w:val="0"/>
            <w:vAlign w:val="center"/>
          </w:tcPr>
          <w:p w14:paraId="614140A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25B56260">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03CEC66">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3319D52">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540431B3">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18</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5AD27EAD">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灌注桩各工序应连续施工，钢筋笼放入泥浆后4小时内必须灌注砼，桩顶应高出设计标高，浮浆层应凿除。</w:t>
            </w:r>
          </w:p>
        </w:tc>
        <w:tc>
          <w:tcPr>
            <w:tcW w:w="708" w:type="dxa"/>
            <w:tcBorders>
              <w:top w:val="nil"/>
              <w:left w:val="nil"/>
              <w:bottom w:val="single" w:color="auto" w:sz="4" w:space="0"/>
              <w:right w:val="single" w:color="auto" w:sz="4" w:space="0"/>
            </w:tcBorders>
            <w:shd w:val="clear" w:color="000000" w:fill="FFFFFF"/>
            <w:noWrap w:val="0"/>
            <w:vAlign w:val="center"/>
          </w:tcPr>
          <w:p w14:paraId="78B2566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34AC5555">
        <w:tblPrEx>
          <w:tblCellMar>
            <w:top w:w="0" w:type="dxa"/>
            <w:left w:w="108" w:type="dxa"/>
            <w:bottom w:w="0" w:type="dxa"/>
            <w:right w:w="108" w:type="dxa"/>
          </w:tblCellMar>
        </w:tblPrEx>
        <w:trPr>
          <w:trHeight w:val="34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CD3F587">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60737B5">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52E6DE1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19</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5E1F52F4">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承台施工前应验收桩基，不允许未验收进入钢筋和模板工程后才发现桩偏位。</w:t>
            </w:r>
          </w:p>
        </w:tc>
        <w:tc>
          <w:tcPr>
            <w:tcW w:w="708" w:type="dxa"/>
            <w:tcBorders>
              <w:top w:val="nil"/>
              <w:left w:val="nil"/>
              <w:bottom w:val="single" w:color="auto" w:sz="4" w:space="0"/>
              <w:right w:val="single" w:color="auto" w:sz="4" w:space="0"/>
            </w:tcBorders>
            <w:shd w:val="clear" w:color="000000" w:fill="FFFFFF"/>
            <w:noWrap w:val="0"/>
            <w:vAlign w:val="center"/>
          </w:tcPr>
          <w:p w14:paraId="23350DB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4968A139">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4912506">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C44D705">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5786E142">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20</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1D01E0A8">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干作业成孔的灌注桩必须制订防止缩孔和供氧等措施，放置钢筋笼前应测量孔内虚土厚度，每次浇灌砼高度不得大于1.5m，完成后孔应有安全围护措施。</w:t>
            </w:r>
          </w:p>
        </w:tc>
        <w:tc>
          <w:tcPr>
            <w:tcW w:w="708" w:type="dxa"/>
            <w:tcBorders>
              <w:top w:val="nil"/>
              <w:left w:val="nil"/>
              <w:bottom w:val="single" w:color="auto" w:sz="4" w:space="0"/>
              <w:right w:val="single" w:color="auto" w:sz="4" w:space="0"/>
            </w:tcBorders>
            <w:shd w:val="clear" w:color="000000" w:fill="FFFFFF"/>
            <w:noWrap w:val="0"/>
            <w:vAlign w:val="center"/>
          </w:tcPr>
          <w:p w14:paraId="1B524AE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206B3B11">
        <w:tblPrEx>
          <w:tblCellMar>
            <w:top w:w="0" w:type="dxa"/>
            <w:left w:w="108" w:type="dxa"/>
            <w:bottom w:w="0" w:type="dxa"/>
            <w:right w:w="108" w:type="dxa"/>
          </w:tblCellMar>
        </w:tblPrEx>
        <w:trPr>
          <w:trHeight w:val="559"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5E9DFC6">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二、钢筋工程</w:t>
            </w:r>
          </w:p>
        </w:tc>
        <w:tc>
          <w:tcPr>
            <w:tcW w:w="905" w:type="dxa"/>
            <w:gridSpan w:val="2"/>
            <w:tcBorders>
              <w:top w:val="single" w:color="auto" w:sz="4" w:space="0"/>
              <w:left w:val="nil"/>
              <w:bottom w:val="single" w:color="auto" w:sz="4" w:space="0"/>
              <w:right w:val="single" w:color="000000" w:sz="4" w:space="0"/>
            </w:tcBorders>
            <w:shd w:val="clear" w:color="000000" w:fill="FFFFFF"/>
            <w:noWrap w:val="0"/>
            <w:vAlign w:val="center"/>
          </w:tcPr>
          <w:p w14:paraId="27D8F4B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主控项目</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004E3774">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主受力钢筋的质量品种、级别、规格和数量不符合设计要求或使用钢筋代换未办理设计变更</w:t>
            </w:r>
          </w:p>
        </w:tc>
        <w:tc>
          <w:tcPr>
            <w:tcW w:w="708" w:type="dxa"/>
            <w:tcBorders>
              <w:top w:val="nil"/>
              <w:left w:val="nil"/>
              <w:bottom w:val="single" w:color="auto" w:sz="4" w:space="0"/>
              <w:right w:val="single" w:color="auto" w:sz="4" w:space="0"/>
            </w:tcBorders>
            <w:shd w:val="clear" w:color="000000" w:fill="FFFFFF"/>
            <w:noWrap w:val="0"/>
            <w:vAlign w:val="center"/>
          </w:tcPr>
          <w:p w14:paraId="5CDE79EA">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30437B7C">
        <w:tblPrEx>
          <w:tblCellMar>
            <w:top w:w="0" w:type="dxa"/>
            <w:left w:w="108" w:type="dxa"/>
            <w:bottom w:w="0" w:type="dxa"/>
            <w:right w:w="108" w:type="dxa"/>
          </w:tblCellMar>
        </w:tblPrEx>
        <w:trPr>
          <w:trHeight w:val="34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39DB268">
            <w:pPr>
              <w:widowControl/>
              <w:rPr>
                <w:rFonts w:hint="eastAsia" w:ascii="宋体" w:hAnsi="宋体" w:eastAsia="宋体" w:cs="宋体"/>
                <w:color w:val="auto"/>
                <w:sz w:val="18"/>
                <w:szCs w:val="18"/>
                <w:highlight w:val="none"/>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BC4560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一般项目</w:t>
            </w:r>
          </w:p>
        </w:tc>
        <w:tc>
          <w:tcPr>
            <w:tcW w:w="396" w:type="dxa"/>
            <w:tcBorders>
              <w:top w:val="nil"/>
              <w:left w:val="nil"/>
              <w:bottom w:val="single" w:color="auto" w:sz="4" w:space="0"/>
              <w:right w:val="single" w:color="auto" w:sz="4" w:space="0"/>
            </w:tcBorders>
            <w:shd w:val="clear" w:color="000000" w:fill="FFFFFF"/>
            <w:noWrap w:val="0"/>
            <w:vAlign w:val="center"/>
          </w:tcPr>
          <w:p w14:paraId="5725D58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5BACD5C7">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材料：</w:t>
            </w:r>
            <w:r>
              <w:rPr>
                <w:rFonts w:hint="eastAsia" w:ascii="宋体" w:hAnsi="宋体" w:eastAsia="宋体" w:cs="宋体"/>
                <w:color w:val="auto"/>
                <w:sz w:val="18"/>
                <w:szCs w:val="18"/>
                <w:highlight w:val="none"/>
              </w:rPr>
              <w:t>钢筋锈蚀、污染严重未进行处理就使用或出现外观缺陷。</w:t>
            </w:r>
          </w:p>
        </w:tc>
        <w:tc>
          <w:tcPr>
            <w:tcW w:w="708" w:type="dxa"/>
            <w:tcBorders>
              <w:top w:val="nil"/>
              <w:left w:val="nil"/>
              <w:bottom w:val="single" w:color="auto" w:sz="4" w:space="0"/>
              <w:right w:val="single" w:color="auto" w:sz="4" w:space="0"/>
            </w:tcBorders>
            <w:shd w:val="clear" w:color="000000" w:fill="FFFFFF"/>
            <w:noWrap w:val="0"/>
            <w:vAlign w:val="center"/>
          </w:tcPr>
          <w:p w14:paraId="4D3D2CE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4846C9D0">
        <w:tblPrEx>
          <w:tblCellMar>
            <w:top w:w="0" w:type="dxa"/>
            <w:left w:w="108" w:type="dxa"/>
            <w:bottom w:w="0" w:type="dxa"/>
            <w:right w:w="108" w:type="dxa"/>
          </w:tblCellMar>
        </w:tblPrEx>
        <w:trPr>
          <w:trHeight w:val="136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62BC407">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0EAB671">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748A3C64">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0029952E">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 xml:space="preserve">连接： </w:t>
            </w:r>
            <w:r>
              <w:rPr>
                <w:rFonts w:hint="eastAsia" w:ascii="宋体" w:hAnsi="宋体" w:eastAsia="宋体" w:cs="宋体"/>
                <w:color w:val="auto"/>
                <w:sz w:val="18"/>
                <w:szCs w:val="18"/>
                <w:highlight w:val="none"/>
              </w:rPr>
              <w:t>连接（搭接、焊接、套筒）接头外观质量达不到要求；</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同一区间出现两次以上搭接的；                                                        如设计有要求但未按设计要求使用钢筋连接；                                          接头面积百分率超过规范要求；受力钢筋连接接头位置不符合规范要求。</w:t>
            </w:r>
          </w:p>
        </w:tc>
        <w:tc>
          <w:tcPr>
            <w:tcW w:w="708" w:type="dxa"/>
            <w:tcBorders>
              <w:top w:val="nil"/>
              <w:left w:val="nil"/>
              <w:bottom w:val="single" w:color="auto" w:sz="4" w:space="0"/>
              <w:right w:val="single" w:color="auto" w:sz="4" w:space="0"/>
            </w:tcBorders>
            <w:shd w:val="clear" w:color="000000" w:fill="FFFFFF"/>
            <w:noWrap w:val="0"/>
            <w:vAlign w:val="center"/>
          </w:tcPr>
          <w:p w14:paraId="51C5B3A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423A10AB">
        <w:tblPrEx>
          <w:tblCellMar>
            <w:top w:w="0" w:type="dxa"/>
            <w:left w:w="108" w:type="dxa"/>
            <w:bottom w:w="0" w:type="dxa"/>
            <w:right w:w="108" w:type="dxa"/>
          </w:tblCellMar>
        </w:tblPrEx>
        <w:trPr>
          <w:trHeight w:val="1245"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6C596A3">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9AEC13F">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4E63239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7AA84D98">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绑扎：</w:t>
            </w:r>
            <w:r>
              <w:rPr>
                <w:rFonts w:hint="eastAsia" w:ascii="宋体" w:hAnsi="宋体" w:eastAsia="宋体" w:cs="宋体"/>
                <w:color w:val="auto"/>
                <w:sz w:val="18"/>
                <w:szCs w:val="18"/>
                <w:highlight w:val="none"/>
              </w:rPr>
              <w:t xml:space="preserve">钢筋未按要求绑扎，整条主筋基本未绑扎的；                                      箍筋、腰筋、拉筋、加强筋等不按要求设置；                                                                               钢筋的位置、间距、保护层厚度、垫块及马凳不符合要求。  </w:t>
            </w:r>
          </w:p>
        </w:tc>
        <w:tc>
          <w:tcPr>
            <w:tcW w:w="708" w:type="dxa"/>
            <w:tcBorders>
              <w:top w:val="nil"/>
              <w:left w:val="nil"/>
              <w:bottom w:val="single" w:color="auto" w:sz="4" w:space="0"/>
              <w:right w:val="single" w:color="auto" w:sz="4" w:space="0"/>
            </w:tcBorders>
            <w:shd w:val="clear" w:color="000000" w:fill="FFFFFF"/>
            <w:noWrap w:val="0"/>
            <w:vAlign w:val="center"/>
          </w:tcPr>
          <w:p w14:paraId="6C80BBB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64ABB72F">
        <w:tblPrEx>
          <w:tblCellMar>
            <w:top w:w="0" w:type="dxa"/>
            <w:left w:w="108" w:type="dxa"/>
            <w:bottom w:w="0" w:type="dxa"/>
            <w:right w:w="108" w:type="dxa"/>
          </w:tblCellMar>
        </w:tblPrEx>
        <w:trPr>
          <w:trHeight w:val="108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A26A124">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871E987">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30764ED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0B321AE4">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加工及锚固：</w:t>
            </w:r>
            <w:r>
              <w:rPr>
                <w:rFonts w:hint="eastAsia" w:ascii="宋体" w:hAnsi="宋体" w:eastAsia="宋体" w:cs="宋体"/>
                <w:color w:val="auto"/>
                <w:sz w:val="18"/>
                <w:szCs w:val="18"/>
                <w:highlight w:val="none"/>
              </w:rPr>
              <w:t>受力钢筋锚固位置、方式错误的：                                                锚固长度达不到要求；                                                              梁、柱变截面、钢筋变径错误的；                                                    钢筋加工的形状及尺寸不符合图纸及规范要求。</w:t>
            </w:r>
          </w:p>
        </w:tc>
        <w:tc>
          <w:tcPr>
            <w:tcW w:w="708" w:type="dxa"/>
            <w:tcBorders>
              <w:top w:val="nil"/>
              <w:left w:val="nil"/>
              <w:bottom w:val="single" w:color="auto" w:sz="4" w:space="0"/>
              <w:right w:val="single" w:color="auto" w:sz="4" w:space="0"/>
            </w:tcBorders>
            <w:shd w:val="clear" w:color="000000" w:fill="FFFFFF"/>
            <w:noWrap w:val="0"/>
            <w:vAlign w:val="center"/>
          </w:tcPr>
          <w:p w14:paraId="3D1C7AF3">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709DE1FF">
        <w:tblPrEx>
          <w:tblCellMar>
            <w:top w:w="0" w:type="dxa"/>
            <w:left w:w="108" w:type="dxa"/>
            <w:bottom w:w="0" w:type="dxa"/>
            <w:right w:w="108" w:type="dxa"/>
          </w:tblCellMar>
        </w:tblPrEx>
        <w:trPr>
          <w:trHeight w:val="79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D4A7A37">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60F876F">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1CEAB95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7C829F35">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防雷及预埋：</w:t>
            </w:r>
            <w:r>
              <w:rPr>
                <w:rFonts w:hint="eastAsia" w:ascii="宋体" w:hAnsi="宋体" w:eastAsia="宋体" w:cs="宋体"/>
                <w:color w:val="auto"/>
                <w:sz w:val="18"/>
                <w:szCs w:val="18"/>
                <w:highlight w:val="none"/>
              </w:rPr>
              <w:t>防雷不符合要求；                                                         预埋件规格、材料、位置及预埋方法不符合要求；                                      现浇板中的线管布置不符合要求。</w:t>
            </w:r>
          </w:p>
        </w:tc>
        <w:tc>
          <w:tcPr>
            <w:tcW w:w="708" w:type="dxa"/>
            <w:tcBorders>
              <w:top w:val="nil"/>
              <w:left w:val="nil"/>
              <w:bottom w:val="single" w:color="auto" w:sz="4" w:space="0"/>
              <w:right w:val="single" w:color="auto" w:sz="4" w:space="0"/>
            </w:tcBorders>
            <w:shd w:val="clear" w:color="000000" w:fill="FFFFFF"/>
            <w:noWrap w:val="0"/>
            <w:vAlign w:val="center"/>
          </w:tcPr>
          <w:p w14:paraId="5EB37ED4">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35682CAD">
        <w:tblPrEx>
          <w:tblCellMar>
            <w:top w:w="0" w:type="dxa"/>
            <w:left w:w="108" w:type="dxa"/>
            <w:bottom w:w="0" w:type="dxa"/>
            <w:right w:w="108" w:type="dxa"/>
          </w:tblCellMar>
        </w:tblPrEx>
        <w:trPr>
          <w:trHeight w:val="1099"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38B19AB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三、模板工程</w:t>
            </w:r>
          </w:p>
        </w:tc>
        <w:tc>
          <w:tcPr>
            <w:tcW w:w="905" w:type="dxa"/>
            <w:gridSpan w:val="2"/>
            <w:tcBorders>
              <w:top w:val="single" w:color="auto" w:sz="4" w:space="0"/>
              <w:left w:val="nil"/>
              <w:bottom w:val="single" w:color="auto" w:sz="4" w:space="0"/>
              <w:right w:val="single" w:color="000000" w:sz="4" w:space="0"/>
            </w:tcBorders>
            <w:shd w:val="clear" w:color="000000" w:fill="FFFFFF"/>
            <w:noWrap w:val="0"/>
            <w:vAlign w:val="center"/>
          </w:tcPr>
          <w:p w14:paraId="7DB7517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主控项目</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0BA41595">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模板支撑系统的强度、刚度及稳定性不符合施工方案的；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未按要求留设清扫口或钢筋安装前及浇捣砼前杂物及积水未清干净的；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后浇带支撑和拆除未按要求施工（或新方案未经审批）。</w:t>
            </w:r>
          </w:p>
        </w:tc>
        <w:tc>
          <w:tcPr>
            <w:tcW w:w="708" w:type="dxa"/>
            <w:tcBorders>
              <w:top w:val="nil"/>
              <w:left w:val="nil"/>
              <w:bottom w:val="single" w:color="auto" w:sz="4" w:space="0"/>
              <w:right w:val="single" w:color="auto" w:sz="4" w:space="0"/>
            </w:tcBorders>
            <w:shd w:val="clear" w:color="000000" w:fill="FFFFFF"/>
            <w:noWrap w:val="0"/>
            <w:vAlign w:val="center"/>
          </w:tcPr>
          <w:p w14:paraId="762A027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137129B9">
        <w:tblPrEx>
          <w:tblCellMar>
            <w:top w:w="0" w:type="dxa"/>
            <w:left w:w="108" w:type="dxa"/>
            <w:bottom w:w="0" w:type="dxa"/>
            <w:right w:w="108" w:type="dxa"/>
          </w:tblCellMar>
        </w:tblPrEx>
        <w:trPr>
          <w:trHeight w:val="136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5490665">
            <w:pPr>
              <w:widowControl/>
              <w:rPr>
                <w:rFonts w:hint="eastAsia" w:ascii="宋体" w:hAnsi="宋体" w:eastAsia="宋体" w:cs="宋体"/>
                <w:color w:val="auto"/>
                <w:sz w:val="18"/>
                <w:szCs w:val="18"/>
                <w:highlight w:val="none"/>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B8D2B1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一般项目</w:t>
            </w:r>
          </w:p>
        </w:tc>
        <w:tc>
          <w:tcPr>
            <w:tcW w:w="396" w:type="dxa"/>
            <w:tcBorders>
              <w:top w:val="nil"/>
              <w:left w:val="nil"/>
              <w:bottom w:val="single" w:color="auto" w:sz="4" w:space="0"/>
              <w:right w:val="single" w:color="auto" w:sz="4" w:space="0"/>
            </w:tcBorders>
            <w:shd w:val="clear" w:color="000000" w:fill="FFFFFF"/>
            <w:noWrap w:val="0"/>
            <w:vAlign w:val="center"/>
          </w:tcPr>
          <w:p w14:paraId="5F5B2CF6">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697D6352">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支撑：</w:t>
            </w:r>
            <w:r>
              <w:rPr>
                <w:rFonts w:hint="eastAsia" w:ascii="宋体" w:hAnsi="宋体" w:eastAsia="宋体" w:cs="宋体"/>
                <w:color w:val="auto"/>
                <w:sz w:val="18"/>
                <w:szCs w:val="18"/>
                <w:highlight w:val="none"/>
              </w:rPr>
              <w:t xml:space="preserve">违规使用木支撑体系；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模板支撑与外脚手架连接或支撑于外脚手架、悬挑板上；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立杆底部未铺设垫板及上下托伸出长度大于上下托长度1/2；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用作模板支撑的地坪未经夯实及砖胎膜未按要求施工；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模板及木方等材料已经明显达不到要求仍使用。                                       </w:t>
            </w:r>
          </w:p>
        </w:tc>
        <w:tc>
          <w:tcPr>
            <w:tcW w:w="708" w:type="dxa"/>
            <w:tcBorders>
              <w:top w:val="nil"/>
              <w:left w:val="nil"/>
              <w:bottom w:val="single" w:color="auto" w:sz="4" w:space="0"/>
              <w:right w:val="single" w:color="auto" w:sz="4" w:space="0"/>
            </w:tcBorders>
            <w:shd w:val="clear" w:color="000000" w:fill="FFFFFF"/>
            <w:noWrap w:val="0"/>
            <w:vAlign w:val="center"/>
          </w:tcPr>
          <w:p w14:paraId="5EF27C5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57B74EDE">
        <w:tblPrEx>
          <w:tblCellMar>
            <w:top w:w="0" w:type="dxa"/>
            <w:left w:w="108" w:type="dxa"/>
            <w:bottom w:w="0" w:type="dxa"/>
            <w:right w:w="108" w:type="dxa"/>
          </w:tblCellMar>
        </w:tblPrEx>
        <w:trPr>
          <w:trHeight w:val="108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53BBBE6">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D4CC9A0">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7E28425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07635B9D">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完成：</w:t>
            </w:r>
            <w:r>
              <w:rPr>
                <w:rFonts w:hint="eastAsia" w:ascii="宋体" w:hAnsi="宋体" w:eastAsia="宋体" w:cs="宋体"/>
                <w:color w:val="auto"/>
                <w:sz w:val="18"/>
                <w:szCs w:val="18"/>
                <w:highlight w:val="none"/>
              </w:rPr>
              <w:t xml:space="preserve">使用不合格脱模剂；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浇捣砼前模板未浇水湿润；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模板标高或轴线不符合要求；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模板拼缝不严。</w:t>
            </w:r>
          </w:p>
        </w:tc>
        <w:tc>
          <w:tcPr>
            <w:tcW w:w="708" w:type="dxa"/>
            <w:tcBorders>
              <w:top w:val="nil"/>
              <w:left w:val="nil"/>
              <w:bottom w:val="single" w:color="auto" w:sz="4" w:space="0"/>
              <w:right w:val="single" w:color="auto" w:sz="4" w:space="0"/>
            </w:tcBorders>
            <w:shd w:val="clear" w:color="000000" w:fill="FFFFFF"/>
            <w:noWrap w:val="0"/>
            <w:vAlign w:val="center"/>
          </w:tcPr>
          <w:p w14:paraId="5AEB49E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2CB1C24C">
        <w:tblPrEx>
          <w:tblCellMar>
            <w:top w:w="0" w:type="dxa"/>
            <w:left w:w="108" w:type="dxa"/>
            <w:bottom w:w="0" w:type="dxa"/>
            <w:right w:w="108" w:type="dxa"/>
          </w:tblCellMar>
        </w:tblPrEx>
        <w:trPr>
          <w:trHeight w:val="58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A27094F">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7E91662">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363F3C1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3D4BBEE1">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拆除：</w:t>
            </w:r>
            <w:r>
              <w:rPr>
                <w:rFonts w:hint="eastAsia" w:ascii="宋体" w:hAnsi="宋体" w:eastAsia="宋体" w:cs="宋体"/>
                <w:color w:val="auto"/>
                <w:sz w:val="18"/>
                <w:szCs w:val="18"/>
                <w:highlight w:val="none"/>
              </w:rPr>
              <w:t>构件未达到要求的强度进行模板拆除；                                                                                                         模板未按规范要求进行拆除。</w:t>
            </w:r>
          </w:p>
        </w:tc>
        <w:tc>
          <w:tcPr>
            <w:tcW w:w="708" w:type="dxa"/>
            <w:tcBorders>
              <w:top w:val="nil"/>
              <w:left w:val="nil"/>
              <w:bottom w:val="single" w:color="auto" w:sz="4" w:space="0"/>
              <w:right w:val="single" w:color="auto" w:sz="4" w:space="0"/>
            </w:tcBorders>
            <w:shd w:val="clear" w:color="000000" w:fill="FFFFFF"/>
            <w:noWrap w:val="0"/>
            <w:vAlign w:val="center"/>
          </w:tcPr>
          <w:p w14:paraId="2AD293F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6263E0AD">
        <w:tblPrEx>
          <w:tblCellMar>
            <w:top w:w="0" w:type="dxa"/>
            <w:left w:w="108" w:type="dxa"/>
            <w:bottom w:w="0" w:type="dxa"/>
            <w:right w:w="108" w:type="dxa"/>
          </w:tblCellMar>
        </w:tblPrEx>
        <w:trPr>
          <w:trHeight w:val="540"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05FB326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四、砼工程</w:t>
            </w:r>
          </w:p>
        </w:tc>
        <w:tc>
          <w:tcPr>
            <w:tcW w:w="905" w:type="dxa"/>
            <w:gridSpan w:val="2"/>
            <w:tcBorders>
              <w:top w:val="single" w:color="auto" w:sz="4" w:space="0"/>
              <w:left w:val="nil"/>
              <w:bottom w:val="single" w:color="auto" w:sz="4" w:space="0"/>
              <w:right w:val="single" w:color="000000" w:sz="4" w:space="0"/>
            </w:tcBorders>
            <w:shd w:val="clear" w:color="000000" w:fill="FFFFFF"/>
            <w:noWrap w:val="0"/>
            <w:vAlign w:val="center"/>
          </w:tcPr>
          <w:p w14:paraId="71FCEF26">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主控项目</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62857FAF">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砼存在严重结构缺陷或强度不足的；</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特殊混凝土不符合设计要求。</w:t>
            </w:r>
          </w:p>
        </w:tc>
        <w:tc>
          <w:tcPr>
            <w:tcW w:w="708" w:type="dxa"/>
            <w:tcBorders>
              <w:top w:val="nil"/>
              <w:left w:val="nil"/>
              <w:bottom w:val="single" w:color="auto" w:sz="4" w:space="0"/>
              <w:right w:val="single" w:color="auto" w:sz="4" w:space="0"/>
            </w:tcBorders>
            <w:shd w:val="clear" w:color="000000" w:fill="FFFFFF"/>
            <w:noWrap w:val="0"/>
            <w:vAlign w:val="center"/>
          </w:tcPr>
          <w:p w14:paraId="494D605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38E39E49">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DC4D729">
            <w:pPr>
              <w:widowControl/>
              <w:rPr>
                <w:rFonts w:hint="eastAsia" w:ascii="宋体" w:hAnsi="宋体" w:eastAsia="宋体" w:cs="宋体"/>
                <w:color w:val="auto"/>
                <w:sz w:val="18"/>
                <w:szCs w:val="18"/>
                <w:highlight w:val="none"/>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497D19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一般项目</w:t>
            </w:r>
          </w:p>
        </w:tc>
        <w:tc>
          <w:tcPr>
            <w:tcW w:w="396" w:type="dxa"/>
            <w:tcBorders>
              <w:top w:val="nil"/>
              <w:left w:val="nil"/>
              <w:bottom w:val="single" w:color="auto" w:sz="4" w:space="0"/>
              <w:right w:val="single" w:color="auto" w:sz="4" w:space="0"/>
            </w:tcBorders>
            <w:shd w:val="clear" w:color="000000" w:fill="FFFFFF"/>
            <w:noWrap w:val="0"/>
            <w:vAlign w:val="center"/>
          </w:tcPr>
          <w:p w14:paraId="16EAA6C4">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7A73A0B6">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偏位：</w:t>
            </w:r>
            <w:r>
              <w:rPr>
                <w:rFonts w:hint="eastAsia" w:ascii="宋体" w:hAnsi="宋体" w:eastAsia="宋体" w:cs="宋体"/>
                <w:color w:val="auto"/>
                <w:sz w:val="18"/>
                <w:szCs w:val="18"/>
                <w:highlight w:val="none"/>
              </w:rPr>
              <w:t>柱及剪力墙发现上下层偏位，梁、板下沉及梁轴线偏移超出规范要求1cm以上；</w:t>
            </w:r>
          </w:p>
        </w:tc>
        <w:tc>
          <w:tcPr>
            <w:tcW w:w="708" w:type="dxa"/>
            <w:tcBorders>
              <w:top w:val="nil"/>
              <w:left w:val="nil"/>
              <w:bottom w:val="single" w:color="auto" w:sz="4" w:space="0"/>
              <w:right w:val="single" w:color="auto" w:sz="4" w:space="0"/>
            </w:tcBorders>
            <w:shd w:val="clear" w:color="000000" w:fill="FFFFFF"/>
            <w:noWrap w:val="0"/>
            <w:vAlign w:val="center"/>
          </w:tcPr>
          <w:p w14:paraId="0B1A625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5223EF2C">
        <w:tblPrEx>
          <w:tblCellMar>
            <w:top w:w="0" w:type="dxa"/>
            <w:left w:w="108" w:type="dxa"/>
            <w:bottom w:w="0" w:type="dxa"/>
            <w:right w:w="108" w:type="dxa"/>
          </w:tblCellMar>
        </w:tblPrEx>
        <w:trPr>
          <w:trHeight w:val="163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6E3E898">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6C3A9D9">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70F3770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4EC2E713">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缺陷：</w:t>
            </w:r>
            <w:r>
              <w:rPr>
                <w:rFonts w:hint="eastAsia" w:ascii="宋体" w:hAnsi="宋体" w:eastAsia="宋体" w:cs="宋体"/>
                <w:color w:val="auto"/>
                <w:sz w:val="18"/>
                <w:szCs w:val="18"/>
                <w:highlight w:val="none"/>
              </w:rPr>
              <w:t xml:space="preserve">构件主要受力部位存在裂缝的；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砼梁、板、柱、墙存在一般砂化、夹渣、蜂窝、孔洞、露筋；                                                                                        板面、屋面未按要求收面；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施工缝及其他未按规范及图纸施工；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砼结构楼板压槽不符合要求；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养护不合格或板面未按要求采用薄膜覆盖自养。</w:t>
            </w:r>
          </w:p>
        </w:tc>
        <w:tc>
          <w:tcPr>
            <w:tcW w:w="708" w:type="dxa"/>
            <w:tcBorders>
              <w:top w:val="nil"/>
              <w:left w:val="nil"/>
              <w:bottom w:val="single" w:color="auto" w:sz="4" w:space="0"/>
              <w:right w:val="single" w:color="auto" w:sz="4" w:space="0"/>
            </w:tcBorders>
            <w:shd w:val="clear" w:color="000000" w:fill="FFFFFF"/>
            <w:noWrap w:val="0"/>
            <w:vAlign w:val="center"/>
          </w:tcPr>
          <w:p w14:paraId="5F272E8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2FF59C7D">
        <w:tblPrEx>
          <w:tblCellMar>
            <w:top w:w="0" w:type="dxa"/>
            <w:left w:w="108" w:type="dxa"/>
            <w:bottom w:w="0" w:type="dxa"/>
            <w:right w:w="108" w:type="dxa"/>
          </w:tblCellMar>
        </w:tblPrEx>
        <w:trPr>
          <w:trHeight w:val="78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B71E7D3">
            <w:pPr>
              <w:widowControl/>
              <w:rPr>
                <w:rFonts w:hint="eastAsia" w:ascii="宋体" w:hAnsi="宋体" w:eastAsia="宋体" w:cs="宋体"/>
                <w:color w:val="auto"/>
                <w:sz w:val="18"/>
                <w:szCs w:val="18"/>
                <w:highlight w:val="none"/>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F51C210">
            <w:pPr>
              <w:widowControl/>
              <w:rPr>
                <w:rFonts w:hint="eastAsia" w:ascii="宋体" w:hAnsi="宋体" w:eastAsia="宋体" w:cs="宋体"/>
                <w:color w:val="auto"/>
                <w:sz w:val="18"/>
                <w:szCs w:val="18"/>
                <w:highlight w:val="none"/>
              </w:rPr>
            </w:pPr>
          </w:p>
        </w:tc>
        <w:tc>
          <w:tcPr>
            <w:tcW w:w="396" w:type="dxa"/>
            <w:tcBorders>
              <w:top w:val="nil"/>
              <w:left w:val="nil"/>
              <w:bottom w:val="single" w:color="auto" w:sz="4" w:space="0"/>
              <w:right w:val="single" w:color="auto" w:sz="4" w:space="0"/>
            </w:tcBorders>
            <w:shd w:val="clear" w:color="000000" w:fill="FFFFFF"/>
            <w:noWrap w:val="0"/>
            <w:vAlign w:val="center"/>
          </w:tcPr>
          <w:p w14:paraId="1AB20DC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14:paraId="24B7C8FF">
            <w:pPr>
              <w:widowControl/>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修补：</w:t>
            </w:r>
            <w:r>
              <w:rPr>
                <w:rFonts w:hint="eastAsia" w:ascii="宋体" w:hAnsi="宋体" w:eastAsia="宋体" w:cs="宋体"/>
                <w:color w:val="auto"/>
                <w:sz w:val="18"/>
                <w:szCs w:val="18"/>
                <w:highlight w:val="none"/>
              </w:rPr>
              <w:t>砼缺陷处理不符合要求；                                              严重缺陷未经莞建项目部对方案审批的，乙方擅自对砼缺陷修补且不合格。</w:t>
            </w:r>
          </w:p>
        </w:tc>
        <w:tc>
          <w:tcPr>
            <w:tcW w:w="708" w:type="dxa"/>
            <w:tcBorders>
              <w:top w:val="nil"/>
              <w:left w:val="nil"/>
              <w:bottom w:val="single" w:color="auto" w:sz="4" w:space="0"/>
              <w:right w:val="single" w:color="auto" w:sz="4" w:space="0"/>
            </w:tcBorders>
            <w:shd w:val="clear" w:color="000000" w:fill="FFFFFF"/>
            <w:noWrap w:val="0"/>
            <w:vAlign w:val="center"/>
          </w:tcPr>
          <w:p w14:paraId="627F8C6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bl>
    <w:p w14:paraId="4AEA3EBC">
      <w:pPr>
        <w:spacing w:line="360" w:lineRule="auto"/>
        <w:ind w:left="-540" w:leftChars="-257" w:firstLine="318" w:firstLineChars="177"/>
        <w:rPr>
          <w:rFonts w:hint="eastAsia" w:ascii="宋体" w:hAnsi="宋体" w:eastAsia="宋体" w:cs="宋体"/>
          <w:color w:val="auto"/>
          <w:sz w:val="18"/>
          <w:szCs w:val="18"/>
          <w:highlight w:val="none"/>
        </w:rPr>
      </w:pPr>
    </w:p>
    <w:p w14:paraId="074098BB">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br w:type="page"/>
      </w:r>
    </w:p>
    <w:tbl>
      <w:tblPr>
        <w:tblStyle w:val="9"/>
        <w:tblW w:w="0" w:type="auto"/>
        <w:tblInd w:w="93" w:type="dxa"/>
        <w:tblLayout w:type="fixed"/>
        <w:tblCellMar>
          <w:top w:w="0" w:type="dxa"/>
          <w:left w:w="108" w:type="dxa"/>
          <w:bottom w:w="0" w:type="dxa"/>
          <w:right w:w="108" w:type="dxa"/>
        </w:tblCellMar>
      </w:tblPr>
      <w:tblGrid>
        <w:gridCol w:w="833"/>
        <w:gridCol w:w="615"/>
        <w:gridCol w:w="7716"/>
        <w:gridCol w:w="705"/>
      </w:tblGrid>
      <w:tr w14:paraId="3E6CD08A">
        <w:tblPrEx>
          <w:tblCellMar>
            <w:top w:w="0" w:type="dxa"/>
            <w:left w:w="108" w:type="dxa"/>
            <w:bottom w:w="0" w:type="dxa"/>
            <w:right w:w="108" w:type="dxa"/>
          </w:tblCellMar>
        </w:tblPrEx>
        <w:trPr>
          <w:trHeight w:val="815" w:hRule="atLeast"/>
        </w:trPr>
        <w:tc>
          <w:tcPr>
            <w:tcW w:w="9869" w:type="dxa"/>
            <w:gridSpan w:val="4"/>
            <w:shd w:val="clear" w:color="000000" w:fill="FFFFFF"/>
            <w:noWrap w:val="0"/>
            <w:vAlign w:val="center"/>
          </w:tcPr>
          <w:p w14:paraId="13AE5528">
            <w:pPr>
              <w:widowControl/>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装修、市政工程质量管理细则</w:t>
            </w:r>
          </w:p>
        </w:tc>
      </w:tr>
      <w:tr w14:paraId="186A0ED5">
        <w:tblPrEx>
          <w:tblCellMar>
            <w:top w:w="0" w:type="dxa"/>
            <w:left w:w="108" w:type="dxa"/>
            <w:bottom w:w="0" w:type="dxa"/>
            <w:right w:w="108" w:type="dxa"/>
          </w:tblCellMar>
        </w:tblPrEx>
        <w:trPr>
          <w:trHeight w:val="765" w:hRule="atLeast"/>
        </w:trPr>
        <w:tc>
          <w:tcPr>
            <w:tcW w:w="83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2C11D3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检查项目</w:t>
            </w:r>
          </w:p>
        </w:tc>
        <w:tc>
          <w:tcPr>
            <w:tcW w:w="8331" w:type="dxa"/>
            <w:gridSpan w:val="2"/>
            <w:tcBorders>
              <w:top w:val="single" w:color="auto" w:sz="4" w:space="0"/>
              <w:left w:val="nil"/>
              <w:bottom w:val="single" w:color="auto" w:sz="4" w:space="0"/>
              <w:right w:val="single" w:color="auto" w:sz="4" w:space="0"/>
            </w:tcBorders>
            <w:shd w:val="clear" w:color="000000" w:fill="FFFFFF"/>
            <w:noWrap w:val="0"/>
            <w:vAlign w:val="center"/>
          </w:tcPr>
          <w:p w14:paraId="2A11ABE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工程质量管控要求</w:t>
            </w:r>
          </w:p>
        </w:tc>
        <w:tc>
          <w:tcPr>
            <w:tcW w:w="7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1DC38C0">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罚款金额/次</w:t>
            </w:r>
          </w:p>
        </w:tc>
      </w:tr>
      <w:tr w14:paraId="0ACFDFFB">
        <w:tblPrEx>
          <w:tblCellMar>
            <w:top w:w="0" w:type="dxa"/>
            <w:left w:w="108" w:type="dxa"/>
            <w:bottom w:w="0" w:type="dxa"/>
            <w:right w:w="108" w:type="dxa"/>
          </w:tblCellMar>
        </w:tblPrEx>
        <w:trPr>
          <w:trHeight w:val="57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0DD78B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一、外墙工程</w:t>
            </w:r>
          </w:p>
        </w:tc>
        <w:tc>
          <w:tcPr>
            <w:tcW w:w="615" w:type="dxa"/>
            <w:tcBorders>
              <w:top w:val="nil"/>
              <w:left w:val="nil"/>
              <w:bottom w:val="single" w:color="auto" w:sz="4" w:space="0"/>
              <w:right w:val="single" w:color="auto" w:sz="4" w:space="0"/>
            </w:tcBorders>
            <w:shd w:val="clear" w:color="000000" w:fill="FFFFFF"/>
            <w:noWrap w:val="0"/>
            <w:vAlign w:val="center"/>
          </w:tcPr>
          <w:p w14:paraId="618CD9F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00BAFC88">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材料品牌、材质、规格以及外立面效果不符合设计或合同要求。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172281B4">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78503EF1">
        <w:tblPrEx>
          <w:tblCellMar>
            <w:top w:w="0" w:type="dxa"/>
            <w:left w:w="108" w:type="dxa"/>
            <w:bottom w:w="0" w:type="dxa"/>
            <w:right w:w="108" w:type="dxa"/>
          </w:tblCellMar>
        </w:tblPrEx>
        <w:trPr>
          <w:trHeight w:val="129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1C53882">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2FFF25F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铺贴</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241D26D6">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铺贴无放样，铺贴的图案不符合图纸要求；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铺贴前未弹线、缝隙不均匀、回缝质量差、表面有污染；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铺贴表面明显不平整、边角收口差、贴缝不平直；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有崩损、有空鼓或脱落。</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3BA92080">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130DFE23">
        <w:tblPrEx>
          <w:tblCellMar>
            <w:top w:w="0" w:type="dxa"/>
            <w:left w:w="108" w:type="dxa"/>
            <w:bottom w:w="0" w:type="dxa"/>
            <w:right w:w="108" w:type="dxa"/>
          </w:tblCellMar>
        </w:tblPrEx>
        <w:trPr>
          <w:trHeight w:val="100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E3E7847">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2723D8D4">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饰件</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07D19DB1">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外墙线条涂料、铺贴前未弹线验收，大小不均匀、不平直；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外立面造型与图纸不一致；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各种（包括管道）接口不平直、收口差、有裂缝、崩缺，弧线不流畅。</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2551218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14D3EFAB">
        <w:tblPrEx>
          <w:tblCellMar>
            <w:top w:w="0" w:type="dxa"/>
            <w:left w:w="108" w:type="dxa"/>
            <w:bottom w:w="0" w:type="dxa"/>
            <w:right w:w="108" w:type="dxa"/>
          </w:tblCellMar>
        </w:tblPrEx>
        <w:trPr>
          <w:trHeight w:val="171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4ACC0FB">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4D130D2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涂料</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5A384B84">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喷涂色泽不一致，浮雕大小、扫油不均匀；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平涂未打磨就扫油，扫油不均匀光滑、污染其他产品；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喷涂出现透底、流淌、起皮、未压花；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外墙涂料出现色差、流坠、破损、不平整；</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外墙漆表面不平整、咬色、存在砂眼、划痕、漏喷等。</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70B160C3">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03BF53C8">
        <w:tblPrEx>
          <w:tblCellMar>
            <w:top w:w="0" w:type="dxa"/>
            <w:left w:w="108" w:type="dxa"/>
            <w:bottom w:w="0" w:type="dxa"/>
            <w:right w:w="108" w:type="dxa"/>
          </w:tblCellMar>
        </w:tblPrEx>
        <w:trPr>
          <w:trHeight w:val="57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91B4F53">
            <w:pPr>
              <w:widowControl/>
              <w:spacing w:after="24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二、室内铺贴工程</w:t>
            </w:r>
          </w:p>
        </w:tc>
        <w:tc>
          <w:tcPr>
            <w:tcW w:w="615" w:type="dxa"/>
            <w:tcBorders>
              <w:top w:val="nil"/>
              <w:left w:val="nil"/>
              <w:bottom w:val="single" w:color="auto" w:sz="4" w:space="0"/>
              <w:right w:val="single" w:color="auto" w:sz="4" w:space="0"/>
            </w:tcBorders>
            <w:shd w:val="clear" w:color="000000" w:fill="FFFFFF"/>
            <w:noWrap w:val="0"/>
            <w:vAlign w:val="center"/>
          </w:tcPr>
          <w:p w14:paraId="055A9566">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68C32113">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品牌、材质、规格不符合设计或合同要求。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43F4947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0A8CAAD1">
        <w:tblPrEx>
          <w:tblCellMar>
            <w:top w:w="0" w:type="dxa"/>
            <w:left w:w="108" w:type="dxa"/>
            <w:bottom w:w="0" w:type="dxa"/>
            <w:right w:w="108" w:type="dxa"/>
          </w:tblCellMar>
        </w:tblPrEx>
        <w:trPr>
          <w:trHeight w:val="126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9AF5F1F">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5AA475A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工艺</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要求</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384E0740">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装修1m平水线错误的；</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铺贴未按图纸要求下料和排版；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铺贴前未按要求浸水或冲洗背面粉尘。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7D88F13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42E149CE">
        <w:tblPrEx>
          <w:tblCellMar>
            <w:top w:w="0" w:type="dxa"/>
            <w:left w:w="108" w:type="dxa"/>
            <w:bottom w:w="0" w:type="dxa"/>
            <w:right w:w="108" w:type="dxa"/>
          </w:tblCellMar>
        </w:tblPrEx>
        <w:trPr>
          <w:trHeight w:val="187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22BF312">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1B05B6A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观感</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质量</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25D0142E">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铺贴大小头，用小条砖收口，铺贴平整度明显不符合要求；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铺贴后材料有色差、污染、开裂、空鼓、崩烂；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铺贴后无回缝或回缝质量差、收口差、缝隙不均匀；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地柜底部找平层低于铺贴面或未压光；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墙裙、踢脚线高度及厚度不一致；</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门槛石、窗台石未按要求施工。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0FAAF44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20A8109A">
        <w:tblPrEx>
          <w:tblCellMar>
            <w:top w:w="0" w:type="dxa"/>
            <w:left w:w="108" w:type="dxa"/>
            <w:bottom w:w="0" w:type="dxa"/>
            <w:right w:w="108" w:type="dxa"/>
          </w:tblCellMar>
        </w:tblPrEx>
        <w:trPr>
          <w:trHeight w:val="825"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CC4FB64">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三、栏杆、扶手工程</w:t>
            </w:r>
          </w:p>
        </w:tc>
        <w:tc>
          <w:tcPr>
            <w:tcW w:w="615" w:type="dxa"/>
            <w:tcBorders>
              <w:top w:val="nil"/>
              <w:left w:val="nil"/>
              <w:bottom w:val="single" w:color="auto" w:sz="4" w:space="0"/>
              <w:right w:val="single" w:color="auto" w:sz="4" w:space="0"/>
            </w:tcBorders>
            <w:shd w:val="clear" w:color="000000" w:fill="FFFFFF"/>
            <w:noWrap w:val="0"/>
            <w:vAlign w:val="center"/>
          </w:tcPr>
          <w:p w14:paraId="334841F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3677971D">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品牌、材质、规格不符合设计或合同要求；</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室内楼梯、阳露台栏杆安装明显松脱、不牢固。</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4F39638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5840F920">
        <w:tblPrEx>
          <w:tblCellMar>
            <w:top w:w="0" w:type="dxa"/>
            <w:left w:w="108" w:type="dxa"/>
            <w:bottom w:w="0" w:type="dxa"/>
            <w:right w:w="108" w:type="dxa"/>
          </w:tblCellMar>
        </w:tblPrEx>
        <w:trPr>
          <w:trHeight w:val="699"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5AAFD1F">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660E3C6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工艺</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要求</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51383C5D">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楼梯扶手、阳露台栏杆的有效高度，净空间距不符合设计和规范要求；</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木扶手底未按要求固定扁铁；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扶手转角处的处理不符合规范及设计要求；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预埋件的数量、规格、位置、埋置深度、连接工艺等不符合要求；                                                                                                铁艺部分未按要求焊接及防锈处理。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2186CDF3">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102ECF81">
        <w:tblPrEx>
          <w:tblCellMar>
            <w:top w:w="0" w:type="dxa"/>
            <w:left w:w="108" w:type="dxa"/>
            <w:bottom w:w="0" w:type="dxa"/>
            <w:right w:w="108" w:type="dxa"/>
          </w:tblCellMar>
        </w:tblPrEx>
        <w:trPr>
          <w:trHeight w:val="102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362D167">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5111D4F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观感</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质量</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125B4BFA">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栏杆、扶手不平直、顺滑、有明显弯曲、起泡、皱皮、色差现象；                                                                                                                    木扶手的拼接处有明显的钉眼痕迹；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铁艺焊口未打磨光滑、油漆不光洁美观、未安装收口盖。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2038C6D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495C099D">
        <w:tblPrEx>
          <w:tblCellMar>
            <w:top w:w="0" w:type="dxa"/>
            <w:left w:w="108" w:type="dxa"/>
            <w:bottom w:w="0" w:type="dxa"/>
            <w:right w:w="108" w:type="dxa"/>
          </w:tblCellMar>
        </w:tblPrEx>
        <w:trPr>
          <w:trHeight w:val="326" w:hRule="atLeast"/>
        </w:trPr>
        <w:tc>
          <w:tcPr>
            <w:tcW w:w="833"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1178C55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四、吊顶、隔墙工程</w:t>
            </w:r>
          </w:p>
        </w:tc>
        <w:tc>
          <w:tcPr>
            <w:tcW w:w="615"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04E7B8A">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33E49B6">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品牌、材质、规格不符合设计或合同要求；</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不同材质交接处或板材间交接处未采取有效防开裂措施及吊顶转角处未按要求采用“L”型开料或双层板处理。</w:t>
            </w:r>
          </w:p>
        </w:tc>
        <w:tc>
          <w:tcPr>
            <w:tcW w:w="705"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6C8DA753">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581A7554">
        <w:tblPrEx>
          <w:tblCellMar>
            <w:top w:w="0" w:type="dxa"/>
            <w:left w:w="108" w:type="dxa"/>
            <w:bottom w:w="0" w:type="dxa"/>
            <w:right w:w="108" w:type="dxa"/>
          </w:tblCellMar>
        </w:tblPrEx>
        <w:trPr>
          <w:trHeight w:val="840" w:hRule="atLeast"/>
        </w:trPr>
        <w:tc>
          <w:tcPr>
            <w:tcW w:w="833" w:type="dxa"/>
            <w:vMerge w:val="continue"/>
            <w:tcBorders>
              <w:top w:val="nil"/>
              <w:left w:val="single" w:color="auto" w:sz="4" w:space="0"/>
              <w:bottom w:val="single" w:color="auto" w:sz="4" w:space="0"/>
              <w:right w:val="single" w:color="auto" w:sz="4" w:space="0"/>
            </w:tcBorders>
            <w:noWrap w:val="0"/>
            <w:vAlign w:val="center"/>
          </w:tcPr>
          <w:p w14:paraId="0F262E72">
            <w:pPr>
              <w:widowControl/>
              <w:rPr>
                <w:rFonts w:hint="eastAsia" w:ascii="宋体" w:hAnsi="宋体" w:eastAsia="宋体" w:cs="宋体"/>
                <w:color w:val="auto"/>
                <w:sz w:val="18"/>
                <w:szCs w:val="18"/>
                <w:highlight w:val="none"/>
              </w:rPr>
            </w:pPr>
          </w:p>
        </w:tc>
        <w:tc>
          <w:tcPr>
            <w:tcW w:w="615" w:type="dxa"/>
            <w:vMerge w:val="continue"/>
            <w:tcBorders>
              <w:top w:val="nil"/>
              <w:left w:val="single" w:color="auto" w:sz="4" w:space="0"/>
              <w:bottom w:val="single" w:color="auto" w:sz="4" w:space="0"/>
              <w:right w:val="single" w:color="auto" w:sz="4" w:space="0"/>
            </w:tcBorders>
            <w:noWrap w:val="0"/>
            <w:vAlign w:val="center"/>
          </w:tcPr>
          <w:p w14:paraId="64AE18C7">
            <w:pPr>
              <w:widowControl/>
              <w:rPr>
                <w:rFonts w:hint="eastAsia" w:ascii="宋体" w:hAnsi="宋体" w:eastAsia="宋体" w:cs="宋体"/>
                <w:color w:val="auto"/>
                <w:sz w:val="18"/>
                <w:szCs w:val="18"/>
                <w:highlight w:val="none"/>
              </w:rPr>
            </w:pPr>
          </w:p>
        </w:tc>
        <w:tc>
          <w:tcPr>
            <w:tcW w:w="7716" w:type="dxa"/>
            <w:vMerge w:val="continue"/>
            <w:tcBorders>
              <w:top w:val="nil"/>
              <w:left w:val="single" w:color="auto" w:sz="4" w:space="0"/>
              <w:bottom w:val="single" w:color="auto" w:sz="4" w:space="0"/>
              <w:right w:val="single" w:color="auto" w:sz="4" w:space="0"/>
            </w:tcBorders>
            <w:noWrap w:val="0"/>
            <w:vAlign w:val="center"/>
          </w:tcPr>
          <w:p w14:paraId="1CD318E6">
            <w:pPr>
              <w:widowControl/>
              <w:rPr>
                <w:rFonts w:hint="eastAsia" w:ascii="宋体" w:hAnsi="宋体" w:eastAsia="宋体" w:cs="宋体"/>
                <w:color w:val="auto"/>
                <w:sz w:val="18"/>
                <w:szCs w:val="18"/>
                <w:highlight w:val="none"/>
              </w:rPr>
            </w:pPr>
          </w:p>
        </w:tc>
        <w:tc>
          <w:tcPr>
            <w:tcW w:w="705" w:type="dxa"/>
            <w:vMerge w:val="continue"/>
            <w:tcBorders>
              <w:top w:val="nil"/>
              <w:left w:val="single" w:color="auto" w:sz="4" w:space="0"/>
              <w:bottom w:val="single" w:color="000000" w:sz="4" w:space="0"/>
              <w:right w:val="single" w:color="auto" w:sz="4" w:space="0"/>
            </w:tcBorders>
            <w:noWrap w:val="0"/>
            <w:vAlign w:val="center"/>
          </w:tcPr>
          <w:p w14:paraId="0E46E61E">
            <w:pPr>
              <w:widowControl/>
              <w:rPr>
                <w:rFonts w:hint="eastAsia" w:ascii="宋体" w:hAnsi="宋体" w:eastAsia="宋体" w:cs="宋体"/>
                <w:color w:val="auto"/>
                <w:sz w:val="18"/>
                <w:szCs w:val="18"/>
                <w:highlight w:val="none"/>
              </w:rPr>
            </w:pPr>
          </w:p>
        </w:tc>
      </w:tr>
      <w:tr w14:paraId="270248C3">
        <w:tblPrEx>
          <w:tblCellMar>
            <w:top w:w="0" w:type="dxa"/>
            <w:left w:w="108" w:type="dxa"/>
            <w:bottom w:w="0" w:type="dxa"/>
            <w:right w:w="108" w:type="dxa"/>
          </w:tblCellMar>
        </w:tblPrEx>
        <w:trPr>
          <w:trHeight w:val="3480" w:hRule="atLeast"/>
        </w:trPr>
        <w:tc>
          <w:tcPr>
            <w:tcW w:w="833"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4A91665">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67B434E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工艺</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要求</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251E6E5E">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吊顶施工不按要求钻孔造成渗漏；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开灯位时切断次主龙骨；</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吊杆、龙骨及板材线等安装间距、连接、吊杆反支撑、固定方式不符合设计及规范要求；                                                                                                预埋件、连接件位置、数量及连接方法不符合要求；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重型灯具及设备未单独安装吊杆而直接安装在龙骨上；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自攻螺丝距板边过近造成板边崩损；</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各部件及五金未做好防锈、防火、防腐处理；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饰面板与主体结构未预留3mm防开裂处理缝；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未采用开孔器开灯位；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窗帘盒未按设计要求固定。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49A01B70">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659AE5D3">
        <w:tblPrEx>
          <w:tblCellMar>
            <w:top w:w="0" w:type="dxa"/>
            <w:left w:w="108" w:type="dxa"/>
            <w:bottom w:w="0" w:type="dxa"/>
            <w:right w:w="108" w:type="dxa"/>
          </w:tblCellMar>
        </w:tblPrEx>
        <w:trPr>
          <w:trHeight w:val="2055" w:hRule="atLeast"/>
        </w:trPr>
        <w:tc>
          <w:tcPr>
            <w:tcW w:w="833"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FD95977">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0CF28BC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观感</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质量</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3FBF61C3">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吊顶出现开裂、破损等情况；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板材安装不垂直、不平整、位置不正确；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面板之间的缝隙不符合要求的；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隔墙安装完成后还晃动的；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阴阳角不顺直、天花不平；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所有开孔周边未按要求收口。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1794A6D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405A3A7B">
        <w:tblPrEx>
          <w:tblCellMar>
            <w:top w:w="0" w:type="dxa"/>
            <w:left w:w="108" w:type="dxa"/>
            <w:bottom w:w="0" w:type="dxa"/>
            <w:right w:w="108" w:type="dxa"/>
          </w:tblCellMar>
        </w:tblPrEx>
        <w:trPr>
          <w:trHeight w:val="326"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EEDF40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五、内墙、天花工程</w:t>
            </w:r>
          </w:p>
        </w:tc>
        <w:tc>
          <w:tcPr>
            <w:tcW w:w="615"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FD0A0F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064A71B">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内墙涂料、腻子、墙纸、墙布、墙纸胶未使用指定品牌或规格；</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内墙涂料、腻子施工后存在通长裂缝。</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内墙未做封闭底漆。</w:t>
            </w:r>
          </w:p>
        </w:tc>
        <w:tc>
          <w:tcPr>
            <w:tcW w:w="705"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0A78C7F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1C95B5B5">
        <w:tblPrEx>
          <w:tblCellMar>
            <w:top w:w="0" w:type="dxa"/>
            <w:left w:w="108" w:type="dxa"/>
            <w:bottom w:w="0" w:type="dxa"/>
            <w:right w:w="108" w:type="dxa"/>
          </w:tblCellMar>
        </w:tblPrEx>
        <w:trPr>
          <w:trHeight w:val="660" w:hRule="atLeast"/>
        </w:trPr>
        <w:tc>
          <w:tcPr>
            <w:tcW w:w="833" w:type="dxa"/>
            <w:vMerge w:val="continue"/>
            <w:tcBorders>
              <w:top w:val="single" w:color="auto" w:sz="4" w:space="0"/>
              <w:left w:val="single" w:color="auto" w:sz="4" w:space="0"/>
              <w:bottom w:val="single" w:color="auto" w:sz="4" w:space="0"/>
              <w:right w:val="single" w:color="auto" w:sz="4" w:space="0"/>
            </w:tcBorders>
            <w:noWrap w:val="0"/>
            <w:vAlign w:val="center"/>
          </w:tcPr>
          <w:p w14:paraId="7837BDC2">
            <w:pPr>
              <w:widowControl/>
              <w:rPr>
                <w:rFonts w:hint="eastAsia" w:ascii="宋体" w:hAnsi="宋体" w:eastAsia="宋体" w:cs="宋体"/>
                <w:color w:val="auto"/>
                <w:sz w:val="18"/>
                <w:szCs w:val="18"/>
                <w:highlight w:val="none"/>
              </w:rPr>
            </w:pPr>
          </w:p>
        </w:tc>
        <w:tc>
          <w:tcPr>
            <w:tcW w:w="615" w:type="dxa"/>
            <w:vMerge w:val="continue"/>
            <w:tcBorders>
              <w:top w:val="nil"/>
              <w:left w:val="single" w:color="auto" w:sz="4" w:space="0"/>
              <w:bottom w:val="single" w:color="auto" w:sz="4" w:space="0"/>
              <w:right w:val="single" w:color="auto" w:sz="4" w:space="0"/>
            </w:tcBorders>
            <w:noWrap w:val="0"/>
            <w:vAlign w:val="center"/>
          </w:tcPr>
          <w:p w14:paraId="7856F0BC">
            <w:pPr>
              <w:widowControl/>
              <w:rPr>
                <w:rFonts w:hint="eastAsia" w:ascii="宋体" w:hAnsi="宋体" w:eastAsia="宋体" w:cs="宋体"/>
                <w:color w:val="auto"/>
                <w:sz w:val="18"/>
                <w:szCs w:val="18"/>
                <w:highlight w:val="none"/>
              </w:rPr>
            </w:pPr>
          </w:p>
        </w:tc>
        <w:tc>
          <w:tcPr>
            <w:tcW w:w="7716" w:type="dxa"/>
            <w:vMerge w:val="continue"/>
            <w:tcBorders>
              <w:top w:val="single" w:color="auto" w:sz="4" w:space="0"/>
              <w:left w:val="single" w:color="auto" w:sz="4" w:space="0"/>
              <w:bottom w:val="single" w:color="auto" w:sz="4" w:space="0"/>
              <w:right w:val="single" w:color="auto" w:sz="4" w:space="0"/>
            </w:tcBorders>
            <w:noWrap w:val="0"/>
            <w:vAlign w:val="center"/>
          </w:tcPr>
          <w:p w14:paraId="69DD8C7D">
            <w:pPr>
              <w:widowControl/>
              <w:rPr>
                <w:rFonts w:hint="eastAsia" w:ascii="宋体" w:hAnsi="宋体" w:eastAsia="宋体" w:cs="宋体"/>
                <w:color w:val="auto"/>
                <w:sz w:val="18"/>
                <w:szCs w:val="18"/>
                <w:highlight w:val="none"/>
              </w:rPr>
            </w:pPr>
          </w:p>
        </w:tc>
        <w:tc>
          <w:tcPr>
            <w:tcW w:w="705" w:type="dxa"/>
            <w:vMerge w:val="continue"/>
            <w:tcBorders>
              <w:top w:val="nil"/>
              <w:left w:val="single" w:color="auto" w:sz="4" w:space="0"/>
              <w:bottom w:val="single" w:color="000000" w:sz="4" w:space="0"/>
              <w:right w:val="single" w:color="auto" w:sz="4" w:space="0"/>
            </w:tcBorders>
            <w:noWrap w:val="0"/>
            <w:vAlign w:val="center"/>
          </w:tcPr>
          <w:p w14:paraId="7D08AB0B">
            <w:pPr>
              <w:widowControl/>
              <w:rPr>
                <w:rFonts w:hint="eastAsia" w:ascii="宋体" w:hAnsi="宋体" w:eastAsia="宋体" w:cs="宋体"/>
                <w:color w:val="auto"/>
                <w:sz w:val="18"/>
                <w:szCs w:val="18"/>
                <w:highlight w:val="none"/>
              </w:rPr>
            </w:pPr>
          </w:p>
        </w:tc>
      </w:tr>
      <w:tr w14:paraId="53D0CD00">
        <w:tblPrEx>
          <w:tblCellMar>
            <w:top w:w="0" w:type="dxa"/>
            <w:left w:w="108" w:type="dxa"/>
            <w:bottom w:w="0" w:type="dxa"/>
            <w:right w:w="108" w:type="dxa"/>
          </w:tblCellMar>
        </w:tblPrEx>
        <w:trPr>
          <w:trHeight w:val="1842"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91464FE">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6F759FD3">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抹灰</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0441075E">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天花不平未按要求处理；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天花抹灰（腻子）不平，阴阳角不顺直；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抹灰前未进行基底处理；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墙面抹灰明显不平整，色泽不一致、表面粗糙；</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烟道止回阀开口位置不符合要求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门、窗四周大小头或不方正。</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740A738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4142BD93">
        <w:tblPrEx>
          <w:tblCellMar>
            <w:top w:w="0" w:type="dxa"/>
            <w:left w:w="108" w:type="dxa"/>
            <w:bottom w:w="0" w:type="dxa"/>
            <w:right w:w="108" w:type="dxa"/>
          </w:tblCellMar>
        </w:tblPrEx>
        <w:trPr>
          <w:trHeight w:val="264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73405F9">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44CEBCF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涂料</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2DF50D0D">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涂料有返潮、发霉的；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腻子配合比不符合要求造成腻子松散、脱落的；</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基底未处理、基层不干燥、基层在涂饰涂料前未涂刷抗碱封闭底漆；</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阴阳角不顺直、墙身不平的；</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石膏线安装不牢固、不顺直、无打磨、接口不顺畅、有裂缝、返锈、受潮、变色等；                                                                                                                                                                                                     涂料和腻子有开裂、透底、泛碱、返锈、咬色、流坠、疙瘩、砂眼、刷纹、脱落等。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54893A8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45519899">
        <w:tblPrEx>
          <w:tblCellMar>
            <w:top w:w="0" w:type="dxa"/>
            <w:left w:w="108" w:type="dxa"/>
            <w:bottom w:w="0" w:type="dxa"/>
            <w:right w:w="108" w:type="dxa"/>
          </w:tblCellMar>
        </w:tblPrEx>
        <w:trPr>
          <w:trHeight w:val="181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83BE019">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7E6B876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裱糊</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07C5539D">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裱糊有返潮、发霉的；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墙面在刮腻子前未涂刷抗碱封闭底漆；</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基层处理不符合要求；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拼接不平直，拼接花纹图案不吻合，存在离缝、搭接；                                                                                                     粘贴不牢固，有漏贴、补贴、脱层、空鼓、翘边；                                                                                                              其它墙面装饰工程未按要求施工。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62B1FB2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3BF604AB">
        <w:tblPrEx>
          <w:tblCellMar>
            <w:top w:w="0" w:type="dxa"/>
            <w:left w:w="108" w:type="dxa"/>
            <w:bottom w:w="0" w:type="dxa"/>
            <w:right w:w="108" w:type="dxa"/>
          </w:tblCellMar>
        </w:tblPrEx>
        <w:trPr>
          <w:trHeight w:val="216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6A7D6FF">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4AF67F4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木装饰</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2CED2E73">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龙骨间距及固定方式不符合设计要求的；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材料未作防火防腐处理的；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饰面板不平整、有色差、裂痕、钉眼、翘曲、接缝不美观、木纹不对缝；                                                                                      阳角不顺直，边口压条不顺直、不平整，接缝不吻合，分缝不均匀，拼缝不整齐，开缝深浅不均匀；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面板嵌缝不密实、不平直，嵌填材料色泽不一致；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木饰线有开裂。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7C25870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2D93EBD4">
        <w:tblPrEx>
          <w:tblCellMar>
            <w:top w:w="0" w:type="dxa"/>
            <w:left w:w="108" w:type="dxa"/>
            <w:bottom w:w="0" w:type="dxa"/>
            <w:right w:w="108" w:type="dxa"/>
          </w:tblCellMar>
        </w:tblPrEx>
        <w:trPr>
          <w:trHeight w:val="975"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AF44C3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六、水、电安装工程</w:t>
            </w:r>
          </w:p>
        </w:tc>
        <w:tc>
          <w:tcPr>
            <w:tcW w:w="615" w:type="dxa"/>
            <w:tcBorders>
              <w:top w:val="nil"/>
              <w:left w:val="nil"/>
              <w:bottom w:val="single" w:color="auto" w:sz="4" w:space="0"/>
              <w:right w:val="single" w:color="auto" w:sz="4" w:space="0"/>
            </w:tcBorders>
            <w:shd w:val="clear" w:color="000000" w:fill="FFFFFF"/>
            <w:noWrap w:val="0"/>
            <w:vAlign w:val="center"/>
          </w:tcPr>
          <w:p w14:paraId="5215DAB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35D87449">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品牌、材质、规格不符合设计或合同要求；</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钻孔野蛮施工造成破坏；</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未按要求施工（如使用冲击钻）造成瓷片空鼓或破损。</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107DEF1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3A3CCBEE">
        <w:tblPrEx>
          <w:tblCellMar>
            <w:top w:w="0" w:type="dxa"/>
            <w:left w:w="108" w:type="dxa"/>
            <w:bottom w:w="0" w:type="dxa"/>
            <w:right w:w="108" w:type="dxa"/>
          </w:tblCellMar>
        </w:tblPrEx>
        <w:trPr>
          <w:trHeight w:val="33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0755B06">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0B7432D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水</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169FF108">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洗手盆未按要求设置存水弯；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地漏安装不按图施工、收口差、有锈渍、堵塞；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花洒、龙头出水不正常、有滴漏现象；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座厕安装位置不符合设计要求；洁具及地漏排水不顺畅；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出屋面排气管的安装高度不符合要求；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厨房排水管安装过高（要求贴结构楼板安装）；                                                                                                              水管、龙头、法兰安装不牢固、位置不正确，有污渍、渗漏；                                                                                                                    洗手盆，座厕釉面不光滑平整，有明显的波曲现象；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各部件表面有毛刺、粘污、划痕、色泽不均匀或周边打胶不顺直、有脱落现象；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暖通工程未按要求施工。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0709195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539A5F17">
        <w:tblPrEx>
          <w:tblCellMar>
            <w:top w:w="0" w:type="dxa"/>
            <w:left w:w="108" w:type="dxa"/>
            <w:bottom w:w="0" w:type="dxa"/>
            <w:right w:w="108" w:type="dxa"/>
          </w:tblCellMar>
        </w:tblPrEx>
        <w:trPr>
          <w:trHeight w:val="24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CF11DC8">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12CE9BD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电</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54616992">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吊顶内线路无穿管的；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穿线不分色，中间有接头；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配电箱、开关、线盒、插座面板、门铃、灯具安装位置不正确、不牢固、不平整；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未按要求设置防水插座或开关；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配电箱门开关不顺畅、配电箱内开关无标识或标识不清晰；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排气扇安装不牢固、不方正、收口不到位；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电箱、开关盒内电线预留长度不足。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7544318A">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6857E970">
        <w:tblPrEx>
          <w:tblCellMar>
            <w:top w:w="0" w:type="dxa"/>
            <w:left w:w="108" w:type="dxa"/>
            <w:bottom w:w="0" w:type="dxa"/>
            <w:right w:w="108" w:type="dxa"/>
          </w:tblCellMar>
        </w:tblPrEx>
        <w:trPr>
          <w:trHeight w:val="60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AE4462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七、卫生间淋浴屏</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(4分)</w:t>
            </w:r>
          </w:p>
        </w:tc>
        <w:tc>
          <w:tcPr>
            <w:tcW w:w="615" w:type="dxa"/>
            <w:tcBorders>
              <w:top w:val="nil"/>
              <w:left w:val="nil"/>
              <w:bottom w:val="single" w:color="auto" w:sz="4" w:space="0"/>
              <w:right w:val="single" w:color="auto" w:sz="4" w:space="0"/>
            </w:tcBorders>
            <w:shd w:val="clear" w:color="000000" w:fill="FFFFFF"/>
            <w:noWrap w:val="0"/>
            <w:vAlign w:val="center"/>
          </w:tcPr>
          <w:p w14:paraId="11FA26A6">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314E1B4F">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品牌、材质、规格不符合设计或合同要求；</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未按要求施工（如使用冲击钻等）造成瓷片空鼓或破损。</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4C3FD282">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6B419A65">
        <w:tblPrEx>
          <w:tblCellMar>
            <w:top w:w="0" w:type="dxa"/>
            <w:left w:w="108" w:type="dxa"/>
            <w:bottom w:w="0" w:type="dxa"/>
            <w:right w:w="108" w:type="dxa"/>
          </w:tblCellMar>
        </w:tblPrEx>
        <w:trPr>
          <w:trHeight w:val="9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0B973B8">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4F8E255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工艺</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要求</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(2分)</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71C915C4">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淋浴屏漏装挡水胶条；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淋浴屏安装位置不正确、安装不牢固。</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44021212">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58652AF0">
        <w:tblPrEx>
          <w:tblCellMar>
            <w:top w:w="0" w:type="dxa"/>
            <w:left w:w="108" w:type="dxa"/>
            <w:bottom w:w="0" w:type="dxa"/>
            <w:right w:w="108" w:type="dxa"/>
          </w:tblCellMar>
        </w:tblPrEx>
        <w:trPr>
          <w:trHeight w:val="1219"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94E0C48">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275B20F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观感</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质量</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(2分)</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5149B432">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淋浴屏切口处未使用装饰配件收口；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淋浴屏开启及关闭不正常、有杂音；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淋浴屏未打胶、打胶不顺直、有脱落现象；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各部件表面有毛刺、锈蚀、粘污、划痕、色泽不均匀。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73EEBEEA">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3BBE9552">
        <w:tblPrEx>
          <w:tblCellMar>
            <w:top w:w="0" w:type="dxa"/>
            <w:left w:w="108" w:type="dxa"/>
            <w:bottom w:w="0" w:type="dxa"/>
            <w:right w:w="108" w:type="dxa"/>
          </w:tblCellMar>
        </w:tblPrEx>
        <w:trPr>
          <w:trHeight w:val="81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7E9CD46">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八、石材工程 </w:t>
            </w:r>
          </w:p>
        </w:tc>
        <w:tc>
          <w:tcPr>
            <w:tcW w:w="615" w:type="dxa"/>
            <w:tcBorders>
              <w:top w:val="nil"/>
              <w:left w:val="nil"/>
              <w:bottom w:val="single" w:color="auto" w:sz="4" w:space="0"/>
              <w:right w:val="single" w:color="auto" w:sz="4" w:space="0"/>
            </w:tcBorders>
            <w:shd w:val="clear" w:color="000000" w:fill="FFFFFF"/>
            <w:noWrap w:val="0"/>
            <w:vAlign w:val="center"/>
          </w:tcPr>
          <w:p w14:paraId="6E6AE1D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7669B9E5">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龙骨间距及相关材料不符合设计要求；</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用其他材料代替结构胶使用。</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2B22343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4BA32101">
        <w:tblPrEx>
          <w:tblCellMar>
            <w:top w:w="0" w:type="dxa"/>
            <w:left w:w="108" w:type="dxa"/>
            <w:bottom w:w="0" w:type="dxa"/>
            <w:right w:w="108" w:type="dxa"/>
          </w:tblCellMar>
        </w:tblPrEx>
        <w:trPr>
          <w:trHeight w:val="195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F3828DB">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5679861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龙骨</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1B68ABCB">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安装锚栓缺少弹簧垫圈、螺母松动、锚孔钻孔过浅、化学药剂未填满锚孔；</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挂件放置不正确，安装在横龙骨底面；</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后置锚板、膨胀螺栓施工破坏防水层未修复的，周边未用结构胶封闭；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钢构架各部位未做好防锈；龙骨焊接不符合要求；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挂件与横龙骨连接不符合要求，锚板、锚栓安装位置、方向不符合要求；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石材的防雷装置未与主体结构防雷装置可靠连接。</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57B0896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7826FE96">
        <w:tblPrEx>
          <w:tblCellMar>
            <w:top w:w="0" w:type="dxa"/>
            <w:left w:w="108" w:type="dxa"/>
            <w:bottom w:w="0" w:type="dxa"/>
            <w:right w:w="108" w:type="dxa"/>
          </w:tblCellMar>
        </w:tblPrEx>
        <w:trPr>
          <w:trHeight w:val="190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04830E3">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3352300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石材</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安装</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7033E976">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各类雕花安装时没有上挂件直接用胶粘结；</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阳露台内侧干挂石材下部未预留，在防水泛水施工前就封闭；                                                                                      在檐口、阳台底、窗顶线等位置石材未设置滴水线的；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石材安装留设朝天缝；石材缝隙打胶不符合要求；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表面不平整、洁净、未做好防污保护，有污染、缺损和裂痕；造型、立面分格、颜色、光泽、花纹、图案不符合图纸要求。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0D148E5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4EA0BDA2">
        <w:tblPrEx>
          <w:tblCellMar>
            <w:top w:w="0" w:type="dxa"/>
            <w:left w:w="108" w:type="dxa"/>
            <w:bottom w:w="0" w:type="dxa"/>
            <w:right w:w="108" w:type="dxa"/>
          </w:tblCellMar>
        </w:tblPrEx>
        <w:trPr>
          <w:trHeight w:val="326" w:hRule="atLeast"/>
        </w:trPr>
        <w:tc>
          <w:tcPr>
            <w:tcW w:w="833" w:type="dxa"/>
            <w:vMerge w:val="restart"/>
            <w:tcBorders>
              <w:top w:val="single" w:color="auto" w:sz="4" w:space="0"/>
              <w:left w:val="single" w:color="auto" w:sz="4" w:space="0"/>
              <w:bottom w:val="single" w:color="000000" w:sz="4" w:space="0"/>
              <w:right w:val="single" w:color="000000" w:sz="4" w:space="0"/>
            </w:tcBorders>
            <w:shd w:val="clear" w:color="000000" w:fill="FFFFFF"/>
            <w:noWrap w:val="0"/>
            <w:vAlign w:val="center"/>
          </w:tcPr>
          <w:p w14:paraId="01564FC5">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九、木地板</w:t>
            </w:r>
          </w:p>
        </w:tc>
        <w:tc>
          <w:tcPr>
            <w:tcW w:w="615"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38132C2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vMerge w:val="restart"/>
            <w:tcBorders>
              <w:top w:val="single" w:color="auto" w:sz="4" w:space="0"/>
              <w:left w:val="single" w:color="auto" w:sz="4" w:space="0"/>
              <w:bottom w:val="single" w:color="000000" w:sz="4" w:space="0"/>
              <w:right w:val="nil"/>
            </w:tcBorders>
            <w:shd w:val="clear" w:color="000000" w:fill="FFFFFF"/>
            <w:noWrap w:val="0"/>
            <w:vAlign w:val="center"/>
          </w:tcPr>
          <w:p w14:paraId="2AE261B5">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品牌、材质、规格不符合设计或合同要求；</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地板铺装完成后有严重起拱、翘曲、大小头。</w:t>
            </w:r>
          </w:p>
        </w:tc>
        <w:tc>
          <w:tcPr>
            <w:tcW w:w="705"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48506D4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5D00C59D">
        <w:tblPrEx>
          <w:tblCellMar>
            <w:top w:w="0" w:type="dxa"/>
            <w:left w:w="108" w:type="dxa"/>
            <w:bottom w:w="0" w:type="dxa"/>
            <w:right w:w="108" w:type="dxa"/>
          </w:tblCellMar>
        </w:tblPrEx>
        <w:trPr>
          <w:trHeight w:val="585" w:hRule="atLeast"/>
        </w:trPr>
        <w:tc>
          <w:tcPr>
            <w:tcW w:w="833" w:type="dxa"/>
            <w:vMerge w:val="continue"/>
            <w:tcBorders>
              <w:top w:val="single" w:color="auto" w:sz="4" w:space="0"/>
              <w:left w:val="single" w:color="auto" w:sz="4" w:space="0"/>
              <w:bottom w:val="single" w:color="000000" w:sz="4" w:space="0"/>
              <w:right w:val="single" w:color="000000" w:sz="4" w:space="0"/>
            </w:tcBorders>
            <w:noWrap w:val="0"/>
            <w:vAlign w:val="center"/>
          </w:tcPr>
          <w:p w14:paraId="6D2FC659">
            <w:pPr>
              <w:widowControl/>
              <w:rPr>
                <w:rFonts w:hint="eastAsia" w:ascii="宋体" w:hAnsi="宋体" w:eastAsia="宋体" w:cs="宋体"/>
                <w:color w:val="auto"/>
                <w:sz w:val="18"/>
                <w:szCs w:val="18"/>
                <w:highlight w:val="none"/>
              </w:rPr>
            </w:pPr>
          </w:p>
        </w:tc>
        <w:tc>
          <w:tcPr>
            <w:tcW w:w="615" w:type="dxa"/>
            <w:vMerge w:val="continue"/>
            <w:tcBorders>
              <w:top w:val="nil"/>
              <w:left w:val="single" w:color="auto" w:sz="4" w:space="0"/>
              <w:bottom w:val="single" w:color="000000" w:sz="4" w:space="0"/>
              <w:right w:val="single" w:color="auto" w:sz="4" w:space="0"/>
            </w:tcBorders>
            <w:noWrap w:val="0"/>
            <w:vAlign w:val="center"/>
          </w:tcPr>
          <w:p w14:paraId="1552810A">
            <w:pPr>
              <w:widowControl/>
              <w:rPr>
                <w:rFonts w:hint="eastAsia" w:ascii="宋体" w:hAnsi="宋体" w:eastAsia="宋体" w:cs="宋体"/>
                <w:color w:val="auto"/>
                <w:sz w:val="18"/>
                <w:szCs w:val="18"/>
                <w:highlight w:val="none"/>
              </w:rPr>
            </w:pPr>
          </w:p>
        </w:tc>
        <w:tc>
          <w:tcPr>
            <w:tcW w:w="7716" w:type="dxa"/>
            <w:vMerge w:val="continue"/>
            <w:tcBorders>
              <w:top w:val="single" w:color="auto" w:sz="4" w:space="0"/>
              <w:left w:val="single" w:color="auto" w:sz="4" w:space="0"/>
              <w:bottom w:val="single" w:color="000000" w:sz="4" w:space="0"/>
              <w:right w:val="nil"/>
            </w:tcBorders>
            <w:noWrap w:val="0"/>
            <w:vAlign w:val="center"/>
          </w:tcPr>
          <w:p w14:paraId="798EC442">
            <w:pPr>
              <w:widowControl/>
              <w:rPr>
                <w:rFonts w:hint="eastAsia" w:ascii="宋体" w:hAnsi="宋体" w:eastAsia="宋体" w:cs="宋体"/>
                <w:color w:val="auto"/>
                <w:sz w:val="18"/>
                <w:szCs w:val="18"/>
                <w:highlight w:val="none"/>
              </w:rPr>
            </w:pPr>
          </w:p>
        </w:tc>
        <w:tc>
          <w:tcPr>
            <w:tcW w:w="705" w:type="dxa"/>
            <w:vMerge w:val="continue"/>
            <w:tcBorders>
              <w:top w:val="nil"/>
              <w:left w:val="single" w:color="auto" w:sz="4" w:space="0"/>
              <w:bottom w:val="single" w:color="000000" w:sz="4" w:space="0"/>
              <w:right w:val="single" w:color="auto" w:sz="4" w:space="0"/>
            </w:tcBorders>
            <w:noWrap w:val="0"/>
            <w:vAlign w:val="center"/>
          </w:tcPr>
          <w:p w14:paraId="74BC1953">
            <w:pPr>
              <w:widowControl/>
              <w:rPr>
                <w:rFonts w:hint="eastAsia" w:ascii="宋体" w:hAnsi="宋体" w:eastAsia="宋体" w:cs="宋体"/>
                <w:color w:val="auto"/>
                <w:sz w:val="18"/>
                <w:szCs w:val="18"/>
                <w:highlight w:val="none"/>
              </w:rPr>
            </w:pPr>
          </w:p>
        </w:tc>
      </w:tr>
      <w:tr w14:paraId="3D142E92">
        <w:tblPrEx>
          <w:tblCellMar>
            <w:top w:w="0" w:type="dxa"/>
            <w:left w:w="108" w:type="dxa"/>
            <w:bottom w:w="0" w:type="dxa"/>
            <w:right w:w="108" w:type="dxa"/>
          </w:tblCellMar>
        </w:tblPrEx>
        <w:trPr>
          <w:trHeight w:val="1440" w:hRule="atLeast"/>
        </w:trPr>
        <w:tc>
          <w:tcPr>
            <w:tcW w:w="833"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14:paraId="5173EA84">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14C1F301">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工艺</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要求</w:t>
            </w:r>
          </w:p>
        </w:tc>
        <w:tc>
          <w:tcPr>
            <w:tcW w:w="7716" w:type="dxa"/>
            <w:tcBorders>
              <w:top w:val="single" w:color="auto" w:sz="4" w:space="0"/>
              <w:left w:val="nil"/>
              <w:bottom w:val="single" w:color="auto" w:sz="4" w:space="0"/>
              <w:right w:val="nil"/>
            </w:tcBorders>
            <w:shd w:val="clear" w:color="000000" w:fill="FFFFFF"/>
            <w:noWrap w:val="0"/>
            <w:vAlign w:val="center"/>
          </w:tcPr>
          <w:p w14:paraId="2B692AEC">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门槛石（砖）与地板有明显高差；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地板与墙边四周未按要求留伸缩缝（10-15mm）或地板切口不整齐、不平直；                                                                                                 踢脚线拼缝未按要求留设,阴阳角拼接方式错误；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防潮垫未按要求设置（拼接严密不重叠、用封口胶封闭、四周墙角上翻50mm）。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72B71600">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04DC094E">
        <w:tblPrEx>
          <w:tblCellMar>
            <w:top w:w="0" w:type="dxa"/>
            <w:left w:w="108" w:type="dxa"/>
            <w:bottom w:w="0" w:type="dxa"/>
            <w:right w:w="108" w:type="dxa"/>
          </w:tblCellMar>
        </w:tblPrEx>
        <w:trPr>
          <w:trHeight w:val="2580" w:hRule="atLeast"/>
        </w:trPr>
        <w:tc>
          <w:tcPr>
            <w:tcW w:w="833"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14:paraId="5B6E65A4">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3BE4F3E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观感</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质量</w:t>
            </w:r>
          </w:p>
        </w:tc>
        <w:tc>
          <w:tcPr>
            <w:tcW w:w="7716" w:type="dxa"/>
            <w:tcBorders>
              <w:top w:val="single" w:color="auto" w:sz="4" w:space="0"/>
              <w:left w:val="nil"/>
              <w:bottom w:val="single" w:color="auto" w:sz="4" w:space="0"/>
              <w:right w:val="nil"/>
            </w:tcBorders>
            <w:shd w:val="clear" w:color="000000" w:fill="FFFFFF"/>
            <w:noWrap w:val="0"/>
            <w:vAlign w:val="center"/>
          </w:tcPr>
          <w:p w14:paraId="19307A02">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地板不平直，有翘曲；</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接缝不平直、缝隙不严密分；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复合地板图案和颜色不符合设计要求；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地板与踢脚线有明显色差，漆膜有划痕、鼓泡、针孔、皱皮等缺陷；                                                                                                       地板收口压条不平直、粘贴不牢固；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踢脚线不顺直；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踢脚线与地板表面的间隙过大；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踢脚线松动脱落。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42B9821D">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774716B3">
        <w:tblPrEx>
          <w:tblCellMar>
            <w:top w:w="0" w:type="dxa"/>
            <w:left w:w="108" w:type="dxa"/>
            <w:bottom w:w="0" w:type="dxa"/>
            <w:right w:w="108" w:type="dxa"/>
          </w:tblCellMar>
        </w:tblPrEx>
        <w:trPr>
          <w:trHeight w:val="57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01D9A8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十、门窗工程</w:t>
            </w:r>
          </w:p>
        </w:tc>
        <w:tc>
          <w:tcPr>
            <w:tcW w:w="615" w:type="dxa"/>
            <w:tcBorders>
              <w:top w:val="nil"/>
              <w:left w:val="nil"/>
              <w:bottom w:val="single" w:color="auto" w:sz="4" w:space="0"/>
              <w:right w:val="single" w:color="auto" w:sz="4" w:space="0"/>
            </w:tcBorders>
            <w:shd w:val="clear" w:color="000000" w:fill="FFFFFF"/>
            <w:noWrap w:val="0"/>
            <w:vAlign w:val="center"/>
          </w:tcPr>
          <w:p w14:paraId="25BB52E7">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主控</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项目</w:t>
            </w:r>
          </w:p>
        </w:tc>
        <w:tc>
          <w:tcPr>
            <w:tcW w:w="7716" w:type="dxa"/>
            <w:tcBorders>
              <w:top w:val="single" w:color="auto" w:sz="4" w:space="0"/>
              <w:left w:val="nil"/>
              <w:bottom w:val="single" w:color="auto" w:sz="4" w:space="0"/>
              <w:right w:val="nil"/>
            </w:tcBorders>
            <w:shd w:val="clear" w:color="000000" w:fill="FFFFFF"/>
            <w:noWrap w:val="0"/>
            <w:vAlign w:val="center"/>
          </w:tcPr>
          <w:p w14:paraId="5C169CFE">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品牌、材质、规格不符合设计或合同要求。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2299F2FE">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1000</w:t>
            </w:r>
          </w:p>
        </w:tc>
      </w:tr>
      <w:tr w14:paraId="433F2F18">
        <w:tblPrEx>
          <w:tblCellMar>
            <w:top w:w="0" w:type="dxa"/>
            <w:left w:w="108" w:type="dxa"/>
            <w:bottom w:w="0" w:type="dxa"/>
            <w:right w:w="108" w:type="dxa"/>
          </w:tblCellMar>
        </w:tblPrEx>
        <w:trPr>
          <w:trHeight w:val="4422"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4900465">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3D59725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工艺</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要求</w:t>
            </w:r>
          </w:p>
        </w:tc>
        <w:tc>
          <w:tcPr>
            <w:tcW w:w="7716" w:type="dxa"/>
            <w:tcBorders>
              <w:top w:val="single" w:color="auto" w:sz="4" w:space="0"/>
              <w:left w:val="nil"/>
              <w:bottom w:val="single" w:color="auto" w:sz="4" w:space="0"/>
              <w:right w:val="nil"/>
            </w:tcBorders>
            <w:shd w:val="clear" w:color="000000" w:fill="FFFFFF"/>
            <w:noWrap w:val="0"/>
            <w:vAlign w:val="center"/>
          </w:tcPr>
          <w:p w14:paraId="282939AF">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未按要求施工造成瓷片空鼓或破损；</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门套与墙体间发泡剂施打不符合要求；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钢门框未按要求填充水泥砂浆；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入户门下框未先按要求填塞密实的再安装；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室内门套与墙身间固定不符合要求（要求：每侧边不少于5个固定点，定边不少于1个固定点）；                                                                               厨房吊趟门未按要求进行顶部门套板固定；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门套装配不严密、平整、有离缝；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五金件安装歪斜、有锈蚀，不齐全、不美观，五金件未嵌入门套或门扇的槽口不规范，锁孔位置不准确；                                                                               固定螺丝安装不齐全、不平直，未隐于螺丝孔平面，或有锈迹；</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门窗框安装留缝限值、允许偏差不符合规范要求；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橡胶封条或毛毡密封条未安装完好；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玻璃镀膜层及磨砂面未朝向室内。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541B9B0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791D9C9E">
        <w:tblPrEx>
          <w:tblCellMar>
            <w:top w:w="0" w:type="dxa"/>
            <w:left w:w="108" w:type="dxa"/>
            <w:bottom w:w="0" w:type="dxa"/>
            <w:right w:w="108" w:type="dxa"/>
          </w:tblCellMar>
        </w:tblPrEx>
        <w:trPr>
          <w:trHeight w:val="468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10EC074">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0F35E17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观感</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质量</w:t>
            </w:r>
          </w:p>
        </w:tc>
        <w:tc>
          <w:tcPr>
            <w:tcW w:w="7716" w:type="dxa"/>
            <w:tcBorders>
              <w:top w:val="single" w:color="auto" w:sz="4" w:space="0"/>
              <w:left w:val="nil"/>
              <w:bottom w:val="single" w:color="auto" w:sz="4" w:space="0"/>
              <w:right w:val="nil"/>
            </w:tcBorders>
            <w:shd w:val="clear" w:color="000000" w:fill="FFFFFF"/>
            <w:noWrap w:val="0"/>
            <w:vAlign w:val="center"/>
          </w:tcPr>
          <w:p w14:paraId="56CBADA9">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门套线与墙体之间的安装空隙过大，收口不到位；</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门套及门扇安装不方正；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门套、门线与地面结合缝隙过大（要求＜3mm），且未用防水密封胶封合缝隙；                                                                                           门窗框边打胶效果不平直、不顺滑；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色泽不一致、有明显色差、木纹不清晰；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油漆见光面有缩孔、涨边、皱皮，积漆、漏漆、磨伤；                                                                                                     门套线线形不均匀，表面有钉眼，有波曲；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门窗的割角、拼缝不严密、门框塞缝不严；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门橡胶封条或毛毡密封条未安装完好；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门吸安装位置不准确、不牢固、生锈；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门窗扇安装不牢固，开关不灵活、关闭不严密，有倒翘；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门锁安装不牢固、锁体面板不垂直、未紧贴门扇；</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门框正侧面垂直度（2mm）、门扇与上、侧框间留缝（1.5mm-4mm）、门扇与地面间留缝（6mm-8mm）超出规范要求。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59AF5DE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0B649C5A">
        <w:tblPrEx>
          <w:tblCellMar>
            <w:top w:w="0" w:type="dxa"/>
            <w:left w:w="108" w:type="dxa"/>
            <w:bottom w:w="0" w:type="dxa"/>
            <w:right w:w="108" w:type="dxa"/>
          </w:tblCellMar>
        </w:tblPrEx>
        <w:trPr>
          <w:trHeight w:val="1662"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199191C">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十一、市政园林工程</w:t>
            </w:r>
          </w:p>
        </w:tc>
        <w:tc>
          <w:tcPr>
            <w:tcW w:w="615" w:type="dxa"/>
            <w:tcBorders>
              <w:top w:val="nil"/>
              <w:left w:val="nil"/>
              <w:bottom w:val="single" w:color="auto" w:sz="4" w:space="0"/>
              <w:right w:val="single" w:color="auto" w:sz="4" w:space="0"/>
            </w:tcBorders>
            <w:shd w:val="clear" w:color="000000" w:fill="FFFFFF"/>
            <w:noWrap w:val="0"/>
            <w:vAlign w:val="center"/>
          </w:tcPr>
          <w:p w14:paraId="3AEE24D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市政</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管网</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1682F288">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1、电缆沟未按图施工，沟内杂物未清理、盖板不平整、有破损、电缆沟底未做混凝土垫层，未按要求进行回填等；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3、电缆管摆放不整齐、电箱进线口未按要求预留、高低压弱电混放在同一电缆井；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2、其他各类市政管网未按图施工，管道堵塞、检查井内杂物未清理、井壁未抹灰、井盖不符合要求的。</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41FE321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1A775217">
        <w:tblPrEx>
          <w:tblCellMar>
            <w:top w:w="0" w:type="dxa"/>
            <w:left w:w="108" w:type="dxa"/>
            <w:bottom w:w="0" w:type="dxa"/>
            <w:right w:w="108" w:type="dxa"/>
          </w:tblCellMar>
        </w:tblPrEx>
        <w:trPr>
          <w:trHeight w:val="1182"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1D19130">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7F40046F">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挡土墙</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3CE9F3B0">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1、泄水孔未按图设置,挡土墙组砌未内外搭砌、上下错缝,拉结石、丁砌石交错设置,砌筑时砂浆不饱满；</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2、挡土墙出现开裂。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0CEAEAE0">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491409F1">
        <w:tblPrEx>
          <w:tblCellMar>
            <w:top w:w="0" w:type="dxa"/>
            <w:left w:w="108" w:type="dxa"/>
            <w:bottom w:w="0" w:type="dxa"/>
            <w:right w:w="108" w:type="dxa"/>
          </w:tblCellMar>
        </w:tblPrEx>
        <w:trPr>
          <w:trHeight w:val="18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1811744">
            <w:pPr>
              <w:widowControl/>
              <w:rPr>
                <w:rFonts w:hint="eastAsia" w:ascii="宋体" w:hAnsi="宋体" w:eastAsia="宋体" w:cs="宋体"/>
                <w:color w:val="auto"/>
                <w:sz w:val="18"/>
                <w:szCs w:val="18"/>
                <w:highlight w:val="none"/>
              </w:rPr>
            </w:pPr>
          </w:p>
        </w:tc>
        <w:tc>
          <w:tcPr>
            <w:tcW w:w="615" w:type="dxa"/>
            <w:tcBorders>
              <w:top w:val="nil"/>
              <w:left w:val="nil"/>
              <w:bottom w:val="single" w:color="auto" w:sz="4" w:space="0"/>
              <w:right w:val="single" w:color="auto" w:sz="4" w:space="0"/>
            </w:tcBorders>
            <w:shd w:val="clear" w:color="000000" w:fill="FFFFFF"/>
            <w:noWrap w:val="0"/>
            <w:vAlign w:val="center"/>
          </w:tcPr>
          <w:p w14:paraId="02C44E8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道路及园建</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14:paraId="62AA59DE">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1、路侧石未做垫层，高度不准确，转角不平顺，接缝不平直，混合使用的；</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 xml:space="preserve">2、道路未按设计要求施工，排水不顺畅，有积水、有下沉、有开裂、有污染，沥青铺设不平整、骨料分布不均匀，收口不美观；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3、园艺结构不符合要求，分户围栏未做垫层，不平直，有破损；植草砖有破损且与沥青路面收口差的。</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12517EC4">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0CA94487">
        <w:tblPrEx>
          <w:tblCellMar>
            <w:top w:w="0" w:type="dxa"/>
            <w:left w:w="108" w:type="dxa"/>
            <w:bottom w:w="0" w:type="dxa"/>
            <w:right w:w="108" w:type="dxa"/>
          </w:tblCellMar>
        </w:tblPrEx>
        <w:trPr>
          <w:trHeight w:val="9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F1E41BA">
            <w:pPr>
              <w:widowControl/>
              <w:rPr>
                <w:rFonts w:hint="eastAsia" w:ascii="宋体" w:hAnsi="宋体" w:eastAsia="宋体" w:cs="宋体"/>
                <w:color w:val="auto"/>
                <w:sz w:val="18"/>
                <w:szCs w:val="18"/>
                <w:highlight w:val="none"/>
              </w:rPr>
            </w:pPr>
          </w:p>
        </w:tc>
        <w:tc>
          <w:tcPr>
            <w:tcW w:w="615" w:type="dxa"/>
            <w:tcBorders>
              <w:top w:val="nil"/>
              <w:left w:val="nil"/>
              <w:bottom w:val="nil"/>
              <w:right w:val="single" w:color="auto" w:sz="4" w:space="0"/>
            </w:tcBorders>
            <w:shd w:val="clear" w:color="000000" w:fill="FFFFFF"/>
            <w:noWrap w:val="0"/>
            <w:vAlign w:val="center"/>
          </w:tcPr>
          <w:p w14:paraId="664FAE58">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地坪</w:t>
            </w:r>
          </w:p>
        </w:tc>
        <w:tc>
          <w:tcPr>
            <w:tcW w:w="7716" w:type="dxa"/>
            <w:tcBorders>
              <w:top w:val="single" w:color="auto" w:sz="4" w:space="0"/>
              <w:left w:val="nil"/>
              <w:bottom w:val="nil"/>
              <w:right w:val="single" w:color="auto" w:sz="4" w:space="0"/>
            </w:tcBorders>
            <w:shd w:val="clear" w:color="000000" w:fill="FFFFFF"/>
            <w:noWrap w:val="0"/>
            <w:vAlign w:val="center"/>
          </w:tcPr>
          <w:p w14:paraId="76C3C780">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1、室外道路、平台、花园沉降、开裂的；  </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2、室外地坪与外墙交接处未留设沉降缝的。</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4568FDD9">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r w14:paraId="3C7135A2">
        <w:tblPrEx>
          <w:tblCellMar>
            <w:top w:w="0" w:type="dxa"/>
            <w:left w:w="108" w:type="dxa"/>
            <w:bottom w:w="0" w:type="dxa"/>
            <w:right w:w="108" w:type="dxa"/>
          </w:tblCellMar>
        </w:tblPrEx>
        <w:trPr>
          <w:trHeight w:val="990" w:hRule="atLeast"/>
        </w:trPr>
        <w:tc>
          <w:tcPr>
            <w:tcW w:w="83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36FD13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十二、成品保护</w:t>
            </w:r>
          </w:p>
        </w:tc>
        <w:tc>
          <w:tcPr>
            <w:tcW w:w="8331" w:type="dxa"/>
            <w:gridSpan w:val="2"/>
            <w:tcBorders>
              <w:top w:val="single" w:color="auto" w:sz="4" w:space="0"/>
              <w:left w:val="nil"/>
              <w:bottom w:val="single" w:color="auto" w:sz="4" w:space="0"/>
              <w:right w:val="single" w:color="auto" w:sz="4" w:space="0"/>
            </w:tcBorders>
            <w:shd w:val="clear" w:color="000000" w:fill="FFFFFF"/>
            <w:noWrap w:val="0"/>
            <w:vAlign w:val="center"/>
          </w:tcPr>
          <w:p w14:paraId="150FC055">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各分项未做到工完场清，未做好成品保护，工序不当造成损坏污染。</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14:paraId="0D9261FB">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500</w:t>
            </w:r>
          </w:p>
        </w:tc>
      </w:tr>
    </w:tbl>
    <w:p w14:paraId="3A1FC231">
      <w:pPr>
        <w:adjustRightInd w:val="0"/>
        <w:snapToGrid w:val="0"/>
        <w:spacing w:line="360" w:lineRule="auto"/>
        <w:ind w:firstLine="420" w:firstLineChars="200"/>
        <w:rPr>
          <w:rFonts w:hint="eastAsia" w:ascii="宋体" w:hAnsi="宋体" w:eastAsia="宋体" w:cs="宋体"/>
          <w:color w:val="auto"/>
          <w:highlight w:val="none"/>
          <w:u w:val="single"/>
        </w:rPr>
      </w:pPr>
    </w:p>
    <w:p w14:paraId="2E1195C1">
      <w:pPr>
        <w:spacing w:line="360" w:lineRule="auto"/>
        <w:jc w:val="left"/>
        <w:rPr>
          <w:rFonts w:hint="eastAsia" w:ascii="宋体" w:hAnsi="宋体" w:eastAsia="宋体" w:cs="宋体"/>
          <w:color w:val="auto"/>
          <w:highlight w:val="none"/>
          <w:u w:val="single"/>
        </w:rPr>
      </w:pPr>
      <w:r>
        <w:rPr>
          <w:rFonts w:hint="eastAsia" w:ascii="宋体" w:hAnsi="宋体" w:eastAsia="宋体" w:cs="宋体"/>
          <w:color w:val="auto"/>
          <w:highlight w:val="none"/>
          <w:u w:val="single"/>
        </w:rPr>
        <w:br w:type="page"/>
      </w:r>
      <w:r>
        <w:rPr>
          <w:rFonts w:hint="eastAsia" w:ascii="宋体" w:hAnsi="宋体" w:eastAsia="宋体" w:cs="宋体"/>
          <w:color w:val="auto"/>
          <w:sz w:val="22"/>
          <w:szCs w:val="22"/>
          <w:highlight w:val="none"/>
        </w:rPr>
        <w:t>附件四</w:t>
      </w:r>
    </w:p>
    <w:p w14:paraId="0F5E9533">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劳务分包单位安全生产责任协议</w:t>
      </w:r>
    </w:p>
    <w:p w14:paraId="44B11240">
      <w:pPr>
        <w:spacing w:line="5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总包单位（甲方）：</w:t>
      </w:r>
      <w:r>
        <w:rPr>
          <w:rFonts w:hint="eastAsia" w:ascii="宋体" w:hAnsi="宋体" w:eastAsia="宋体" w:cs="宋体"/>
          <w:b/>
          <w:color w:val="auto"/>
          <w:szCs w:val="21"/>
          <w:highlight w:val="none"/>
          <w:u w:val="single"/>
        </w:rPr>
        <w:t xml:space="preserve">  东莞</w:t>
      </w:r>
      <w:r>
        <w:rPr>
          <w:rFonts w:hint="eastAsia" w:ascii="宋体" w:hAnsi="宋体" w:eastAsia="宋体" w:cs="宋体"/>
          <w:b/>
          <w:color w:val="auto"/>
          <w:szCs w:val="21"/>
          <w:highlight w:val="none"/>
          <w:u w:val="single"/>
          <w:lang w:val="en-US" w:eastAsia="zh-CN"/>
        </w:rPr>
        <w:t>城工集团照明工程</w:t>
      </w:r>
      <w:r>
        <w:rPr>
          <w:rFonts w:hint="eastAsia" w:ascii="宋体" w:hAnsi="宋体" w:eastAsia="宋体" w:cs="宋体"/>
          <w:b/>
          <w:color w:val="auto"/>
          <w:szCs w:val="21"/>
          <w:highlight w:val="none"/>
          <w:u w:val="single"/>
        </w:rPr>
        <w:t xml:space="preserve">有限公司     </w:t>
      </w:r>
    </w:p>
    <w:p w14:paraId="739B9379">
      <w:pPr>
        <w:spacing w:line="50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劳务分包单位（乙方）：</w:t>
      </w:r>
      <w:r>
        <w:rPr>
          <w:rFonts w:hint="eastAsia" w:ascii="宋体" w:hAnsi="宋体" w:eastAsia="宋体" w:cs="宋体"/>
          <w:b/>
          <w:bCs/>
          <w:color w:val="auto"/>
          <w:szCs w:val="21"/>
          <w:highlight w:val="none"/>
          <w:u w:val="single"/>
        </w:rPr>
        <w:t xml:space="preserve">                             </w:t>
      </w:r>
    </w:p>
    <w:p w14:paraId="4884BB39">
      <w:pPr>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了认真贯彻“安全第一，预防为主，综合治理”的安全生产方针，根据《中华人民共和国劳动法》、《中华人民共和国建筑法》、《中华人民共和国安全生产法》、《中华人民共和国消防法》、《建设工程安全生产管理条例》、《安全生产许可证条例》、《化学危险品安全管理条例》、《生产安全事故报告和调查处理条例》等法规的要求。同时依据《建筑与市政施工现场安全卫生与职业健康通用规范》GB55034-2022和《建筑施工安全检查标准》JGJ59-2011等规范的要求，保证本工程施工有个良好的安全、文明施工作业环境和正常的工作秩序，确保施工安全，避免各类人身伤害事故的发生，明确双方在施工中的安全管理责任，以约束和规范双方行为，使总包与各分包单位在工作中都能认真执行落实上级及项目的各项管理规定，提高安全意识，为有效的避免事故发生，特签订本协议，具体条款如下：</w:t>
      </w:r>
    </w:p>
    <w:p w14:paraId="48F99851">
      <w:pPr>
        <w:spacing w:line="500" w:lineRule="exact"/>
        <w:ind w:firstLine="422" w:firstLineChars="200"/>
        <w:rPr>
          <w:rFonts w:hint="eastAsia" w:ascii="宋体" w:hAnsi="宋体" w:eastAsia="宋体" w:cs="宋体"/>
          <w:color w:val="auto"/>
          <w:szCs w:val="21"/>
          <w:highlight w:val="none"/>
          <w:u w:val="single"/>
        </w:rPr>
      </w:pPr>
      <w:r>
        <w:rPr>
          <w:rFonts w:hint="eastAsia" w:ascii="宋体" w:hAnsi="宋体" w:eastAsia="宋体" w:cs="宋体"/>
          <w:b/>
          <w:bCs/>
          <w:color w:val="auto"/>
          <w:szCs w:val="21"/>
          <w:highlight w:val="none"/>
        </w:rPr>
        <w:t>第一条</w:t>
      </w:r>
      <w:r>
        <w:rPr>
          <w:rFonts w:hint="eastAsia" w:ascii="宋体" w:hAnsi="宋体" w:eastAsia="宋体" w:cs="宋体"/>
          <w:color w:val="auto"/>
          <w:szCs w:val="21"/>
          <w:highlight w:val="none"/>
        </w:rPr>
        <w:t xml:space="preserve">  工程名称：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7D628604">
      <w:pPr>
        <w:spacing w:line="5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工程地点：</w:t>
      </w:r>
      <w:r>
        <w:rPr>
          <w:rFonts w:hint="eastAsia" w:ascii="宋体" w:hAnsi="宋体" w:eastAsia="宋体" w:cs="宋体"/>
          <w:color w:val="auto"/>
          <w:szCs w:val="21"/>
          <w:highlight w:val="none"/>
          <w:u w:val="single"/>
        </w:rPr>
        <w:t xml:space="preserve">                                   </w:t>
      </w:r>
    </w:p>
    <w:p w14:paraId="69FA77D0">
      <w:pPr>
        <w:spacing w:line="500" w:lineRule="exact"/>
        <w:ind w:left="0" w:firstLine="422" w:firstLineChars="200"/>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rPr>
        <w:t>第二条</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lang w:val="en-US" w:eastAsia="zh-CN"/>
        </w:rPr>
        <w:t>具体工期以双方签字确认的进度计划作为施工工期要求</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施工过程中无条件配合项目总进度计划中关键节点实施或者调整</w:t>
      </w:r>
      <w:r>
        <w:rPr>
          <w:rFonts w:hint="eastAsia" w:ascii="宋体" w:hAnsi="宋体" w:eastAsia="宋体" w:cs="宋体"/>
          <w:color w:val="auto"/>
          <w:szCs w:val="21"/>
          <w:highlight w:val="none"/>
          <w:lang w:eastAsia="zh-CN"/>
        </w:rPr>
        <w:t>。</w:t>
      </w:r>
    </w:p>
    <w:p w14:paraId="30F9E62C">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第三条  安全履约目标</w:t>
      </w:r>
    </w:p>
    <w:p w14:paraId="182FF3B1">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1、基本目标：</w:t>
      </w:r>
    </w:p>
    <w:p w14:paraId="2F712B14">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①杜绝人身死亡责任事故，杜绝一般及以上安全生产责任事故。</w:t>
      </w:r>
    </w:p>
    <w:p w14:paraId="1E14E9F5">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②确保施工现场安全文明施工达到并保持合格标准。</w:t>
      </w:r>
    </w:p>
    <w:p w14:paraId="76390D6D">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③确保按总包单位安全标准化要求施工，达到并保持合格标准。</w:t>
      </w:r>
    </w:p>
    <w:p w14:paraId="4B302020">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④杜绝重大环境事故。</w:t>
      </w:r>
    </w:p>
    <w:p w14:paraId="04945EB4">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⑤杜绝被各级行政主管部门上网公示批评或被媒体负面曝光。</w:t>
      </w:r>
    </w:p>
    <w:p w14:paraId="60790993">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2、创优目标：（在相应级别前□上打√）</w:t>
      </w:r>
    </w:p>
    <w:p w14:paraId="24261249">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乙方安全文明施工水平应达到以下创优标准，确保创优目标的整体实现：</w:t>
      </w:r>
    </w:p>
    <w:p w14:paraId="5617F012">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确保达到</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市住建局标准化评价合格</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市文明示范工地</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省文明示范工地</w:t>
      </w:r>
    </w:p>
    <w:p w14:paraId="063605A1">
      <w:pPr>
        <w:spacing w:line="50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 xml:space="preserve">    第四条</w:t>
      </w:r>
      <w:r>
        <w:rPr>
          <w:rFonts w:hint="eastAsia" w:ascii="宋体" w:hAnsi="宋体" w:eastAsia="宋体" w:cs="宋体"/>
          <w:color w:val="auto"/>
          <w:szCs w:val="21"/>
          <w:highlight w:val="none"/>
        </w:rPr>
        <w:t xml:space="preserve">  甲、乙双方共同的职责、权利和义务</w:t>
      </w:r>
    </w:p>
    <w:p w14:paraId="0BD25F16">
      <w:pPr>
        <w:tabs>
          <w:tab w:val="left" w:pos="540"/>
          <w:tab w:val="left" w:pos="900"/>
        </w:tabs>
        <w:spacing w:before="50" w:after="50" w:line="500" w:lineRule="exact"/>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双方分别作为独立的法人单位或独立法人单位授权的派出机构，均必须严格执行有关安全生产的法律、法规、标准、规范要求作为法人单位应当履行的责任，切实加强各自单位的安全生产管理工作，健全各自的安全管理体系。</w:t>
      </w:r>
    </w:p>
    <w:p w14:paraId="59483872">
      <w:pPr>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2、施工期间，乙方单位指派</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同志负责本项目的施工现场全面安全管理工作。上述乙方授权的人员全权负责本单位安全生产，文明施工的各项管理工作。上述乙方授权的人员负责签字接收甲方单位各项通知、交底等文件，负责甲方安排布置的有关安全生产，文明施工等方面任务的完成和落实工作。上述人员若发生变更，乙方应及时与甲方沟通，并留下书面变更记录。</w:t>
      </w:r>
    </w:p>
    <w:p w14:paraId="68CA0499">
      <w:pPr>
        <w:tabs>
          <w:tab w:val="left" w:pos="360"/>
          <w:tab w:val="left" w:pos="540"/>
          <w:tab w:val="left" w:pos="900"/>
          <w:tab w:val="left" w:pos="1080"/>
          <w:tab w:val="left" w:pos="156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3、双方应根据合同及本协议要求，分别认真做好各自的安全管理工作，最大限度减少和杜绝各类伤亡事故的发生。</w:t>
      </w:r>
    </w:p>
    <w:p w14:paraId="4F33471E">
      <w:pPr>
        <w:tabs>
          <w:tab w:val="left" w:pos="0"/>
          <w:tab w:val="left" w:pos="540"/>
          <w:tab w:val="left" w:pos="900"/>
          <w:tab w:val="left" w:pos="1080"/>
          <w:tab w:val="left" w:pos="1560"/>
        </w:tabs>
        <w:spacing w:before="50" w:after="50" w:line="5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4、双方在履行法律、法规要求的安全职责过程中，需要双方合作共同完成的工作，双方必须严格按照协议约定的工作程序执行，确保法律、法规要求的职责得到落实。 </w:t>
      </w:r>
    </w:p>
    <w:p w14:paraId="56D19FF0">
      <w:pPr>
        <w:tabs>
          <w:tab w:val="left" w:pos="0"/>
          <w:tab w:val="left" w:pos="540"/>
          <w:tab w:val="left" w:pos="900"/>
          <w:tab w:val="left" w:pos="1080"/>
          <w:tab w:val="left" w:pos="1260"/>
          <w:tab w:val="left" w:pos="156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5、双方依据国家地方法律、法规、合同及本协议内容在施工过程中留存的书面记录，作为双方履行各自安全职责的主要证据。</w:t>
      </w:r>
    </w:p>
    <w:p w14:paraId="73A84697">
      <w:pPr>
        <w:tabs>
          <w:tab w:val="left" w:pos="360"/>
          <w:tab w:val="left" w:pos="540"/>
          <w:tab w:val="left" w:pos="900"/>
          <w:tab w:val="left" w:pos="1080"/>
          <w:tab w:val="left" w:pos="1260"/>
          <w:tab w:val="left" w:pos="156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6、本协议所称伤亡事故均包括对第三方人员造成的伤亡事故。</w:t>
      </w:r>
    </w:p>
    <w:p w14:paraId="49E03F82">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7、双方作为法人单位或法人单位授权的派出机构均应当分别履行的责任主要包括：</w:t>
      </w:r>
    </w:p>
    <w:p w14:paraId="63A55B63">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7.1具备安全生产条件所必须的资金投入；</w:t>
      </w:r>
    </w:p>
    <w:p w14:paraId="30B91E2D">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7.2按规定配备安全生产管理机构或人员；</w:t>
      </w:r>
    </w:p>
    <w:p w14:paraId="3B1D8573">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7.3建立并落实安全生产责任制；</w:t>
      </w:r>
    </w:p>
    <w:p w14:paraId="1E43A458">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7.4健全并落实安全生产规章制度和安全操作规程；</w:t>
      </w:r>
    </w:p>
    <w:p w14:paraId="51E2A807">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7.5根据工程特点，制定相应的安全技术措施、方案，并确保实施；</w:t>
      </w:r>
    </w:p>
    <w:p w14:paraId="1616620E">
      <w:pPr>
        <w:tabs>
          <w:tab w:val="left" w:pos="54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7.6对本单位管理人员和作业人员进行安全生产教育培训并经考核合格后上岗作业，施工生产过程中，要督促作业人员遵章守纪施工；</w:t>
      </w:r>
    </w:p>
    <w:p w14:paraId="0EFBF44A">
      <w:pPr>
        <w:tabs>
          <w:tab w:val="left" w:pos="54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7.7向本单位从业人员如实书面告知作业场所和工作岗位存在的危险因素和防范措施以及事故应急措施并履行签字手续，同时督促作业人员遵照执行；</w:t>
      </w:r>
    </w:p>
    <w:p w14:paraId="6B4C1B53">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7.8落实安全生产有关标准或规范、做好防护措施；</w:t>
      </w:r>
    </w:p>
    <w:p w14:paraId="347FF0C6">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7.9及时发现和消除生产安全事故隐患；</w:t>
      </w:r>
    </w:p>
    <w:p w14:paraId="42E29C67">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7.10及时、如实报告生产安全事故；</w:t>
      </w:r>
    </w:p>
    <w:p w14:paraId="17753196">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7.11独立开展对所属从业人员的安全生产教育工作；</w:t>
      </w:r>
    </w:p>
    <w:p w14:paraId="213FC127">
      <w:pPr>
        <w:tabs>
          <w:tab w:val="left" w:pos="540"/>
        </w:tabs>
        <w:spacing w:before="50" w:after="50" w:line="500" w:lineRule="exact"/>
        <w:ind w:left="315"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7.12执行法律、法规、标准、规范的其他要求。</w:t>
      </w:r>
    </w:p>
    <w:p w14:paraId="394EA51B">
      <w:pPr>
        <w:spacing w:line="50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 xml:space="preserve">    第五条</w:t>
      </w:r>
      <w:r>
        <w:rPr>
          <w:rFonts w:hint="eastAsia" w:ascii="宋体" w:hAnsi="宋体" w:eastAsia="宋体" w:cs="宋体"/>
          <w:color w:val="auto"/>
          <w:szCs w:val="21"/>
          <w:highlight w:val="none"/>
        </w:rPr>
        <w:t xml:space="preserve">  甲方（甲方）的责任、权利与义务</w:t>
      </w:r>
    </w:p>
    <w:p w14:paraId="3F68D036">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 xml:space="preserve">    </w:t>
      </w:r>
      <w:r>
        <w:rPr>
          <w:rFonts w:hint="eastAsia" w:ascii="宋体" w:hAnsi="宋体" w:eastAsia="宋体" w:cs="宋体"/>
          <w:color w:val="auto"/>
          <w:szCs w:val="21"/>
          <w:highlight w:val="none"/>
        </w:rPr>
        <w:t>1、甲方负责制定工程建设总的安全生产管理各项制度，规范工程建设的安全生产管理，协调乙方之间、乙方同其他施工单位之间的关系。</w:t>
      </w:r>
    </w:p>
    <w:p w14:paraId="0B4E603D">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2、在乙方提出关于明确乙方安全责任区的书面要求后，甲方负责根据工程现场情况及双方合同要求，为乙方明确安全责任区，并负责根据工程进展情况，及时变更乙方的安全责任区。</w:t>
      </w:r>
    </w:p>
    <w:p w14:paraId="004D4DEA">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甲方要尽可能以书面的形式为乙方明确安全责任区，并由双方负责人签字确认，分别留存，无法书面明确的安全责任区按安全责任区的划分原则确定。</w:t>
      </w:r>
    </w:p>
    <w:p w14:paraId="776DA7FF">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安全责任区划分的原则见乙方责任第五条7点</w:t>
      </w:r>
    </w:p>
    <w:p w14:paraId="5DBD11D2">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3、甲方负责编制工程总的施工组织设计及施组中适应本工程特点的安全技术措施；并及时进行审批、下发给相应的乙方；</w:t>
      </w:r>
    </w:p>
    <w:p w14:paraId="311F091B">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对于专业乙方单位施工的专业性较强的工程项目，由乙方负责及时制定施工组织设计或专项施工方案及相应的安全技术措施，具体要求见乙方责任5、10点</w:t>
      </w:r>
    </w:p>
    <w:p w14:paraId="63350853">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4、甲方负责根据相关规定，明确在较大危险因素的场所和有关设施、设备上设置安全警示标志的要求。</w:t>
      </w:r>
    </w:p>
    <w:p w14:paraId="0F63F811">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较大危险因素的场所和有关设施、设备上主要包括：</w:t>
      </w:r>
      <w:r>
        <w:rPr>
          <w:rFonts w:hint="eastAsia" w:ascii="宋体" w:hAnsi="宋体" w:eastAsia="宋体" w:cs="宋体"/>
          <w:color w:val="auto"/>
          <w:sz w:val="21"/>
          <w:szCs w:val="21"/>
          <w:highlight w:val="none"/>
          <w:lang w:val="en-US" w:eastAsia="zh-CN"/>
        </w:rPr>
        <w:t>有限空间作业点、</w:t>
      </w:r>
      <w:r>
        <w:rPr>
          <w:rFonts w:hint="eastAsia" w:ascii="宋体" w:hAnsi="宋体" w:eastAsia="宋体" w:cs="宋体"/>
          <w:color w:val="auto"/>
          <w:szCs w:val="21"/>
          <w:highlight w:val="none"/>
        </w:rPr>
        <w:t>施工现场入口处、施工起重机械、施工机具、临时用电设施、外脚手架、模板支撑架、高处作业平台及卸料平台、出入通道口、预留洞口、坑槽口、涵洞口、基坑临边、平台临边、爆破物及有害危险气体和液体存放处等。</w:t>
      </w:r>
    </w:p>
    <w:p w14:paraId="1954D483">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5、甲方负责组织乙方及相关方，进行施工现场安全生产的各项验收工作，验收工作必须履行书面手续，甲方、乙方、第三方等相关方签字确认。</w:t>
      </w:r>
    </w:p>
    <w:p w14:paraId="33BECDC9">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需要进行安全生产验收的工作由乙方负责申请报验，具体要求见乙方责任第3.15条。</w:t>
      </w:r>
    </w:p>
    <w:p w14:paraId="4C8A1411">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安全生产验收工作内容主要包括：乙方提供的安全防护用具、机械设备、施工机具及配件等的入场验收工作；乙方报验的分项工程的验收工作；乙方报验的自行安装机械设备与安全防护措施的验收工作等。</w:t>
      </w:r>
    </w:p>
    <w:p w14:paraId="1BFCBA25">
      <w:pPr>
        <w:tabs>
          <w:tab w:val="left" w:pos="540"/>
        </w:tabs>
        <w:spacing w:before="50" w:after="50" w:line="500" w:lineRule="exact"/>
        <w:ind w:firstLine="315" w:firstLineChars="1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乙方需报验的分项工程范围执行国家相关规范要求，需报验的机械设备与安全防护措施范围由甲方确定。</w:t>
      </w:r>
    </w:p>
    <w:p w14:paraId="2B5805F7">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6、为督促和协助乙方做好施工现场安全管理，进一步消除施工现场安全隐患，甲方有权对乙方的安全责任区进行安全检查，对发现的“人的不安全行为”、“物的不安全状态”、“环境的不良因素”等各类隐患，甲方可以以文字或口头形式要求乙方及时整改。</w:t>
      </w:r>
    </w:p>
    <w:p w14:paraId="03F8F252">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乙方必须知晓，甲方对乙方施工现场进行的安全检查并非本协议要求甲方必须履行的责任，甲方对乙方安全管理责任区域和范围内的安全隐患未及时得到消除而导致的事故不承担责任。</w:t>
      </w:r>
    </w:p>
    <w:p w14:paraId="154DEB29">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7、当乙方根据本协议乙方责任第五条16点、第五条18点要求，书面提出某作业场所存在安全隐患导致无法施工时，甲方负责和乙方共同协商，消除作业场所的安全隐患，保证施工工人的安全，隐患消除完毕，需留存相应的资料，双方签字确认。</w:t>
      </w:r>
    </w:p>
    <w:p w14:paraId="000B1A87">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8、甲方负责监督、督促乙方认真开展安全生产教育工作。</w:t>
      </w:r>
    </w:p>
    <w:p w14:paraId="5B35328C">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乙方必须知晓，甲方监督、督促乙方对施工工人进行安全教育并非本协议要求甲方必须履行的责任，甲方对乙方事故人员缺失安全教育不承担责任。</w:t>
      </w:r>
    </w:p>
    <w:p w14:paraId="10899ED2">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9、甲方有权对于乙方施工人员在生产工作中的违反安全生产规章制度的行为予以制止、纠正和处罚。甲方有权对不满足安全管理要求的乙方授权的人员提出更换。</w:t>
      </w:r>
    </w:p>
    <w:p w14:paraId="1261FD7B">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10、甲方对乙方落实法律法规规章要求、落实合同及本协议要求情况，有权进行监督。对乙方违法行为有权进行举报，对违反合同及本协议的行为，有权及时制止。同时，因乙方违法或违反合同及本协议对甲方造成的损失，甲方有权进行索赔。</w:t>
      </w:r>
    </w:p>
    <w:p w14:paraId="40D09A05">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11、甲方有权对乙方不服从管理，拖延、推委和拒不完成甲方安排布置的任务的行为予以制止、纠正和处罚。甲方有权对不负责任，不讲安全野蛮指挥的乙方管理人员提出更换。</w:t>
      </w:r>
    </w:p>
    <w:p w14:paraId="1DFB1003">
      <w:pPr>
        <w:tabs>
          <w:tab w:val="left" w:pos="54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12、其他法律、法规要求作为甲方单位应承担的安全责任。</w:t>
      </w:r>
    </w:p>
    <w:p w14:paraId="44C2F095">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第六条</w:t>
      </w:r>
      <w:r>
        <w:rPr>
          <w:rFonts w:hint="eastAsia" w:ascii="宋体" w:hAnsi="宋体" w:eastAsia="宋体" w:cs="宋体"/>
          <w:color w:val="auto"/>
          <w:szCs w:val="21"/>
          <w:highlight w:val="none"/>
        </w:rPr>
        <w:t xml:space="preserve">  乙方（乙方）的责任、权利与义务</w:t>
      </w:r>
    </w:p>
    <w:p w14:paraId="37F9B0A9">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严格遵守国家和项目所在地有关安全生产法律法规、标准规范，以及甲方制定的有关安全生产、文明施工和环境保护的规章制度和规定，甲方制定的规章制度和规定包括但不限于以下内容，对于法律法规、规章制度有要求不一致地方，应执行比较严格的要求，确保完成本协议及合同规定的安全管理目标。</w:t>
      </w:r>
    </w:p>
    <w:p w14:paraId="3FDB40A3">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①甲方《安全文明施工标准化参考图册》（2022年试行版）；</w:t>
      </w:r>
    </w:p>
    <w:p w14:paraId="4F934D9A">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②《关于印发〈施工总承包项目安全管理标准手册（试行）〉的通知》（莞建通〔2023〕38号）；</w:t>
      </w:r>
    </w:p>
    <w:p w14:paraId="6B235572">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③甲方《安全检查与隐患治理处罚规定》；</w:t>
      </w:r>
    </w:p>
    <w:p w14:paraId="31EEFB31">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④甲方制定的本项目安全环境管理规章制度和规定（合同、协议、洽商、会议纪要等均视同规定）。</w:t>
      </w:r>
    </w:p>
    <w:p w14:paraId="045C6E04">
      <w:pPr>
        <w:tabs>
          <w:tab w:val="left" w:pos="540"/>
          <w:tab w:val="left" w:pos="90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乙方应按《建设工程安全生产管理条例》的相关规定要求，建立安全管理体系，健全安全管理组织机构，落实安全管理责任，承担因发生安全事故而产生的经济、行政、法律责任。乙方因未及时处理或承担导致甲方被动支付的，甲方有权从应付乙方的款项中扣除相应费用或向乙方追偿，且乙方须对甲方的任何处置行为和处理结果均予以认可。</w:t>
      </w:r>
    </w:p>
    <w:p w14:paraId="5F14A674">
      <w:pPr>
        <w:tabs>
          <w:tab w:val="left" w:pos="540"/>
          <w:tab w:val="left" w:pos="90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3、乙方不得将承接的工程非法再次转包。乙方违反本规定，发生在非法转包单位的伤亡事故，由乙方承担全部责任。</w:t>
      </w:r>
    </w:p>
    <w:p w14:paraId="11CD6E97">
      <w:pPr>
        <w:tabs>
          <w:tab w:val="left" w:pos="5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4、服从甲方的安全监督管理和协调，参加甲方组织的各类安全会议、安全教育培训、安全技术交底、安全检查、安全应急演练及其他安全专项活动。对甲方、监理、建设单位、政府部门下达的指令必须服从，对下达的整改意见必须在规定期限内整改完毕。</w:t>
      </w:r>
    </w:p>
    <w:p w14:paraId="0E4DE4D0">
      <w:pPr>
        <w:spacing w:line="276"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5、必须提供齐全真实有效的施工资质、安全生产许可证、项目组织架构等分包手续资料，经甲方审查合格后，方可进入现场施工，并及时办理年检、复审，确保持续有效。项目组织架构需盖公章，包括</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项目负责人、</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专职生产负责人、</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施工员、</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安全员、</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预算员、</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材料员、</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测量员、</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资料员等管理人员。乙方授权的项目负责人和专职安全生产管理人员必须持有法定代表人身份证明书或授权委托书，同时持《安全生产考核合格证书》上岗；乙方使用不满足上述条件的人员对现场进行管理，甲方有权以每日2000元/人予以处罚，且本单位施工发生事故时，由乙方承担全部责任。</w:t>
      </w:r>
    </w:p>
    <w:p w14:paraId="18E674DD">
      <w:pPr>
        <w:tabs>
          <w:tab w:val="left" w:pos="640"/>
          <w:tab w:val="left" w:pos="900"/>
        </w:tabs>
        <w:spacing w:before="50" w:after="50" w:line="500" w:lineRule="exact"/>
        <w:ind w:firstLine="441"/>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管理人员不得擅自离开施工现场，在管理好自身的劳动班组之外应接受甲方管理人员的领导和安排，与现场其他单位协调配合，不再计取配合费。乙方如需更换管理人员，需提前一周书面通知甲方，征得甲方同意后方可更换。</w:t>
      </w:r>
    </w:p>
    <w:p w14:paraId="6F548675">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6、乙方施工现场专职安全管理人员配置必须符合法律法规要求：</w:t>
      </w:r>
    </w:p>
    <w:p w14:paraId="336BE938">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人员50人以下的，应当设置1名专职安全生产管理人员；50人-200人的，应设2名专职安全生产管理人员；200人以上的，应根据所承担的分部分项工程施工危险实际情况增配，并不少于3人。乙方未按本项条款规定配置持证现场安全员的，甲方有权以每日2000元/人予以处罚，施工工人发生伤亡事故时，由乙方承担全部责任。</w:t>
      </w:r>
    </w:p>
    <w:p w14:paraId="0B60C3B1">
      <w:pPr>
        <w:autoSpaceDE w:val="0"/>
        <w:autoSpaceDN w:val="0"/>
        <w:adjustRightIn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7、乙方特种作业人员必须持证上岗，如发现特种作业人员无证上岗的，甲方有权以2000元/人予以处罚，无证上岗人员造成的伤亡事故，由乙方承担全部责任。    </w:t>
      </w:r>
    </w:p>
    <w:p w14:paraId="7A9CB1F9">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乙方必须与进入甲方施工现场的工人签订合法的劳动合同，载明有关保障从业人员劳动安全、防止职业危害的事项，以及依法为从业人员办理工伤社会保险等事项。同时，乙方施工人员进入本工程现场，必须向甲方按“实名制”的要求提供准确的现场施工工人花名册和身份证明文件，各种劳务用工手续均需齐全，甲方有权随时对乙方人员与花名册及本合同进行核查，如发现乙方人员与花名册及主合同或本合同相关附件不符，甲方有权以每次1000元/人予以处罚，造成甲方损失的，乙方应予以赔偿。乙方工人进场需录入实名制系统，每日上工时需经实名制门禁进入工地，进场记录作为工人考勤依据；施工过程中临时调整人员时必须及时书面通知甲方。乙方施工人员发生伤亡事故，若事故者未与乙方签订劳动合同，或事故者和花名册不符合，不论双方或第三方的原因造成的事故，均由乙方承担全部责任。</w:t>
      </w:r>
    </w:p>
    <w:p w14:paraId="0C104E2D">
      <w:pPr>
        <w:tabs>
          <w:tab w:val="left" w:pos="540"/>
          <w:tab w:val="left" w:pos="90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乙方应保证本单位工人身体条件符合所从事工作的要求，尤其不得使用未满18周岁的未成年工或童工、不应使用年龄超过55岁的工人、每个上岗人员提供健康证明。由于乙方施工工人身体条件不符合所从事工作的要求或乙方私自使用上述人员，发生伤亡事故，由乙方承担全部责任。</w:t>
      </w:r>
    </w:p>
    <w:p w14:paraId="74AC30D1">
      <w:pPr>
        <w:tabs>
          <w:tab w:val="left" w:pos="540"/>
          <w:tab w:val="left" w:pos="900"/>
        </w:tabs>
        <w:spacing w:before="50" w:after="50" w:line="500" w:lineRule="exact"/>
        <w:ind w:firstLine="44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乙方应主动积极组织班组新进场施工管理人员和工人配合甲方开展三级安全教育和安全技术交底，经教育培训合格后方可进入施工现场上岗作业，三级安全教育记录表和安全技术交底记录表一式三份，甲方、乙方与工人分别留存一份，如未经教育培训合格进入施工现场的，甲方有权以500元/人予以处罚；</w:t>
      </w:r>
    </w:p>
    <w:p w14:paraId="58054C95">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乙方还必须对施工工人做好每日班前会、日常安全教育，并留下教育资料存档以备查验，如未开展每日班前会的，甲方有权以200元/次予以处罚；</w:t>
      </w:r>
    </w:p>
    <w:p w14:paraId="2FCCD187">
      <w:pPr>
        <w:tabs>
          <w:tab w:val="left" w:pos="540"/>
          <w:tab w:val="left" w:pos="900"/>
        </w:tabs>
        <w:spacing w:before="50" w:after="50" w:line="500" w:lineRule="exact"/>
        <w:ind w:firstLine="44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乙方未按照规定组织施工工人参与安全生产教育、安全生产技术交底、每日班前会的，发生伤亡事故的，由乙方承担全部责任。</w:t>
      </w:r>
    </w:p>
    <w:p w14:paraId="49880816">
      <w:pPr>
        <w:tabs>
          <w:tab w:val="left" w:pos="540"/>
          <w:tab w:val="left" w:pos="90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乙方负责为本单位施工工人提供合格的安全带、护目镜、手套等各类安全防护用具和安全防护服装，并不能以货币等非实物的方式代替，其中安全帽、反光衣、总配电箱、分配电箱由甲方统一购买提供。同时乙方相关管理人员必须督促施工工人自觉穿戴好防护用品。</w:t>
      </w:r>
    </w:p>
    <w:p w14:paraId="17CCC463">
      <w:pPr>
        <w:tabs>
          <w:tab w:val="left" w:pos="540"/>
          <w:tab w:val="left" w:pos="90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施工过程中，乙方施工人员（含乙方管理人员）未佩戴或不正确佩戴安全防护用品的，甲方有权以100元/人/次予以处罚，乙方未向工人提供安全防护用品，或提供不合格的安全防护用品，以及乙方施工工人不正确佩戴安全防护用品发生伤亡事故的，由乙方承担全部责任。</w:t>
      </w:r>
    </w:p>
    <w:p w14:paraId="0039B20A">
      <w:pPr>
        <w:tabs>
          <w:tab w:val="left" w:pos="540"/>
          <w:tab w:val="left" w:pos="90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乙方不得使用国家明令淘汰、禁止使用的危及安全生产的工艺和设备，乙方的施工机械设备、电器设备、各类设施等必须符合国家标准、规范的要求，且受力性能、机械性能良好、安全防护装置齐全、灵敏、有效。乙方对自带的上述设备、设施必须建立管理制度，并进行有效管理，设备的安装、使用、检测和报废必须符合相关标准。</w:t>
      </w:r>
    </w:p>
    <w:p w14:paraId="42F39510">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乙方自带的设备设施工具存在缺陷造成的安全生产事故，由乙方承担全部责任。</w:t>
      </w:r>
    </w:p>
    <w:p w14:paraId="24B89C9B">
      <w:pPr>
        <w:tabs>
          <w:tab w:val="left" w:pos="540"/>
          <w:tab w:val="left" w:pos="90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乙方进场的辅助工具包括钢筋加工机具、模板加工机具、开关电箱、移动式作业平台、高空车、汽车吊等（包括但不限于），须符合安全标准要求及甲方规定的辅助工具进场条件（合同附件八）要求，将进场报审所要求的资料报甲方，并经甲方与监理验收合格后方能进场使用。如未经过验收合格投入使用的，每发现一次甲方有权以1000元/台/次予以处罚；经验收不符合标准要求的，乙方无条件将辅助工具退场。</w:t>
      </w:r>
    </w:p>
    <w:p w14:paraId="20CDFD2A">
      <w:pPr>
        <w:tabs>
          <w:tab w:val="left" w:pos="540"/>
          <w:tab w:val="left" w:pos="90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乙方必须按有关临时用电规范和甲方的相关要求设置临时用电设施，并派专职电工负责临时用电设施的维护和接用电作业。二级配电箱以后的电线、电缆、配电箱（含移动电箱）、设备接线端和夜间加班照明均由乙方采购、安装及维护。</w:t>
      </w:r>
    </w:p>
    <w:p w14:paraId="3798ED33">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15、乙方进入施工现场，须首先向甲方提出关于明确乙方安全责任区的书面申请，确定责任区后，要和甲方履行签字手续。</w:t>
      </w:r>
    </w:p>
    <w:p w14:paraId="7E88CABC">
      <w:pPr>
        <w:spacing w:before="50" w:after="50" w:line="500" w:lineRule="exact"/>
        <w:ind w:left="-105" w:leftChars="-5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乙方进入施工现场，未向甲方提出上述要求，或未经甲方明确安全责任区即开始施工，发生伤亡事故，由乙方承担全部责任。</w:t>
      </w:r>
    </w:p>
    <w:p w14:paraId="3A9EB3D4">
      <w:pPr>
        <w:spacing w:before="50" w:after="50" w:line="500" w:lineRule="exact"/>
        <w:ind w:left="-105" w:leftChars="-5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安全责任区划分的原则为：施工区以乙方与甲方签订的合同内容所涉及到的所有工作面、材料存放场地和乙方施工人员进出工作面所必经的施工区域等为乙方安全责任区域，办公区和生活区以乙方施工人员办公、生活的区间为责任区域。</w:t>
      </w:r>
    </w:p>
    <w:p w14:paraId="0DD45DB0">
      <w:pPr>
        <w:spacing w:before="50" w:after="50" w:line="500" w:lineRule="exact"/>
        <w:ind w:left="-105" w:leftChars="-5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乙方进入施工现场后，必须服从甲方关于施工现场安全文明施工管理的各项规定，如因责任区域不清晰或交叉施工责任不清晰而发生互相推诿的，以甲方处理意见为准，所产生的费用由甲方按责任分配，乙方必须服从安排落实相应工作。乙方不服从管理导致生产安全事故的，由乙方承担全部责任。</w:t>
      </w:r>
    </w:p>
    <w:p w14:paraId="6F9BA49B">
      <w:pPr>
        <w:tabs>
          <w:tab w:val="left" w:pos="540"/>
        </w:tabs>
        <w:spacing w:before="50" w:after="50" w:line="5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17、乙方负责根据甲方的施工安排和专项施工方案（响应的安全技术措施）的要求，在自己的责任区内，合理组织施工。不按甲方施工安排及技术措施方案施工，自作主张、盲目施工、私自更改施工程序，甲方有权以5000元/次予以处罚，造成的伤亡事故，由乙方承担全部责任。</w:t>
      </w:r>
    </w:p>
    <w:p w14:paraId="64467A87">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18、乙方人员必须严格遵守《安全操作规程》，按操作规程施工，严禁违章作业或指挥作业，乙方管理人员需及时纠正工人违章作业行为，如因乙方人员违章作业造成的伤亡事故，由乙方承担全部责任。</w:t>
      </w:r>
    </w:p>
    <w:p w14:paraId="2A0D5320">
      <w:pPr>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19、乙方负责按照安全生产相关的法律法规、标准规范、甲方签发的技术交底、安全交底、安全作业指导书等要求，及时做好本单位安全责任区内的施工生产和各项安全防护措施等安全生产工作。</w:t>
      </w:r>
    </w:p>
    <w:p w14:paraId="575C7EC9">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于相关标准、规范及甲方要求进行验收的分项工程及安全防护措施，乙方按标准做到位后，在进行下一道工序施工或操作工人进入工作面之前，必须填写报验表，书面报甲方进行验收。待双方、监理单位及相关方共同验收合格并履行验收签字手续后，方可进行后续工序的施工。双方及相关方分别留存报验资料和验收资料。</w:t>
      </w:r>
    </w:p>
    <w:p w14:paraId="0E0F0797">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未按要求做好分项工程及安全防护措施，或未经验收私自施工（以双方及监理单位签认的验收单为准），每发现一次甲方有权以2000元/次予以处罚,并责令整改，限期内未整改的，导致发生伤亡事故，由乙方承担全部责任。</w:t>
      </w:r>
    </w:p>
    <w:p w14:paraId="1948EC46">
      <w:pPr>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20、当经双方及相关方共同验收合格的分项工程、施工机械设备及安全防护措施移交乙方后，乙方负责对本单位安全责任区内的分项工程、机械设备及安全防护措施进行日常维护，确保其有效性。</w:t>
      </w:r>
    </w:p>
    <w:p w14:paraId="04D449EF">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乙方在未向第三方移交分部分项工程及安全防护措施前，对因己方负责范围内的分部分项工程或安全防护措施存在缺陷导致的伤亡事故承担全部责任。</w:t>
      </w:r>
    </w:p>
    <w:p w14:paraId="06AF0C71">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21、乙方不得擅自拆除、变动现场的安全防护设施、安全标志和警告牌。</w:t>
      </w:r>
    </w:p>
    <w:p w14:paraId="285BE8EC">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施工生产需要拆卸的安全防护设施，乙方必须向甲方提出书面申请。经双方及相关方协商一致并采取必要、可靠的安全措施后方能拆除。安全防护设施拆除后，由乙方负责该区域的安全管理责任。如在该区域发生安全生产事故，由乙方承担全部责任。</w:t>
      </w:r>
    </w:p>
    <w:p w14:paraId="30EF21DC">
      <w:pPr>
        <w:spacing w:before="50" w:after="50" w:line="500" w:lineRule="exact"/>
        <w:ind w:left="-105" w:leftChars="-50" w:firstLine="527" w:firstLineChars="25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安全防护措施的拆除必须留存双方签认的书面记录</w:t>
      </w:r>
      <w:r>
        <w:rPr>
          <w:rFonts w:hint="eastAsia" w:ascii="宋体" w:hAnsi="宋体" w:eastAsia="宋体" w:cs="宋体"/>
          <w:color w:val="auto"/>
          <w:szCs w:val="21"/>
          <w:highlight w:val="none"/>
        </w:rPr>
        <w:t>。如现场随意拆除安全防护设施、安全标志和警告牌的，发现一处处罚1000元，若出现整面或整层外架连墙件违规拆除的处罚20000元。且乙方对本单位施工工人擅自拆除或未按甲方批准的拆除要求拆除安全防护措施所造成的伤亡事故，由乙方承担全部责任。</w:t>
      </w:r>
    </w:p>
    <w:p w14:paraId="5E76ECD6">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22、乙方进行爆破、吊装、土方开挖、动火作业、临时用电、密闭空间作业等危险作业时，必须派专门人员进行现场安全管理，确保操作规程的遵守和安全措施的落实。</w:t>
      </w:r>
    </w:p>
    <w:p w14:paraId="17F1179A">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乙方进行上述作业时，现场无专人进行安全管理，发生伤亡事故，由乙方承担全部责任。</w:t>
      </w:r>
    </w:p>
    <w:p w14:paraId="03E01D54">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23、乙方自带进入施工现场的氧气、乙炔、油漆、涂料等易燃、易爆危险物品，必须建立专门的安全管理制度，并设专人管理和发放，同时要书面报甲方同意后，在室外设专库存放。</w:t>
      </w:r>
    </w:p>
    <w:p w14:paraId="33FF39D2">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乙方自带的上述物品，进场前需向甲方项目部提交清单进行备案。</w:t>
      </w:r>
    </w:p>
    <w:p w14:paraId="45A6F56C">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乙方私自使用上述物品或管理不善导致的爆炸、火灾等事故造成的伤亡事故和经济损失，由乙方承担全部责任。</w:t>
      </w:r>
    </w:p>
    <w:p w14:paraId="3E98B1C8">
      <w:pPr>
        <w:spacing w:before="50" w:after="50" w:line="500" w:lineRule="exact"/>
        <w:ind w:left="-105" w:leftChars="-50" w:firstLine="525" w:firstLineChars="250"/>
        <w:rPr>
          <w:rFonts w:hint="eastAsia" w:ascii="宋体" w:hAnsi="宋体" w:eastAsia="宋体" w:cs="宋体"/>
          <w:color w:val="auto"/>
          <w:szCs w:val="21"/>
          <w:highlight w:val="none"/>
        </w:rPr>
      </w:pPr>
    </w:p>
    <w:p w14:paraId="6887E4D2">
      <w:pPr>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24、乙方除做好分部分项工程、施工机械设备及安全防护措施有效性的保障工作外，还必须经常性的检查本单位安全责任区内的各类隐患，包括人的不安全行为、物的不安全状态、环境的不良因素等，对发现的各类隐患要及时处理，并将检查及处理情况记录在案。</w:t>
      </w:r>
    </w:p>
    <w:p w14:paraId="4AAF4188">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乙方需将对本单位安全责任区的检查情况或检查记录，每日及时向甲方进行书面汇报，以便于甲方协助乙方解决其安全责任区的隐患，保证乙方施工工人的安全。</w:t>
      </w:r>
    </w:p>
    <w:p w14:paraId="16B3FF91">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乙方未履行检查职责或未发现本单位安全责任区的隐患，导致发生伤亡事故，由乙方承担全部责任。</w:t>
      </w:r>
    </w:p>
    <w:p w14:paraId="5CB6D145">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25、乙方负责在安排本单位施工工人工作任务前，派专人检查工人所在的施工区域、作业环境、安全防护措施、施工机械设备、工具用具等有无安全隐患。若存在安全隐患能够内部解决的，乙方必须及时将隐患解决后方能安排工人作业。若需和甲方协调解决的，乙方必须及时以书面形式向甲方反馈，待双方共同将隐患排除后方准施工。</w:t>
      </w:r>
    </w:p>
    <w:p w14:paraId="178416E1">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乙方安排工人作业前未检查有无安全隐患，或发现隐患不进行整改也没有书面反馈给甲方要求排除即自行组织施工，就表示乙方确认施工场所、作业环境、施工机械设备、工具用具等符合乙方安全要求。乙方对施工过程中由于上述因素不良而导致的伤亡事故承担全部责任。</w:t>
      </w:r>
    </w:p>
    <w:p w14:paraId="0030EA85">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26、当甲方按照甲方责任3、6点要求，对乙方安全责任区的隐患提出整改要求后，乙方负责按照甲方文字或口头的整改要求，及时纠正本单位的安全隐患并要以整改反馈单的形式向甲方反馈整改情况。乙方未按甲方要求及时纠正隐患，导致发生伤亡事故，由乙方承担全部责任。</w:t>
      </w:r>
    </w:p>
    <w:p w14:paraId="39AF5E22">
      <w:pPr>
        <w:tabs>
          <w:tab w:val="left" w:pos="540"/>
          <w:tab w:val="left" w:pos="90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27、甲方、监理方或建设单位提出的安全隐患及文明施工问题，甲方有权按照公司《安全检查与隐患治理处罚规定》对乙方进行处罚。乙方未按要求按质按时完成整改的或屡次不改的，甲方有权根据实际情况加重处罚金额。</w:t>
      </w:r>
    </w:p>
    <w:p w14:paraId="777309BB">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28、乙方负责合理使用甲方提供的设备、临时用电设施、居住住所等安全物质条件。乙方使用甲方提供的上述安全物质条件前，要向甲方提出书面申请，并认真检查物质条件能否满足安全规定并保证己方安全生产需要。对于满足乙方需要的要与甲方履行交接手续，对于不符合安全规定的应及时向甲方提出。甲方必须积极整改，整改合格后，履行交接手续后方准使用。</w:t>
      </w:r>
    </w:p>
    <w:p w14:paraId="5CF40C20">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违反本规定或不经甲方许可，不正确使用安全物质条件导致伤亡事故，或因乙方原因导致安全物质条件发生缺陷等导致伤亡事故时，由乙方承担全部责任。</w:t>
      </w:r>
    </w:p>
    <w:p w14:paraId="11DC45BA">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本条阐述事项的典型情况包括但不限于下列各项：</w:t>
      </w:r>
    </w:p>
    <w:p w14:paraId="7360517F">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28.1乙方使用甲方提供电器设备，未报请甲方同意，在使用前也未进行检测是否合格后即自行使用的，擅自乱拉电器线路的，甲方有权以500元/次予以处罚并责令整改，限期内未整改的，将没收电器线缆或不再提供电器设备，造成伤亡事故的，由乙方承担全部责任。</w:t>
      </w:r>
    </w:p>
    <w:p w14:paraId="3114FF17">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28.2乙方施工人员未经甲方允许私自动用、乱开甲方机械设备的，甲方有权以500元/次予以处罚并责令整改，造成伤亡事故的，由乙方承担全部责任。</w:t>
      </w:r>
    </w:p>
    <w:p w14:paraId="3555A802">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28.3乙方使用甲方提供的机械时，操作人员违反操作规程操作造成伤亡事故，由乙方承担全部责任。</w:t>
      </w:r>
    </w:p>
    <w:p w14:paraId="18C3AEA1">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28.4乙方使用甲方提供的居住住所（活动板房）时，严禁使用大功率电器，发现一处，甲方有权以500元/次予以处罚并责令整改，限期内未整改的，将没收该电器设备；严禁宿舍区活动板房内或楼梯间，对电动车进行充电，发现一处，甲方有权以1000元/次予以处罚并责令整改。</w:t>
      </w:r>
    </w:p>
    <w:p w14:paraId="7E38F4C5">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29、乙方自行负责本单位的日常用餐，负责采购合格、卫生的食品及配料，并保证食品加工过程的安全性，防止食物中毒等事故的发生，乙方对本单位施工工人发生的食物中毒等事故承担全部责任。</w:t>
      </w:r>
    </w:p>
    <w:p w14:paraId="1830CB95">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30、乙方食堂的环境卫生及硬件设施应符合甲方《食堂管理制度》的要求。应按照《食品安全法》的要求，自行办理餐饮服务许可证，食堂工作人员应持健康证上岗。如乙方不按照相关法规度要求设置食堂并办理相关行政许可手续而发生食物中毒等事故的由乙方承担全部责任。</w:t>
      </w:r>
    </w:p>
    <w:p w14:paraId="3049E64A">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31、乙方负责督促本单位施工工人保持生活住所的干净整洁及良好的住宿习惯，对于发生在施工工人住所的伤亡事故，由乙方承担全部责任。</w:t>
      </w:r>
    </w:p>
    <w:p w14:paraId="6BAB7F63">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32、乙方施工人员违反甲方管理规定、违反安全操作规程作业或乙方管理人员违章指挥造成的伤亡事故，由乙方承担全部责任；</w:t>
      </w:r>
    </w:p>
    <w:p w14:paraId="55CC681A">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33、乙方施工人员发生以下无法采取有效防护措施进行杜绝的伤亡事故时，由乙方承担全部责任：</w:t>
      </w:r>
    </w:p>
    <w:p w14:paraId="17FB129C">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33.1非工作时间工人突然死亡、2米以下非高处作业发生摔倒导致伤亡、挪动大件材料发生意外伤亡等；</w:t>
      </w:r>
    </w:p>
    <w:p w14:paraId="3E231F41">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33.2高处作业人员系挂安全带，但在摘带移动作业位置时发生伤亡事故的；</w:t>
      </w:r>
    </w:p>
    <w:p w14:paraId="7E6EF89C">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33.3在现场或生活区吸烟，动用电气焊、明火而发生的火灾事故导致伤亡事故的；</w:t>
      </w:r>
    </w:p>
    <w:p w14:paraId="4E6FD2DE">
      <w:pPr>
        <w:spacing w:before="50" w:after="50" w:line="500" w:lineRule="exact"/>
        <w:ind w:left="-105" w:leftChars="-50"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33.4从防护拆除处摔落造成的生产安全事故的；</w:t>
      </w:r>
    </w:p>
    <w:p w14:paraId="73078C73">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33.5专职持证上岗电工接用电作业导致生产安全事故的；</w:t>
      </w:r>
    </w:p>
    <w:p w14:paraId="475DC7A2">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33.6违规在办公室或宿舍使用电炉、电暖气、电热棒等高耗能电器而导致发生生产安全事故的；</w:t>
      </w:r>
    </w:p>
    <w:p w14:paraId="218B0F72">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33.7违规在非指定配电箱接用电，导致生产安全事故的；</w:t>
      </w:r>
    </w:p>
    <w:p w14:paraId="45C81DA4">
      <w:pPr>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33.8违反临时用电规范接用电，导致生产安全事故的。</w:t>
      </w:r>
    </w:p>
    <w:p w14:paraId="100D273C">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34、乙方在非允许施工时间内施工，发生伤亡事故时，由乙方承担全部责任。</w:t>
      </w:r>
    </w:p>
    <w:p w14:paraId="3B859742">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35、乙方施工人员在施工现场外，生活区外发生的违反治安管理规定、违法行为造成的后果，由乙方承担全部责任。</w:t>
      </w:r>
    </w:p>
    <w:p w14:paraId="1D2035F9">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36、乙方负责救治因安全生产事故导致受伤的本单位人员，并承担相应的赔偿责任，自行处理并办结本单位人员的安全生产事故。</w:t>
      </w:r>
    </w:p>
    <w:p w14:paraId="59AD77FB">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37、乙方负责救治因本单位原因导致发生安全生产伤亡事故受伤害的第三方人员，并根据责任划分承担相应的赔偿责任，自行处理并办结第三方人员的安全生产事故。</w:t>
      </w:r>
    </w:p>
    <w:p w14:paraId="50D17DB6">
      <w:pPr>
        <w:tabs>
          <w:tab w:val="left" w:pos="540"/>
          <w:tab w:val="left" w:pos="90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38、因乙方全部责任或主要责任而导致发生安全生产事故的，其经济损失由乙方全部承担，并由乙方具体负责事故的善后处理工作。</w:t>
      </w:r>
    </w:p>
    <w:p w14:paraId="54CD59E6">
      <w:pPr>
        <w:tabs>
          <w:tab w:val="left" w:pos="540"/>
          <w:tab w:val="left" w:pos="900"/>
        </w:tabs>
        <w:spacing w:before="50" w:after="50" w:line="500" w:lineRule="exact"/>
        <w:ind w:firstLine="495"/>
        <w:rPr>
          <w:rFonts w:hint="eastAsia" w:ascii="宋体" w:hAnsi="宋体" w:eastAsia="宋体" w:cs="宋体"/>
          <w:color w:val="auto"/>
          <w:szCs w:val="21"/>
          <w:highlight w:val="none"/>
        </w:rPr>
      </w:pPr>
      <w:r>
        <w:rPr>
          <w:rFonts w:hint="eastAsia" w:ascii="宋体" w:hAnsi="宋体" w:eastAsia="宋体" w:cs="宋体"/>
          <w:color w:val="auto"/>
          <w:szCs w:val="21"/>
          <w:highlight w:val="none"/>
        </w:rPr>
        <w:t>39、乙方必须服从其他法律法规要求应承担的安全责任。</w:t>
      </w:r>
    </w:p>
    <w:p w14:paraId="235240CB">
      <w:pPr>
        <w:spacing w:line="500" w:lineRule="exact"/>
        <w:ind w:firstLine="422" w:firstLineChars="200"/>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第七条  补充条款</w:t>
      </w:r>
      <w:r>
        <w:rPr>
          <w:rFonts w:hint="eastAsia" w:ascii="宋体" w:hAnsi="宋体" w:eastAsia="宋体" w:cs="宋体"/>
          <w:b/>
          <w:color w:val="auto"/>
          <w:szCs w:val="21"/>
          <w:highlight w:val="none"/>
        </w:rPr>
        <w:t xml:space="preserve">  </w:t>
      </w:r>
    </w:p>
    <w:p w14:paraId="2A4A963D">
      <w:pPr>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工期内，甲、乙双方均应加强安全教育，认真执行安全技术规范，严格遵守安全制度，落实安全措施，确保施工安全；加强现场管理，严格执行建设主管部门及环保、消防、环卫等有关部门对施工现场的管理规定，做到文明施工；乙方应承担由于自身责任造成的质量修改、返工、工期拖延、安全事故、现场脏乱造成的损失及各种罚款。</w:t>
      </w:r>
    </w:p>
    <w:p w14:paraId="40FD3013">
      <w:pPr>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2、施工过程中当乙方不执行或不按规定时间或期限执行甲方关于安全文明施工的指令，甲方有权雇用第三方代乙方执行，所发生的费用全部由乙方承担；</w:t>
      </w:r>
    </w:p>
    <w:p w14:paraId="09092B69">
      <w:pPr>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工期完成或因其它原因造成的退场，乙方应自己协调好所属施工人员的撤场问题，禁止发生围堵甲方或政府职能部门的办公场所；对存在的问题产生异议，由甲、乙双方管理层领导共同协商解决。否则，造成不良影响及后果，由乙方承担。</w:t>
      </w:r>
    </w:p>
    <w:p w14:paraId="5F2785DE">
      <w:pPr>
        <w:spacing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4、如因乙方原因造成项目出现本协议条款未提及的情况，而造成甲方经济损失、公司声誉受损、被集团通报批评的、被停工、被处罚的，甲方有权根据实际情况对乙方进行处罚。</w:t>
      </w:r>
    </w:p>
    <w:p w14:paraId="1DB00D09">
      <w:pPr>
        <w:spacing w:line="5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5、本协议中经济损失是指包括但不限于依据《工伤保险条例》规定赔付的各项工伤赔偿费用、处理事故善后事宜的相关费用、事故中损坏的各项设备设施及对第三方受害人的赔偿费用、政府部门的行政罚款、非责任方因事故停工的损失以及因停工导致的窝工损失等。</w:t>
      </w:r>
    </w:p>
    <w:p w14:paraId="02A957DB">
      <w:pPr>
        <w:spacing w:line="5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6、其他：</w:t>
      </w:r>
      <w:r>
        <w:rPr>
          <w:rFonts w:hint="eastAsia" w:ascii="宋体" w:hAnsi="宋体" w:eastAsia="宋体" w:cs="宋体"/>
          <w:color w:val="auto"/>
          <w:szCs w:val="21"/>
          <w:highlight w:val="none"/>
          <w:u w:val="single"/>
        </w:rPr>
        <w:t xml:space="preserve">      /      </w:t>
      </w:r>
    </w:p>
    <w:p w14:paraId="694C9813">
      <w:pPr>
        <w:tabs>
          <w:tab w:val="left" w:pos="360"/>
          <w:tab w:val="left" w:pos="540"/>
          <w:tab w:val="left" w:pos="900"/>
          <w:tab w:val="left" w:pos="1080"/>
        </w:tabs>
        <w:spacing w:before="50" w:after="50" w:line="5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7、本协议作为双方工程合同的补充，与工程合同具备同样法律效力，协议内容如有和国家、地方的有关法律法规规章不符者，按国家和地方的有关规定执行。</w:t>
      </w:r>
    </w:p>
    <w:p w14:paraId="00861C43">
      <w:pPr>
        <w:tabs>
          <w:tab w:val="left" w:pos="360"/>
          <w:tab w:val="left" w:pos="540"/>
          <w:tab w:val="left" w:pos="900"/>
          <w:tab w:val="left" w:pos="1080"/>
        </w:tabs>
        <w:spacing w:before="50" w:after="50"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8、本协议一经签订，双方必须共同遵守，施工现场发生施工人员伤亡事故时，本协议作为区分双方责任的主要文件，协议未阐明的事项，由双方按照法律法规的规定解决。</w:t>
      </w:r>
    </w:p>
    <w:p w14:paraId="718FF52B">
      <w:pPr>
        <w:tabs>
          <w:tab w:val="left" w:pos="360"/>
          <w:tab w:val="left" w:pos="540"/>
          <w:tab w:val="left" w:pos="900"/>
          <w:tab w:val="left" w:pos="1080"/>
        </w:tabs>
        <w:spacing w:before="50" w:after="50" w:line="500" w:lineRule="exact"/>
        <w:ind w:firstLine="420"/>
        <w:rPr>
          <w:rFonts w:hint="eastAsia" w:ascii="宋体" w:hAnsi="宋体" w:eastAsia="宋体" w:cs="宋体"/>
          <w:b/>
          <w:color w:val="auto"/>
          <w:szCs w:val="21"/>
          <w:highlight w:val="none"/>
          <w:lang w:eastAsia="zh-CN"/>
        </w:rPr>
      </w:pPr>
      <w:r>
        <w:rPr>
          <w:rFonts w:hint="eastAsia" w:ascii="宋体" w:hAnsi="宋体" w:eastAsia="宋体" w:cs="宋体"/>
          <w:color w:val="auto"/>
          <w:szCs w:val="21"/>
          <w:highlight w:val="none"/>
        </w:rPr>
        <w:t>9、本协议经双方单位盖章和负责人签字后生效，有效期自签订之日至合同任务结束。</w:t>
      </w:r>
      <w:r>
        <w:rPr>
          <w:rFonts w:hint="eastAsia" w:ascii="宋体" w:hAnsi="宋体" w:eastAsia="宋体" w:cs="宋体"/>
          <w:b/>
          <w:color w:val="auto"/>
          <w:szCs w:val="21"/>
          <w:highlight w:val="none"/>
        </w:rPr>
        <w:t>本协议一式</w:t>
      </w:r>
      <w:r>
        <w:rPr>
          <w:rFonts w:hint="eastAsia" w:ascii="宋体" w:hAnsi="宋体" w:eastAsia="宋体" w:cs="宋体"/>
          <w:b/>
          <w:color w:val="auto"/>
          <w:szCs w:val="21"/>
          <w:highlight w:val="none"/>
          <w:lang w:val="en-US" w:eastAsia="zh-CN"/>
        </w:rPr>
        <w:t>肆</w:t>
      </w:r>
      <w:r>
        <w:rPr>
          <w:rFonts w:hint="eastAsia" w:ascii="宋体" w:hAnsi="宋体" w:eastAsia="宋体" w:cs="宋体"/>
          <w:b/>
          <w:color w:val="auto"/>
          <w:szCs w:val="21"/>
          <w:highlight w:val="none"/>
        </w:rPr>
        <w:t>份，甲</w:t>
      </w:r>
      <w:r>
        <w:rPr>
          <w:rFonts w:hint="eastAsia" w:ascii="宋体" w:hAnsi="宋体" w:eastAsia="宋体" w:cs="宋体"/>
          <w:b/>
          <w:color w:val="auto"/>
          <w:szCs w:val="21"/>
          <w:highlight w:val="none"/>
          <w:lang w:val="en-US" w:eastAsia="zh-CN"/>
        </w:rPr>
        <w:t>执</w:t>
      </w:r>
      <w:r>
        <w:rPr>
          <w:rFonts w:hint="eastAsia" w:ascii="宋体" w:hAnsi="宋体" w:eastAsia="宋体" w:cs="宋体"/>
          <w:b/>
          <w:color w:val="auto"/>
          <w:szCs w:val="21"/>
          <w:highlight w:val="none"/>
        </w:rPr>
        <w:t>贰</w:t>
      </w:r>
      <w:r>
        <w:rPr>
          <w:rFonts w:hint="eastAsia" w:ascii="宋体" w:hAnsi="宋体" w:eastAsia="宋体" w:cs="宋体"/>
          <w:b/>
          <w:color w:val="auto"/>
          <w:szCs w:val="21"/>
          <w:highlight w:val="none"/>
          <w:lang w:val="en-US" w:eastAsia="zh-CN"/>
        </w:rPr>
        <w:t>份</w:t>
      </w:r>
      <w:r>
        <w:rPr>
          <w:rFonts w:hint="eastAsia" w:ascii="宋体" w:hAnsi="宋体" w:eastAsia="宋体" w:cs="宋体"/>
          <w:b/>
          <w:color w:val="auto"/>
          <w:szCs w:val="21"/>
          <w:highlight w:val="none"/>
        </w:rPr>
        <w:t>、乙执贰份</w:t>
      </w:r>
      <w:r>
        <w:rPr>
          <w:rFonts w:hint="eastAsia" w:ascii="宋体" w:hAnsi="宋体" w:eastAsia="宋体" w:cs="宋体"/>
          <w:b/>
          <w:color w:val="auto"/>
          <w:szCs w:val="21"/>
          <w:highlight w:val="none"/>
          <w:lang w:eastAsia="zh-CN"/>
        </w:rPr>
        <w:t>。</w:t>
      </w:r>
    </w:p>
    <w:p w14:paraId="1AD5AB64">
      <w:pPr>
        <w:tabs>
          <w:tab w:val="left" w:pos="360"/>
          <w:tab w:val="left" w:pos="540"/>
          <w:tab w:val="left" w:pos="900"/>
          <w:tab w:val="left" w:pos="1080"/>
        </w:tabs>
        <w:spacing w:before="50" w:after="50" w:line="500" w:lineRule="exact"/>
        <w:ind w:firstLine="420"/>
        <w:rPr>
          <w:rFonts w:hint="eastAsia" w:ascii="宋体" w:hAnsi="宋体" w:eastAsia="宋体" w:cs="宋体"/>
          <w:b/>
          <w:color w:val="auto"/>
          <w:szCs w:val="21"/>
          <w:highlight w:val="none"/>
        </w:rPr>
      </w:pPr>
    </w:p>
    <w:p w14:paraId="2F3FEDD2">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 方：（签章）                           乙 方：（签章）</w:t>
      </w:r>
    </w:p>
    <w:p w14:paraId="7DF58DEC">
      <w:pPr>
        <w:ind w:firstLine="525" w:firstLineChars="250"/>
        <w:rPr>
          <w:rFonts w:hint="eastAsia" w:ascii="宋体" w:hAnsi="宋体" w:eastAsia="宋体" w:cs="宋体"/>
          <w:color w:val="auto"/>
          <w:szCs w:val="21"/>
          <w:highlight w:val="none"/>
        </w:rPr>
      </w:pPr>
    </w:p>
    <w:p w14:paraId="487E586F">
      <w:pPr>
        <w:ind w:firstLine="525" w:firstLineChars="250"/>
        <w:rPr>
          <w:rFonts w:hint="eastAsia" w:ascii="宋体" w:hAnsi="宋体" w:eastAsia="宋体" w:cs="宋体"/>
          <w:color w:val="auto"/>
          <w:szCs w:val="21"/>
          <w:highlight w:val="none"/>
        </w:rPr>
      </w:pPr>
    </w:p>
    <w:p w14:paraId="45105D5F">
      <w:pP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法定代表人（或授权代表）：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法定代表人（或授权代表）：</w:t>
      </w:r>
      <w:r>
        <w:rPr>
          <w:rFonts w:hint="eastAsia" w:ascii="宋体" w:hAnsi="宋体" w:eastAsia="宋体" w:cs="宋体"/>
          <w:color w:val="auto"/>
          <w:szCs w:val="21"/>
          <w:highlight w:val="none"/>
          <w:u w:val="single"/>
        </w:rPr>
        <w:t xml:space="preserve">             </w:t>
      </w:r>
    </w:p>
    <w:p w14:paraId="7DA88A13">
      <w:pPr>
        <w:rPr>
          <w:rFonts w:hint="eastAsia" w:ascii="宋体" w:hAnsi="宋体" w:eastAsia="宋体" w:cs="宋体"/>
          <w:color w:val="auto"/>
          <w:szCs w:val="21"/>
          <w:highlight w:val="none"/>
        </w:rPr>
      </w:pPr>
    </w:p>
    <w:p w14:paraId="5EC425FD">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年   月  日                                 年   月  日</w:t>
      </w:r>
    </w:p>
    <w:p w14:paraId="589D9539">
      <w:pPr>
        <w:spacing w:line="480" w:lineRule="exact"/>
        <w:rPr>
          <w:rFonts w:hint="eastAsia" w:ascii="宋体" w:hAnsi="宋体" w:eastAsia="宋体" w:cs="宋体"/>
          <w:color w:val="auto"/>
          <w:szCs w:val="21"/>
          <w:highlight w:val="none"/>
        </w:rPr>
      </w:pPr>
    </w:p>
    <w:p w14:paraId="3E3175AE">
      <w:pPr>
        <w:spacing w:line="480" w:lineRule="exact"/>
        <w:rPr>
          <w:rFonts w:hint="eastAsia" w:ascii="宋体" w:hAnsi="宋体" w:eastAsia="宋体" w:cs="宋体"/>
          <w:color w:val="auto"/>
          <w:szCs w:val="21"/>
          <w:highlight w:val="none"/>
        </w:rPr>
      </w:pPr>
    </w:p>
    <w:p w14:paraId="7A4F1871">
      <w:pP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br w:type="page"/>
      </w:r>
      <w:r>
        <w:rPr>
          <w:rFonts w:hint="eastAsia" w:ascii="宋体" w:hAnsi="宋体" w:eastAsia="宋体" w:cs="宋体"/>
          <w:color w:val="auto"/>
          <w:sz w:val="22"/>
          <w:szCs w:val="22"/>
          <w:highlight w:val="none"/>
        </w:rPr>
        <w:t>附件五、劳务专业分包绿色施工安全防护措施费工作内容</w:t>
      </w:r>
    </w:p>
    <w:tbl>
      <w:tblPr>
        <w:tblStyle w:val="9"/>
        <w:tblW w:w="9389" w:type="dxa"/>
        <w:tblInd w:w="0" w:type="dxa"/>
        <w:tblLayout w:type="fixed"/>
        <w:tblCellMar>
          <w:top w:w="0" w:type="dxa"/>
          <w:left w:w="0" w:type="dxa"/>
          <w:bottom w:w="0" w:type="dxa"/>
          <w:right w:w="0" w:type="dxa"/>
        </w:tblCellMar>
      </w:tblPr>
      <w:tblGrid>
        <w:gridCol w:w="422"/>
        <w:gridCol w:w="296"/>
        <w:gridCol w:w="1301"/>
        <w:gridCol w:w="7370"/>
      </w:tblGrid>
      <w:tr w14:paraId="1626D308">
        <w:tblPrEx>
          <w:tblCellMar>
            <w:top w:w="0" w:type="dxa"/>
            <w:left w:w="0" w:type="dxa"/>
            <w:bottom w:w="0" w:type="dxa"/>
            <w:right w:w="0" w:type="dxa"/>
          </w:tblCellMar>
        </w:tblPrEx>
        <w:trPr>
          <w:trHeight w:val="540" w:hRule="atLeast"/>
        </w:trPr>
        <w:tc>
          <w:tcPr>
            <w:tcW w:w="9389" w:type="dxa"/>
            <w:gridSpan w:val="4"/>
            <w:tcBorders>
              <w:top w:val="nil"/>
              <w:left w:val="nil"/>
              <w:bottom w:val="nil"/>
              <w:right w:val="nil"/>
            </w:tcBorders>
            <w:noWrap w:val="0"/>
            <w:tcMar>
              <w:top w:w="15" w:type="dxa"/>
              <w:left w:w="15" w:type="dxa"/>
              <w:right w:w="15" w:type="dxa"/>
            </w:tcMar>
            <w:vAlign w:val="center"/>
          </w:tcPr>
          <w:p w14:paraId="1119EDA4">
            <w:pPr>
              <w:widowControl/>
              <w:jc w:val="center"/>
              <w:textAlignment w:val="center"/>
              <w:rPr>
                <w:rFonts w:hint="eastAsia" w:ascii="宋体" w:hAnsi="宋体" w:eastAsia="宋体" w:cs="宋体"/>
                <w:b/>
                <w:color w:val="auto"/>
                <w:sz w:val="32"/>
                <w:szCs w:val="32"/>
                <w:highlight w:val="none"/>
              </w:rPr>
            </w:pPr>
            <w:r>
              <w:rPr>
                <w:rFonts w:hint="eastAsia" w:ascii="宋体" w:hAnsi="宋体" w:eastAsia="宋体" w:cs="宋体"/>
                <w:b/>
                <w:color w:val="auto"/>
                <w:kern w:val="0"/>
                <w:sz w:val="32"/>
                <w:szCs w:val="32"/>
                <w:highlight w:val="none"/>
                <w:lang w:bidi="ar"/>
              </w:rPr>
              <w:t>土建劳务分包绿色施工安全防护措施费工作内容（单标段）</w:t>
            </w:r>
          </w:p>
        </w:tc>
      </w:tr>
      <w:tr w14:paraId="5CDD8772">
        <w:tblPrEx>
          <w:tblCellMar>
            <w:top w:w="0" w:type="dxa"/>
            <w:left w:w="0" w:type="dxa"/>
            <w:bottom w:w="0" w:type="dxa"/>
            <w:right w:w="0" w:type="dxa"/>
          </w:tblCellMar>
        </w:tblPrEx>
        <w:trPr>
          <w:trHeight w:val="580" w:hRule="atLeast"/>
        </w:trPr>
        <w:tc>
          <w:tcPr>
            <w:tcW w:w="4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BDF68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类别</w:t>
            </w:r>
          </w:p>
        </w:tc>
        <w:tc>
          <w:tcPr>
            <w:tcW w:w="15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E892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项目名称</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F70E7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具体要求</w:t>
            </w:r>
          </w:p>
        </w:tc>
      </w:tr>
      <w:tr w14:paraId="3CB53039">
        <w:tblPrEx>
          <w:tblCellMar>
            <w:top w:w="0" w:type="dxa"/>
            <w:left w:w="0" w:type="dxa"/>
            <w:bottom w:w="0" w:type="dxa"/>
            <w:right w:w="0" w:type="dxa"/>
          </w:tblCellMar>
        </w:tblPrEx>
        <w:trPr>
          <w:trHeight w:val="580" w:hRule="atLeast"/>
        </w:trPr>
        <w:tc>
          <w:tcPr>
            <w:tcW w:w="422"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ED44F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范围</w:t>
            </w:r>
          </w:p>
        </w:tc>
        <w:tc>
          <w:tcPr>
            <w:tcW w:w="15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53DE0E">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空间范围</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68359E">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红线范围内全部绿色施工安全防护相关工作。</w:t>
            </w:r>
          </w:p>
        </w:tc>
      </w:tr>
      <w:tr w14:paraId="25B6C3A4">
        <w:tblPrEx>
          <w:tblCellMar>
            <w:top w:w="0" w:type="dxa"/>
            <w:left w:w="0" w:type="dxa"/>
            <w:bottom w:w="0" w:type="dxa"/>
            <w:right w:w="0" w:type="dxa"/>
          </w:tblCellMar>
        </w:tblPrEx>
        <w:trPr>
          <w:trHeight w:val="580" w:hRule="atLeast"/>
        </w:trPr>
        <w:tc>
          <w:tcPr>
            <w:tcW w:w="422"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652CF2">
            <w:pPr>
              <w:jc w:val="center"/>
              <w:rPr>
                <w:rFonts w:hint="eastAsia" w:ascii="宋体" w:hAnsi="宋体" w:eastAsia="宋体" w:cs="宋体"/>
                <w:color w:val="auto"/>
                <w:sz w:val="20"/>
                <w:szCs w:val="20"/>
                <w:highlight w:val="none"/>
              </w:rPr>
            </w:pPr>
          </w:p>
        </w:tc>
        <w:tc>
          <w:tcPr>
            <w:tcW w:w="15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0B840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时间要求</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D8105F">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劳务分包已完绿色施工安全防护措施项目应满足总包及其他分包使用需求，直至工程竣工验收，不因劳务退场或完工而拆除。</w:t>
            </w:r>
          </w:p>
        </w:tc>
      </w:tr>
      <w:tr w14:paraId="6F35D6E0">
        <w:tblPrEx>
          <w:tblCellMar>
            <w:top w:w="0" w:type="dxa"/>
            <w:left w:w="0" w:type="dxa"/>
            <w:bottom w:w="0" w:type="dxa"/>
            <w:right w:w="0" w:type="dxa"/>
          </w:tblCellMar>
        </w:tblPrEx>
        <w:trPr>
          <w:trHeight w:val="285"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1ECC64">
            <w:pPr>
              <w:jc w:val="center"/>
              <w:rPr>
                <w:rFonts w:hint="eastAsia" w:ascii="宋体" w:hAnsi="宋体" w:eastAsia="宋体" w:cs="宋体"/>
                <w:color w:val="auto"/>
                <w:sz w:val="20"/>
                <w:szCs w:val="20"/>
                <w:highlight w:val="none"/>
              </w:rPr>
            </w:pPr>
          </w:p>
        </w:tc>
        <w:tc>
          <w:tcPr>
            <w:tcW w:w="1597" w:type="dxa"/>
            <w:gridSpan w:val="2"/>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53FC8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材料堆放区</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6164B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1.砂石堆填区：专用、砌筑分离、硬化且有标识；</w:t>
            </w:r>
          </w:p>
        </w:tc>
      </w:tr>
      <w:tr w14:paraId="1797FCED">
        <w:tblPrEx>
          <w:tblCellMar>
            <w:top w:w="0" w:type="dxa"/>
            <w:left w:w="0" w:type="dxa"/>
            <w:bottom w:w="0" w:type="dxa"/>
            <w:right w:w="0" w:type="dxa"/>
          </w:tblCellMar>
        </w:tblPrEx>
        <w:trPr>
          <w:trHeight w:val="57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671DB3">
            <w:pPr>
              <w:jc w:val="center"/>
              <w:rPr>
                <w:rFonts w:hint="eastAsia" w:ascii="宋体" w:hAnsi="宋体" w:eastAsia="宋体" w:cs="宋体"/>
                <w:color w:val="auto"/>
                <w:sz w:val="20"/>
                <w:szCs w:val="20"/>
                <w:highlight w:val="none"/>
              </w:rPr>
            </w:pPr>
          </w:p>
        </w:tc>
        <w:tc>
          <w:tcPr>
            <w:tcW w:w="1597" w:type="dxa"/>
            <w:gridSpan w:val="2"/>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4AAE66">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67F44F">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2.模板堆放区：分类、规整并且要求有良好排水措施，模板堆放高度要求符合规范要求，并设置有效的防火器材；</w:t>
            </w:r>
          </w:p>
        </w:tc>
      </w:tr>
      <w:tr w14:paraId="5A059106">
        <w:tblPrEx>
          <w:tblCellMar>
            <w:top w:w="0" w:type="dxa"/>
            <w:left w:w="0" w:type="dxa"/>
            <w:bottom w:w="0" w:type="dxa"/>
            <w:right w:w="0" w:type="dxa"/>
          </w:tblCellMar>
        </w:tblPrEx>
        <w:trPr>
          <w:trHeight w:val="285"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7615AA">
            <w:pPr>
              <w:jc w:val="center"/>
              <w:rPr>
                <w:rFonts w:hint="eastAsia" w:ascii="宋体" w:hAnsi="宋体" w:eastAsia="宋体" w:cs="宋体"/>
                <w:color w:val="auto"/>
                <w:sz w:val="20"/>
                <w:szCs w:val="20"/>
                <w:highlight w:val="none"/>
              </w:rPr>
            </w:pPr>
          </w:p>
        </w:tc>
        <w:tc>
          <w:tcPr>
            <w:tcW w:w="1597" w:type="dxa"/>
            <w:gridSpan w:val="2"/>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502624">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CC57BF">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3.砌块堆放区：设加气块堆场防护棚，砌块堆放要求整齐、标识、地下有铺垫。</w:t>
            </w:r>
          </w:p>
        </w:tc>
      </w:tr>
      <w:tr w14:paraId="7E5E2974">
        <w:tblPrEx>
          <w:tblCellMar>
            <w:top w:w="0" w:type="dxa"/>
            <w:left w:w="0" w:type="dxa"/>
            <w:bottom w:w="0" w:type="dxa"/>
            <w:right w:w="0" w:type="dxa"/>
          </w:tblCellMar>
        </w:tblPrEx>
        <w:trPr>
          <w:trHeight w:val="285"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497094">
            <w:pPr>
              <w:jc w:val="center"/>
              <w:rPr>
                <w:rFonts w:hint="eastAsia" w:ascii="宋体" w:hAnsi="宋体" w:eastAsia="宋体" w:cs="宋体"/>
                <w:color w:val="auto"/>
                <w:sz w:val="20"/>
                <w:szCs w:val="20"/>
                <w:highlight w:val="none"/>
              </w:rPr>
            </w:pPr>
          </w:p>
        </w:tc>
        <w:tc>
          <w:tcPr>
            <w:tcW w:w="1597" w:type="dxa"/>
            <w:gridSpan w:val="2"/>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6B16B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其他</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11FF0E">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1.劳务单位负责现场裸土覆盖。</w:t>
            </w:r>
          </w:p>
        </w:tc>
      </w:tr>
      <w:tr w14:paraId="348E0F53">
        <w:tblPrEx>
          <w:tblCellMar>
            <w:top w:w="0" w:type="dxa"/>
            <w:left w:w="0" w:type="dxa"/>
            <w:bottom w:w="0" w:type="dxa"/>
            <w:right w:w="0" w:type="dxa"/>
          </w:tblCellMar>
        </w:tblPrEx>
        <w:trPr>
          <w:trHeight w:val="285"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E84D94">
            <w:pPr>
              <w:jc w:val="center"/>
              <w:rPr>
                <w:rFonts w:hint="eastAsia" w:ascii="宋体" w:hAnsi="宋体" w:eastAsia="宋体" w:cs="宋体"/>
                <w:color w:val="auto"/>
                <w:sz w:val="20"/>
                <w:szCs w:val="20"/>
                <w:highlight w:val="none"/>
              </w:rPr>
            </w:pPr>
          </w:p>
        </w:tc>
        <w:tc>
          <w:tcPr>
            <w:tcW w:w="1597" w:type="dxa"/>
            <w:gridSpan w:val="2"/>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4B17FF">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A98A69">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2.临时道路及出入口保洁、洒水车道路清洗。</w:t>
            </w:r>
          </w:p>
        </w:tc>
      </w:tr>
      <w:tr w14:paraId="47E26C0F">
        <w:tblPrEx>
          <w:tblCellMar>
            <w:top w:w="0" w:type="dxa"/>
            <w:left w:w="0" w:type="dxa"/>
            <w:bottom w:w="0" w:type="dxa"/>
            <w:right w:w="0" w:type="dxa"/>
          </w:tblCellMar>
        </w:tblPrEx>
        <w:trPr>
          <w:trHeight w:val="285"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03AB3F">
            <w:pPr>
              <w:jc w:val="center"/>
              <w:rPr>
                <w:rFonts w:hint="eastAsia" w:ascii="宋体" w:hAnsi="宋体" w:eastAsia="宋体" w:cs="宋体"/>
                <w:color w:val="auto"/>
                <w:sz w:val="20"/>
                <w:szCs w:val="20"/>
                <w:highlight w:val="none"/>
              </w:rPr>
            </w:pPr>
          </w:p>
        </w:tc>
        <w:tc>
          <w:tcPr>
            <w:tcW w:w="1597" w:type="dxa"/>
            <w:gridSpan w:val="2"/>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4B8445">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B76DFC">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3.生活区、办公区保洁。</w:t>
            </w:r>
          </w:p>
        </w:tc>
      </w:tr>
      <w:tr w14:paraId="17B4F885">
        <w:tblPrEx>
          <w:tblCellMar>
            <w:top w:w="0" w:type="dxa"/>
            <w:left w:w="0" w:type="dxa"/>
            <w:bottom w:w="0" w:type="dxa"/>
            <w:right w:w="0" w:type="dxa"/>
          </w:tblCellMar>
        </w:tblPrEx>
        <w:trPr>
          <w:trHeight w:val="285"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E30061">
            <w:pPr>
              <w:jc w:val="center"/>
              <w:rPr>
                <w:rFonts w:hint="eastAsia" w:ascii="宋体" w:hAnsi="宋体" w:eastAsia="宋体" w:cs="宋体"/>
                <w:color w:val="auto"/>
                <w:sz w:val="20"/>
                <w:szCs w:val="20"/>
                <w:highlight w:val="none"/>
              </w:rPr>
            </w:pPr>
          </w:p>
        </w:tc>
        <w:tc>
          <w:tcPr>
            <w:tcW w:w="1597" w:type="dxa"/>
            <w:gridSpan w:val="2"/>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328F43">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098D19">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4.工完场清，施工垃圾、生活垃圾应分类存置于闭式垃圾站。现场建筑垃圾集中外运。</w:t>
            </w:r>
          </w:p>
        </w:tc>
      </w:tr>
      <w:tr w14:paraId="4BC02D96">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C2979E">
            <w:pPr>
              <w:jc w:val="center"/>
              <w:rPr>
                <w:rFonts w:hint="eastAsia" w:ascii="宋体" w:hAnsi="宋体" w:eastAsia="宋体" w:cs="宋体"/>
                <w:color w:val="auto"/>
                <w:sz w:val="20"/>
                <w:szCs w:val="20"/>
                <w:highlight w:val="none"/>
              </w:rPr>
            </w:pPr>
          </w:p>
        </w:tc>
        <w:tc>
          <w:tcPr>
            <w:tcW w:w="296" w:type="dxa"/>
            <w:vMerge w:val="restart"/>
            <w:tcBorders>
              <w:top w:val="nil"/>
              <w:left w:val="single" w:color="000000" w:sz="4" w:space="0"/>
              <w:right w:val="single" w:color="000000" w:sz="4" w:space="0"/>
            </w:tcBorders>
            <w:noWrap w:val="0"/>
            <w:tcMar>
              <w:top w:w="15" w:type="dxa"/>
              <w:left w:w="15" w:type="dxa"/>
              <w:right w:w="15" w:type="dxa"/>
            </w:tcMar>
            <w:vAlign w:val="center"/>
          </w:tcPr>
          <w:p w14:paraId="07635C49">
            <w:pPr>
              <w:jc w:val="center"/>
              <w:rPr>
                <w:rFonts w:hint="eastAsia" w:ascii="宋体" w:hAnsi="宋体" w:eastAsia="宋体" w:cs="宋体"/>
                <w:color w:val="auto"/>
                <w:sz w:val="20"/>
                <w:szCs w:val="20"/>
                <w:highlight w:val="none"/>
              </w:rPr>
            </w:pPr>
          </w:p>
        </w:tc>
        <w:tc>
          <w:tcPr>
            <w:tcW w:w="13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4D32E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高空作业防护</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30A3D4">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有悬挂安全带的悬索或其他设施；有操作平台；有上下的梯子或其他形式的通道。</w:t>
            </w:r>
          </w:p>
        </w:tc>
      </w:tr>
      <w:tr w14:paraId="2BCCB4BB">
        <w:tblPrEx>
          <w:tblCellMar>
            <w:top w:w="0" w:type="dxa"/>
            <w:left w:w="0" w:type="dxa"/>
            <w:bottom w:w="0" w:type="dxa"/>
            <w:right w:w="0" w:type="dxa"/>
          </w:tblCellMar>
        </w:tblPrEx>
        <w:trPr>
          <w:trHeight w:val="72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78F063">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F84E68C">
            <w:pPr>
              <w:jc w:val="center"/>
              <w:rPr>
                <w:rFonts w:hint="eastAsia" w:ascii="宋体" w:hAnsi="宋体" w:eastAsia="宋体" w:cs="宋体"/>
                <w:color w:val="auto"/>
                <w:sz w:val="20"/>
                <w:szCs w:val="20"/>
                <w:highlight w:val="none"/>
              </w:rPr>
            </w:pPr>
          </w:p>
        </w:tc>
        <w:tc>
          <w:tcPr>
            <w:tcW w:w="13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B53B2C">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临时施工用电</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32D12C">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乙方自行完成一级或二级配电箱后的施工用电。固定配电箱之后的用电工作及所需的设备、人工和全部材料（包括但不限于分配电箱、开关箱、电缆电线、照明灯具〈含LED灯〉），均由乙方自行负责，且无偿提供给总包方及总包方指定的其他分包方使用。</w:t>
            </w:r>
          </w:p>
        </w:tc>
      </w:tr>
      <w:tr w14:paraId="6FA96BCB">
        <w:tblPrEx>
          <w:tblCellMar>
            <w:top w:w="0" w:type="dxa"/>
            <w:left w:w="0" w:type="dxa"/>
            <w:bottom w:w="0" w:type="dxa"/>
            <w:right w:w="0" w:type="dxa"/>
          </w:tblCellMar>
        </w:tblPrEx>
        <w:trPr>
          <w:trHeight w:val="48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77B321">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52D2DC58">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507F87">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6F2B60">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2.临时用电家庭化，施工现场分配电箱采用工业连接器（插座），开关箱采用工业连接器（插头）与分配电箱连接。电箱顶部设防雨、防坠落措施。</w:t>
            </w:r>
          </w:p>
        </w:tc>
      </w:tr>
      <w:tr w14:paraId="5264A03D">
        <w:tblPrEx>
          <w:tblCellMar>
            <w:top w:w="0" w:type="dxa"/>
            <w:left w:w="0" w:type="dxa"/>
            <w:bottom w:w="0" w:type="dxa"/>
            <w:right w:w="0" w:type="dxa"/>
          </w:tblCellMar>
        </w:tblPrEx>
        <w:trPr>
          <w:trHeight w:val="72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080E2B">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479A78D8">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8DF631">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442281">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各种固定机械，三级配电箱必须有重复接地，接地应采用角钢，圆钢，圆钢的直经不小于12mm，不得采用螺纹钢，配电箱内必须清洁，各部件无损坏，配电箱必须有锁，有防雨措施，所以用电设置开关箱必须符合‘一机，一闸，一漏，一箱’标准。</w:t>
            </w:r>
          </w:p>
        </w:tc>
      </w:tr>
      <w:tr w14:paraId="66AD51AE">
        <w:tblPrEx>
          <w:tblCellMar>
            <w:top w:w="0" w:type="dxa"/>
            <w:left w:w="0" w:type="dxa"/>
            <w:bottom w:w="0" w:type="dxa"/>
            <w:right w:w="0" w:type="dxa"/>
          </w:tblCellMar>
        </w:tblPrEx>
        <w:trPr>
          <w:trHeight w:val="48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6EB643">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89B78A6">
            <w:pPr>
              <w:jc w:val="center"/>
              <w:rPr>
                <w:rFonts w:hint="eastAsia" w:ascii="宋体" w:hAnsi="宋体" w:eastAsia="宋体" w:cs="宋体"/>
                <w:color w:val="auto"/>
                <w:sz w:val="20"/>
                <w:szCs w:val="20"/>
                <w:highlight w:val="none"/>
              </w:rPr>
            </w:pPr>
          </w:p>
        </w:tc>
        <w:tc>
          <w:tcPr>
            <w:tcW w:w="13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09BF5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临时施工用水</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B52437">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1.固定水龙头之后的用水工作及所需的人工和全部材料，均由乙方自行负责，且无偿提供给总包方及总包方指定的其他分包方使用。2.楼面临时消防水措施布设。</w:t>
            </w:r>
          </w:p>
        </w:tc>
      </w:tr>
      <w:tr w14:paraId="195AFC7F">
        <w:tblPrEx>
          <w:tblCellMar>
            <w:top w:w="0" w:type="dxa"/>
            <w:left w:w="0" w:type="dxa"/>
            <w:bottom w:w="0" w:type="dxa"/>
            <w:right w:w="0" w:type="dxa"/>
          </w:tblCellMar>
        </w:tblPrEx>
        <w:trPr>
          <w:trHeight w:val="96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77D7C3">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2A869420">
            <w:pPr>
              <w:jc w:val="center"/>
              <w:rPr>
                <w:rFonts w:hint="eastAsia" w:ascii="宋体" w:hAnsi="宋体" w:eastAsia="宋体" w:cs="宋体"/>
                <w:color w:val="auto"/>
                <w:sz w:val="20"/>
                <w:szCs w:val="20"/>
                <w:highlight w:val="none"/>
              </w:rPr>
            </w:pPr>
          </w:p>
        </w:tc>
        <w:tc>
          <w:tcPr>
            <w:tcW w:w="13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ADFA6D">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安全生产防护、劳保用品</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F816D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施工安全生产防护、劳保用品（如：电焊面罩、安全帽、安全带、反光衣、绝缘手套、鞋、工作服等）均由乙方按总包方要求自行负责配置，费用自理。其中安全帽、反光衣、配电箱、安全带由乙方提供采购计划、总包方统一购买，费用乙方承担。（其中：安全帽，反光衣，安全带，开关箱等按采购人当批次实际采购单价价格为准）</w:t>
            </w:r>
          </w:p>
        </w:tc>
      </w:tr>
      <w:tr w14:paraId="3BF1CEA4">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FF4FB4">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5C55D4D9">
            <w:pPr>
              <w:jc w:val="center"/>
              <w:rPr>
                <w:rFonts w:hint="eastAsia" w:ascii="宋体" w:hAnsi="宋体" w:eastAsia="宋体" w:cs="宋体"/>
                <w:color w:val="auto"/>
                <w:sz w:val="20"/>
                <w:szCs w:val="20"/>
                <w:highlight w:val="none"/>
              </w:rPr>
            </w:pPr>
          </w:p>
        </w:tc>
        <w:tc>
          <w:tcPr>
            <w:tcW w:w="1301"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14:paraId="16DAA206">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脚手架配合</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7FA389">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1.脚手架底部采用砼垫平夯实，并支架支撑在钢底座或预制砼块，同时设置排水沟便于排水。</w:t>
            </w:r>
          </w:p>
        </w:tc>
      </w:tr>
      <w:tr w14:paraId="07CDB616">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0A5992">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2695D06A">
            <w:pPr>
              <w:jc w:val="center"/>
              <w:rPr>
                <w:rFonts w:hint="eastAsia" w:ascii="宋体" w:hAnsi="宋体" w:eastAsia="宋体" w:cs="宋体"/>
                <w:color w:val="auto"/>
                <w:sz w:val="20"/>
                <w:szCs w:val="20"/>
                <w:highlight w:val="none"/>
              </w:rPr>
            </w:pPr>
          </w:p>
        </w:tc>
        <w:tc>
          <w:tcPr>
            <w:tcW w:w="13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9F27E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塔吊、施工电梯配合</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AFB84E">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1.塔吊下部采用定型化围蔽做法，设置门锁及安全标识牌。</w:t>
            </w:r>
          </w:p>
        </w:tc>
      </w:tr>
      <w:tr w14:paraId="3C70D2EB">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E46269">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1E6FFD3B">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FEA071">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892834">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2.临时施工用电接驳到位（配电箱、电缆甲供）。</w:t>
            </w:r>
          </w:p>
        </w:tc>
      </w:tr>
      <w:tr w14:paraId="7401A537">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4D03A8">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7F31EBFC">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2874B3">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2EBE7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3.设置施工电梯出入安全防护门并上锁管理；</w:t>
            </w:r>
          </w:p>
        </w:tc>
      </w:tr>
      <w:tr w14:paraId="0253641C">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ED5693">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5402336D">
            <w:pPr>
              <w:jc w:val="center"/>
              <w:rPr>
                <w:rFonts w:hint="eastAsia" w:ascii="宋体" w:hAnsi="宋体" w:eastAsia="宋体" w:cs="宋体"/>
                <w:color w:val="auto"/>
                <w:sz w:val="20"/>
                <w:szCs w:val="20"/>
                <w:highlight w:val="none"/>
              </w:rPr>
            </w:pPr>
          </w:p>
        </w:tc>
        <w:tc>
          <w:tcPr>
            <w:tcW w:w="130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91B3C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其他</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950796">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1.使用定型化电焊机手推车并配灭火器材；各楼层设置灭火器；</w:t>
            </w:r>
          </w:p>
        </w:tc>
      </w:tr>
      <w:tr w14:paraId="5F7F7BF7">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210637">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23F40C5E">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4CB7A7">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8AF737">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2.施工现场砂轮需配备防火星罩；</w:t>
            </w:r>
          </w:p>
        </w:tc>
      </w:tr>
      <w:tr w14:paraId="62587599">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3E4CF4">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29C82FA7">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95B3EF">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BDC144">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3.安全警示标志牌、警戒线。</w:t>
            </w:r>
          </w:p>
        </w:tc>
      </w:tr>
      <w:tr w14:paraId="1DAC0F4A">
        <w:tblPrEx>
          <w:tblCellMar>
            <w:top w:w="0" w:type="dxa"/>
            <w:left w:w="0" w:type="dxa"/>
            <w:bottom w:w="0" w:type="dxa"/>
            <w:right w:w="0" w:type="dxa"/>
          </w:tblCellMar>
        </w:tblPrEx>
        <w:trPr>
          <w:trHeight w:val="48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F846D7">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47F84851">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3E6DD9">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65AEBD">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4.项目资料：包括不限于质检及安检等资料的编制及报送、技术支持及相关方案编制、专家送审等、协助项目部对外业务管理协调等。</w:t>
            </w:r>
          </w:p>
        </w:tc>
      </w:tr>
      <w:tr w14:paraId="50579501">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6D41CC">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74EBC357">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620F72">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E3463B">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5.配备安全员并维护乙方作业范围内的安全施工。</w:t>
            </w:r>
          </w:p>
        </w:tc>
      </w:tr>
      <w:tr w14:paraId="677F4CD2">
        <w:tblPrEx>
          <w:tblCellMar>
            <w:top w:w="0" w:type="dxa"/>
            <w:left w:w="0" w:type="dxa"/>
            <w:bottom w:w="0" w:type="dxa"/>
            <w:right w:w="0" w:type="dxa"/>
          </w:tblCellMar>
        </w:tblPrEx>
        <w:trPr>
          <w:trHeight w:val="57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53E65E">
            <w:pPr>
              <w:jc w:val="center"/>
              <w:rPr>
                <w:rFonts w:hint="eastAsia" w:ascii="宋体" w:hAnsi="宋体" w:eastAsia="宋体" w:cs="宋体"/>
                <w:color w:val="auto"/>
                <w:sz w:val="20"/>
                <w:szCs w:val="20"/>
                <w:highlight w:val="none"/>
              </w:rPr>
            </w:pPr>
          </w:p>
        </w:tc>
        <w:tc>
          <w:tcPr>
            <w:tcW w:w="29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2BE1DF72">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C6E664">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55ECB6">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6.施工现场保护零线的重复接地应不少于三处。脚手架、塔吊、施工电梯等金属结构，各类加工棚及电气设备间等安装防雷装置。</w:t>
            </w:r>
          </w:p>
        </w:tc>
      </w:tr>
      <w:tr w14:paraId="022B0D2F">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D81C79">
            <w:pPr>
              <w:jc w:val="center"/>
              <w:rPr>
                <w:rFonts w:hint="eastAsia" w:ascii="宋体" w:hAnsi="宋体" w:eastAsia="宋体" w:cs="宋体"/>
                <w:color w:val="auto"/>
                <w:sz w:val="20"/>
                <w:szCs w:val="20"/>
                <w:highlight w:val="none"/>
              </w:rPr>
            </w:pPr>
          </w:p>
        </w:tc>
        <w:tc>
          <w:tcPr>
            <w:tcW w:w="15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992429">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保健急救措施</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8AC315">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保健医药用品、急救用品，水上水下作业救生设备器具。</w:t>
            </w:r>
          </w:p>
        </w:tc>
      </w:tr>
      <w:tr w14:paraId="3A3F9E08">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6F8F9F">
            <w:pPr>
              <w:jc w:val="center"/>
              <w:rPr>
                <w:rFonts w:hint="eastAsia" w:ascii="宋体" w:hAnsi="宋体" w:eastAsia="宋体" w:cs="宋体"/>
                <w:color w:val="auto"/>
                <w:sz w:val="20"/>
                <w:szCs w:val="20"/>
                <w:highlight w:val="none"/>
              </w:rPr>
            </w:pPr>
          </w:p>
        </w:tc>
        <w:tc>
          <w:tcPr>
            <w:tcW w:w="15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2C94BA">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安全检测费用</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9A6F41">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提升架等安全防护设施的检测并确保合格。</w:t>
            </w:r>
          </w:p>
        </w:tc>
      </w:tr>
      <w:tr w14:paraId="66F72076">
        <w:tblPrEx>
          <w:tblCellMar>
            <w:top w:w="0" w:type="dxa"/>
            <w:left w:w="0" w:type="dxa"/>
            <w:bottom w:w="0" w:type="dxa"/>
            <w:right w:w="0" w:type="dxa"/>
          </w:tblCellMar>
        </w:tblPrEx>
        <w:trPr>
          <w:trHeight w:val="240" w:hRule="atLeast"/>
        </w:trPr>
        <w:tc>
          <w:tcPr>
            <w:tcW w:w="42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7A4498">
            <w:pPr>
              <w:jc w:val="center"/>
              <w:rPr>
                <w:rFonts w:hint="eastAsia" w:ascii="宋体" w:hAnsi="宋体" w:eastAsia="宋体" w:cs="宋体"/>
                <w:color w:val="auto"/>
                <w:sz w:val="20"/>
                <w:szCs w:val="20"/>
                <w:highlight w:val="none"/>
              </w:rPr>
            </w:pPr>
          </w:p>
        </w:tc>
        <w:tc>
          <w:tcPr>
            <w:tcW w:w="159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99BC0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施工机具防护</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8722E9">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物料提升机等施工机具的临时防雨、安全防护工棚。</w:t>
            </w:r>
          </w:p>
        </w:tc>
      </w:tr>
      <w:tr w14:paraId="0A0D5C42">
        <w:tblPrEx>
          <w:tblCellMar>
            <w:top w:w="0" w:type="dxa"/>
            <w:left w:w="0" w:type="dxa"/>
            <w:bottom w:w="0" w:type="dxa"/>
            <w:right w:w="0" w:type="dxa"/>
          </w:tblCellMar>
        </w:tblPrEx>
        <w:trPr>
          <w:trHeight w:val="1440" w:hRule="atLeast"/>
        </w:trPr>
        <w:tc>
          <w:tcPr>
            <w:tcW w:w="422" w:type="dxa"/>
            <w:vMerge w:val="restar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318D2F5">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绿色施工</w:t>
            </w:r>
          </w:p>
        </w:tc>
        <w:tc>
          <w:tcPr>
            <w:tcW w:w="29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87FA4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环境保护</w:t>
            </w:r>
          </w:p>
        </w:tc>
        <w:tc>
          <w:tcPr>
            <w:tcW w:w="1301" w:type="dxa"/>
            <w:vMerge w:val="restart"/>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137CB482">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扬尘控制</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57F5F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在施工作业区采取下列扬尘污染防治措施：（1)施工车辆出场时应当将车轮、车身清洗干净；（2)建筑土方开挖后尽快回填，不能及时回填的采取覆盖或者固化等措施；（3)工程渣土、建筑垃圾集中分类堆放，严密覆盖，宜在施工工地内设置封闭式垃圾站，严禁高空抛洒；（4)水泥、石灰粉、砂石、建筑土方等细散颗粒材料和易扬尘材料集中堆放并有覆盖措施；（5)四级及以上大风天气时，禁止进行土石方爆破施工或者回填土作业；（6)易产生扬尘的施工机械应当采取降尘防尘措施。</w:t>
            </w:r>
          </w:p>
        </w:tc>
      </w:tr>
      <w:tr w14:paraId="32236A57">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3A9782E6">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3C1062">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7BC61BEC">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ECE116">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2.（1）材料堆放（材料、构件、料具等堆放时，悬挂有名称、品种、规格等标牌；（2）易燃、易爆和有毒有害物品分类存放、现场防火（消防器材配置合理，符合消防要求）；</w:t>
            </w:r>
          </w:p>
        </w:tc>
      </w:tr>
      <w:tr w14:paraId="154C7ACC">
        <w:tblPrEx>
          <w:tblCellMar>
            <w:top w:w="0" w:type="dxa"/>
            <w:left w:w="0" w:type="dxa"/>
            <w:bottom w:w="0" w:type="dxa"/>
            <w:right w:w="0" w:type="dxa"/>
          </w:tblCellMar>
        </w:tblPrEx>
        <w:trPr>
          <w:trHeight w:val="72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3D08805">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F4C9C3">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28246F1A">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91202A">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建筑土方、建筑垃圾、工程渣土等散装物料以及灰浆等流体物料运输由具备相应资质的运输企业承担，运输车辆经车辆法定检测机构检测合格有效，运输作业时确保车辆封闭严密，不得超载、超高、超宽或者撒漏，且按规定的时间、路线等要求，清运到指定场所处理。</w:t>
            </w:r>
          </w:p>
        </w:tc>
      </w:tr>
      <w:tr w14:paraId="3D7E8870">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C5F1C56">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407F5D">
            <w:pPr>
              <w:jc w:val="center"/>
              <w:rPr>
                <w:rFonts w:hint="eastAsia" w:ascii="宋体" w:hAnsi="宋体" w:eastAsia="宋体" w:cs="宋体"/>
                <w:color w:val="auto"/>
                <w:sz w:val="20"/>
                <w:szCs w:val="20"/>
                <w:highlight w:val="none"/>
              </w:rPr>
            </w:pPr>
          </w:p>
        </w:tc>
        <w:tc>
          <w:tcPr>
            <w:tcW w:w="1301" w:type="dxa"/>
            <w:vMerge w:val="restar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0535ADD8">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噪音与振动控制</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DDCD71">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1.对施工现场场界噪声按现行国家标准《建筑施工场界环境噪声排放标准》（GB12523)的相关要求进行监测和记录，施工厂场界环境噪声排放昼间不超过70dB(A)，夜间不超过55dB(A)。</w:t>
            </w:r>
          </w:p>
        </w:tc>
      </w:tr>
      <w:tr w14:paraId="143BD853">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37DE2798">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BCB425">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09362008">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36B488">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3.施工现场使用低噪音、低振动的机具，对现场的电锯、电刨、搅拌机、固定式混凝土输送泵、大型空气压缩机等强噪声设备搭设封闭式机棚。</w:t>
            </w:r>
          </w:p>
        </w:tc>
      </w:tr>
      <w:tr w14:paraId="7F34E251">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23C4CF67">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5CDB7E">
            <w:pPr>
              <w:jc w:val="center"/>
              <w:rPr>
                <w:rFonts w:hint="eastAsia" w:ascii="宋体" w:hAnsi="宋体" w:eastAsia="宋体" w:cs="宋体"/>
                <w:color w:val="auto"/>
                <w:sz w:val="20"/>
                <w:szCs w:val="20"/>
                <w:highlight w:val="none"/>
              </w:rPr>
            </w:pPr>
          </w:p>
        </w:tc>
        <w:tc>
          <w:tcPr>
            <w:tcW w:w="1301" w:type="dxa"/>
            <w:vMerge w:val="restart"/>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548201C3">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光污染控制</w:t>
            </w:r>
          </w:p>
        </w:tc>
        <w:tc>
          <w:tcPr>
            <w:tcW w:w="73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A4086B">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1.夜间室外照明灯加设灯罩，光照方向集中在施工范围内。</w:t>
            </w:r>
          </w:p>
        </w:tc>
      </w:tr>
      <w:tr w14:paraId="1993089E">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06F7BED3">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A59F20">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122074B5">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F80641">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2.灯具选择以日光型为主，尽量减少射灯及石英灯的使用。</w:t>
            </w:r>
          </w:p>
        </w:tc>
      </w:tr>
      <w:tr w14:paraId="75A8F7F9">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4C2BF4CE">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02D6D1">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1FE5F7C4">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B86B12">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3.电焊作业采取遮挡措施，避免电焊弧光外泄。</w:t>
            </w:r>
          </w:p>
        </w:tc>
      </w:tr>
      <w:tr w14:paraId="6263E8EF">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78FC1353">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DC6CC8">
            <w:pPr>
              <w:jc w:val="center"/>
              <w:rPr>
                <w:rFonts w:hint="eastAsia" w:ascii="宋体" w:hAnsi="宋体" w:eastAsia="宋体" w:cs="宋体"/>
                <w:color w:val="auto"/>
                <w:sz w:val="20"/>
                <w:szCs w:val="20"/>
                <w:highlight w:val="none"/>
              </w:rPr>
            </w:pPr>
          </w:p>
        </w:tc>
        <w:tc>
          <w:tcPr>
            <w:tcW w:w="1301" w:type="dxa"/>
            <w:vMerge w:val="restart"/>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1AA2EFBB">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水污染控制</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F6A46D">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1.施工现场污水排放符合《污水排入城镇下水道水质标准》的有关要求。</w:t>
            </w:r>
          </w:p>
        </w:tc>
      </w:tr>
      <w:tr w14:paraId="4351F0C8">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73C7388A">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747504">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232D8CE">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F3B656">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2.在施工现场针对不同的污水，设置相应的处理设施，如隔油池、化粪池等，并做防渗处理及定期清洗，未经处理不得直接排入市政管道。</w:t>
            </w:r>
          </w:p>
        </w:tc>
      </w:tr>
      <w:tr w14:paraId="5DAD569A">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439E27C4">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8833F7">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74897DE4">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A0942E">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3.对于化学溶剂等有毒材料、油料的储存地，设专门库房，地面做防渗漏处理，同时做好渗漏液收集和处理。废弃的油料和化学溶剂集中处理，不随意倾倒。</w:t>
            </w:r>
          </w:p>
        </w:tc>
      </w:tr>
      <w:tr w14:paraId="5913167B">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6D0BCCA">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39F986">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4F762333">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7C534B">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4.易挥发、易污染的液态材料，使用密闭容器存放。</w:t>
            </w:r>
          </w:p>
        </w:tc>
      </w:tr>
      <w:tr w14:paraId="3FAC86F7">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0225AF52">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5F58D0">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437C862E">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D51110">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5.施工现场厕所定期清理。</w:t>
            </w:r>
          </w:p>
        </w:tc>
      </w:tr>
      <w:tr w14:paraId="3BB15BC8">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75368AC7">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B0981A">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7703AC52">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F943B0">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6.施工现场雨水、污水分开排放、收集。</w:t>
            </w:r>
          </w:p>
        </w:tc>
      </w:tr>
      <w:tr w14:paraId="4785747B">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5F3C0C00">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CD9155">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78E4F139">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0B44EF">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7.施工现场喷洒路面、绿化浇灌使用非市政自来水。</w:t>
            </w:r>
          </w:p>
        </w:tc>
      </w:tr>
      <w:tr w14:paraId="6DE9BE7F">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33E2982B">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600B70">
            <w:pPr>
              <w:jc w:val="center"/>
              <w:rPr>
                <w:rFonts w:hint="eastAsia" w:ascii="宋体" w:hAnsi="宋体" w:eastAsia="宋体" w:cs="宋体"/>
                <w:color w:val="auto"/>
                <w:sz w:val="20"/>
                <w:szCs w:val="20"/>
                <w:highlight w:val="none"/>
              </w:rPr>
            </w:pPr>
          </w:p>
        </w:tc>
        <w:tc>
          <w:tcPr>
            <w:tcW w:w="1301" w:type="dxa"/>
            <w:vMerge w:val="restart"/>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34C61224">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土壤保护</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E16A2E">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1.保护地表环境，采取设置地表排水系统、稳定斜坡、植被覆盖等措施，减少土壤流失。</w:t>
            </w:r>
          </w:p>
        </w:tc>
      </w:tr>
      <w:tr w14:paraId="6BDFDF91">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51971FD1">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07EB2A">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0577D728">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6B1BC6">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2.沉淀池、隔油池、化粪池等不发生堵塞、渗漏、溢出等现象，且及时清掏池内沉淀物，并委托有资质的单位清运。</w:t>
            </w:r>
          </w:p>
        </w:tc>
      </w:tr>
      <w:tr w14:paraId="24C51D0B">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1627AABA">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07DEE3">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619A6B17">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FE431E">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3.对于有毒有害废弃物如电池、墨盒、油漆、涂料等回收后，交有资质的单位处理，不能作为建筑垃圾外运，避免污染土壤和地下水。</w:t>
            </w:r>
          </w:p>
        </w:tc>
      </w:tr>
      <w:tr w14:paraId="12358452">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018AFAC8">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3A1E0B">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5ACF7BA0">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39B5D1">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4.施工现场使用机油、黄油、柴油的设备或工艺工序，根据不同情况制定相应的防范措施。</w:t>
            </w:r>
          </w:p>
        </w:tc>
      </w:tr>
      <w:tr w14:paraId="27202830">
        <w:tblPrEx>
          <w:tblCellMar>
            <w:top w:w="0" w:type="dxa"/>
            <w:left w:w="0" w:type="dxa"/>
            <w:bottom w:w="0" w:type="dxa"/>
            <w:right w:w="0" w:type="dxa"/>
          </w:tblCellMar>
        </w:tblPrEx>
        <w:trPr>
          <w:trHeight w:val="72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5B8B2EE4">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B2AE7D">
            <w:pPr>
              <w:jc w:val="center"/>
              <w:rPr>
                <w:rFonts w:hint="eastAsia" w:ascii="宋体" w:hAnsi="宋体" w:eastAsia="宋体" w:cs="宋体"/>
                <w:color w:val="auto"/>
                <w:sz w:val="20"/>
                <w:szCs w:val="20"/>
                <w:highlight w:val="none"/>
              </w:rPr>
            </w:pPr>
          </w:p>
        </w:tc>
        <w:tc>
          <w:tcPr>
            <w:tcW w:w="1301" w:type="dxa"/>
            <w:vMerge w:val="restar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35E7A687">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建筑垃圾控制</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710771">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1.建筑垃圾的回收利用符合现行国家标准《工程施工废弃物再生利用技术规范》GB/T50743的规定。建筑垃圾的回收及再利用情况及时分析，并将结果公示，发现与目标值偏差较大时，及时采取纠正措施。</w:t>
            </w:r>
          </w:p>
        </w:tc>
      </w:tr>
      <w:tr w14:paraId="3C803292">
        <w:tblPrEx>
          <w:tblCellMar>
            <w:top w:w="0" w:type="dxa"/>
            <w:left w:w="0" w:type="dxa"/>
            <w:bottom w:w="0" w:type="dxa"/>
            <w:right w:w="0" w:type="dxa"/>
          </w:tblCellMar>
        </w:tblPrEx>
        <w:trPr>
          <w:trHeight w:val="72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19AC8303">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0EE967">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140C29A7">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E75C81">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2.施工现场生活区设置封闭式垃圾容器，施工场地生活垃圾实行袋装化，及时清运。对建筑垃圾进行分类，并收集到现场围蔽式垃圾站。生活区、办公区垃圾不与建筑垃圾混合运输、消纳。</w:t>
            </w:r>
          </w:p>
        </w:tc>
      </w:tr>
      <w:tr w14:paraId="572F05CA">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12DFCADF">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749057">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01891788">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368F3B">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3.有毒有害废弃物的分类达到100%;对有可能造成二次污染的废弃物单独储存，并设置醒目标识。</w:t>
            </w:r>
          </w:p>
        </w:tc>
      </w:tr>
      <w:tr w14:paraId="23EA0931">
        <w:tblPrEx>
          <w:tblCellMar>
            <w:top w:w="0" w:type="dxa"/>
            <w:left w:w="0" w:type="dxa"/>
            <w:bottom w:w="0" w:type="dxa"/>
            <w:right w:w="0" w:type="dxa"/>
          </w:tblCellMar>
        </w:tblPrEx>
        <w:trPr>
          <w:trHeight w:val="72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19B8DC18">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FD8AC">
            <w:pPr>
              <w:jc w:val="center"/>
              <w:rPr>
                <w:rFonts w:hint="eastAsia" w:ascii="宋体" w:hAnsi="宋体" w:eastAsia="宋体" w:cs="宋体"/>
                <w:color w:val="auto"/>
                <w:sz w:val="20"/>
                <w:szCs w:val="20"/>
                <w:highlight w:val="none"/>
              </w:rPr>
            </w:pPr>
          </w:p>
        </w:tc>
        <w:tc>
          <w:tcPr>
            <w:tcW w:w="1301" w:type="dxa"/>
            <w:vMerge w:val="restar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7521CAAF">
            <w:pPr>
              <w:widowControl/>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地下和周边设施、文物和资源保护</w:t>
            </w: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A82767">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1.施工前调査清楚地下及周边各种设施，制定专项施工方案，设置明显的、不易被破坏的施工现场管线保护标识，做好保护计划，保证施工场地地下及周边的各类管道、管线、建筑物、构筑物的安全运行。</w:t>
            </w:r>
          </w:p>
        </w:tc>
      </w:tr>
      <w:tr w14:paraId="1C4B9CC8">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6229AAC1">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6FD011">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1F832084">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F26163">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2.指定地下管线保护责任人并落实相关责任，做好地下管线安全保护技术交底，对可能损害地下管线的施工作业，采取跟班作业，现场指导。</w:t>
            </w:r>
          </w:p>
        </w:tc>
      </w:tr>
      <w:tr w14:paraId="505858FE">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260F2BD6">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C01BF6">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2A8508D4">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5EB403">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3.涉及油气等危险化学品、高压电缆、给水主管及大型排水箱涵等地下管线施工作业前，书面通知建设单位协调相关管线权属单位指派专人到现场监护和指导。</w:t>
            </w:r>
          </w:p>
        </w:tc>
      </w:tr>
      <w:tr w14:paraId="4EE4A462">
        <w:tblPrEx>
          <w:tblCellMar>
            <w:top w:w="0" w:type="dxa"/>
            <w:left w:w="0" w:type="dxa"/>
            <w:bottom w:w="0" w:type="dxa"/>
            <w:right w:w="0" w:type="dxa"/>
          </w:tblCellMar>
        </w:tblPrEx>
        <w:trPr>
          <w:trHeight w:val="48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525304D7">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D2D5DE">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63F83BA3">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480BE0">
            <w:pPr>
              <w:widowControl/>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4.施工过程中一旦发现文物古迹，立即停止施工，保护现场及通报文物部门并协助做好相关工作。</w:t>
            </w:r>
          </w:p>
        </w:tc>
      </w:tr>
      <w:tr w14:paraId="487788BF">
        <w:tblPrEx>
          <w:tblCellMar>
            <w:top w:w="0" w:type="dxa"/>
            <w:left w:w="0" w:type="dxa"/>
            <w:bottom w:w="0" w:type="dxa"/>
            <w:right w:w="0" w:type="dxa"/>
          </w:tblCellMar>
        </w:tblPrEx>
        <w:trPr>
          <w:trHeight w:val="240" w:hRule="atLeast"/>
        </w:trPr>
        <w:tc>
          <w:tcPr>
            <w:tcW w:w="422"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4106A227">
            <w:pPr>
              <w:jc w:val="center"/>
              <w:rPr>
                <w:rFonts w:hint="eastAsia" w:ascii="宋体" w:hAnsi="宋体" w:eastAsia="宋体" w:cs="宋体"/>
                <w:color w:val="auto"/>
                <w:sz w:val="20"/>
                <w:szCs w:val="20"/>
                <w:highlight w:val="none"/>
              </w:rPr>
            </w:pPr>
          </w:p>
        </w:tc>
        <w:tc>
          <w:tcPr>
            <w:tcW w:w="2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2C29FD">
            <w:pPr>
              <w:jc w:val="center"/>
              <w:rPr>
                <w:rFonts w:hint="eastAsia" w:ascii="宋体" w:hAnsi="宋体" w:eastAsia="宋体" w:cs="宋体"/>
                <w:color w:val="auto"/>
                <w:sz w:val="20"/>
                <w:szCs w:val="20"/>
                <w:highlight w:val="none"/>
              </w:rPr>
            </w:pPr>
          </w:p>
        </w:tc>
        <w:tc>
          <w:tcPr>
            <w:tcW w:w="1301" w:type="dxa"/>
            <w:vMerge w:val="continue"/>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23F0C9F4">
            <w:pPr>
              <w:jc w:val="center"/>
              <w:rPr>
                <w:rFonts w:hint="eastAsia" w:ascii="宋体" w:hAnsi="宋体" w:eastAsia="宋体" w:cs="宋体"/>
                <w:color w:val="auto"/>
                <w:sz w:val="20"/>
                <w:szCs w:val="20"/>
                <w:highlight w:val="none"/>
              </w:rPr>
            </w:pPr>
          </w:p>
        </w:tc>
        <w:tc>
          <w:tcPr>
            <w:tcW w:w="7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C81EBA">
            <w:pPr>
              <w:widowControl/>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5.避让、保护施工场区及周边的古树名木。</w:t>
            </w:r>
          </w:p>
        </w:tc>
      </w:tr>
    </w:tbl>
    <w:p w14:paraId="6FEE7BD5">
      <w:pPr>
        <w:rPr>
          <w:rFonts w:hint="eastAsia" w:ascii="宋体" w:hAnsi="宋体" w:eastAsia="宋体" w:cs="宋体"/>
          <w:color w:val="auto"/>
          <w:sz w:val="22"/>
          <w:szCs w:val="22"/>
          <w:highlight w:val="none"/>
        </w:rPr>
      </w:pPr>
    </w:p>
    <w:p w14:paraId="4852CA80">
      <w:pPr>
        <w:adjustRightInd w:val="0"/>
        <w:snapToGrid w:val="0"/>
        <w:spacing w:line="360" w:lineRule="auto"/>
        <w:rPr>
          <w:rFonts w:hint="eastAsia" w:ascii="宋体" w:hAnsi="宋体" w:eastAsia="宋体" w:cs="宋体"/>
          <w:color w:val="auto"/>
          <w:sz w:val="24"/>
          <w:highlight w:val="none"/>
        </w:rPr>
      </w:pPr>
    </w:p>
    <w:p w14:paraId="2870791D">
      <w:pPr>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2"/>
          <w:szCs w:val="22"/>
          <w:highlight w:val="none"/>
        </w:rPr>
        <w:t>附件六：乙方主要施工管理人员表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417"/>
        <w:gridCol w:w="1134"/>
        <w:gridCol w:w="3260"/>
      </w:tblGrid>
      <w:tr w14:paraId="59B40926">
        <w:tblPrEx>
          <w:tblCellMar>
            <w:top w:w="0" w:type="dxa"/>
            <w:left w:w="108" w:type="dxa"/>
            <w:bottom w:w="0" w:type="dxa"/>
            <w:right w:w="108" w:type="dxa"/>
          </w:tblCellMar>
        </w:tblPrEx>
        <w:trPr>
          <w:jc w:val="center"/>
        </w:trPr>
        <w:tc>
          <w:tcPr>
            <w:tcW w:w="2694" w:type="dxa"/>
            <w:noWrap w:val="0"/>
            <w:vAlign w:val="top"/>
          </w:tcPr>
          <w:p w14:paraId="0C18B9BE">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岗位类别</w:t>
            </w:r>
          </w:p>
        </w:tc>
        <w:tc>
          <w:tcPr>
            <w:tcW w:w="1417" w:type="dxa"/>
            <w:noWrap w:val="0"/>
            <w:vAlign w:val="top"/>
          </w:tcPr>
          <w:p w14:paraId="12717314">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姓名</w:t>
            </w:r>
          </w:p>
        </w:tc>
        <w:tc>
          <w:tcPr>
            <w:tcW w:w="1134" w:type="dxa"/>
            <w:noWrap w:val="0"/>
            <w:vAlign w:val="top"/>
          </w:tcPr>
          <w:p w14:paraId="11496004">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性别</w:t>
            </w:r>
          </w:p>
        </w:tc>
        <w:tc>
          <w:tcPr>
            <w:tcW w:w="3260" w:type="dxa"/>
            <w:noWrap w:val="0"/>
            <w:vAlign w:val="top"/>
          </w:tcPr>
          <w:p w14:paraId="3F80DBFB">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联系方式</w:t>
            </w:r>
          </w:p>
        </w:tc>
      </w:tr>
      <w:tr w14:paraId="7BD3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14:paraId="7EAA55E5">
            <w:pPr>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项目负责人/技术负责人</w:t>
            </w:r>
          </w:p>
        </w:tc>
        <w:tc>
          <w:tcPr>
            <w:tcW w:w="1417" w:type="dxa"/>
            <w:noWrap w:val="0"/>
            <w:vAlign w:val="top"/>
          </w:tcPr>
          <w:p w14:paraId="3A29B351">
            <w:pPr>
              <w:spacing w:line="360" w:lineRule="auto"/>
              <w:rPr>
                <w:rFonts w:hint="eastAsia" w:ascii="宋体" w:hAnsi="宋体" w:eastAsia="宋体" w:cs="宋体"/>
                <w:color w:val="auto"/>
                <w:sz w:val="22"/>
                <w:szCs w:val="22"/>
                <w:highlight w:val="none"/>
              </w:rPr>
            </w:pPr>
          </w:p>
        </w:tc>
        <w:tc>
          <w:tcPr>
            <w:tcW w:w="1134" w:type="dxa"/>
            <w:noWrap w:val="0"/>
            <w:vAlign w:val="top"/>
          </w:tcPr>
          <w:p w14:paraId="6A1B4074">
            <w:pPr>
              <w:spacing w:line="360" w:lineRule="auto"/>
              <w:rPr>
                <w:rFonts w:hint="eastAsia" w:ascii="宋体" w:hAnsi="宋体" w:eastAsia="宋体" w:cs="宋体"/>
                <w:color w:val="auto"/>
                <w:sz w:val="22"/>
                <w:szCs w:val="22"/>
                <w:highlight w:val="none"/>
              </w:rPr>
            </w:pPr>
          </w:p>
        </w:tc>
        <w:tc>
          <w:tcPr>
            <w:tcW w:w="3260" w:type="dxa"/>
            <w:noWrap w:val="0"/>
            <w:vAlign w:val="top"/>
          </w:tcPr>
          <w:p w14:paraId="5AB7EAD8">
            <w:pPr>
              <w:spacing w:line="360" w:lineRule="auto"/>
              <w:rPr>
                <w:rFonts w:hint="eastAsia" w:ascii="宋体" w:hAnsi="宋体" w:eastAsia="宋体" w:cs="宋体"/>
                <w:color w:val="auto"/>
                <w:sz w:val="22"/>
                <w:szCs w:val="22"/>
                <w:highlight w:val="none"/>
              </w:rPr>
            </w:pPr>
          </w:p>
        </w:tc>
      </w:tr>
      <w:tr w14:paraId="6FC7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14:paraId="31FB9CEA">
            <w:pPr>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合约负责人</w:t>
            </w:r>
          </w:p>
        </w:tc>
        <w:tc>
          <w:tcPr>
            <w:tcW w:w="1417" w:type="dxa"/>
            <w:noWrap w:val="0"/>
            <w:vAlign w:val="top"/>
          </w:tcPr>
          <w:p w14:paraId="50D1BFE4">
            <w:pPr>
              <w:spacing w:line="360" w:lineRule="auto"/>
              <w:rPr>
                <w:rFonts w:hint="eastAsia" w:ascii="宋体" w:hAnsi="宋体" w:eastAsia="宋体" w:cs="宋体"/>
                <w:color w:val="auto"/>
                <w:sz w:val="22"/>
                <w:szCs w:val="22"/>
                <w:highlight w:val="none"/>
              </w:rPr>
            </w:pPr>
          </w:p>
        </w:tc>
        <w:tc>
          <w:tcPr>
            <w:tcW w:w="1134" w:type="dxa"/>
            <w:noWrap w:val="0"/>
            <w:vAlign w:val="top"/>
          </w:tcPr>
          <w:p w14:paraId="71272FBA">
            <w:pPr>
              <w:spacing w:line="360" w:lineRule="auto"/>
              <w:rPr>
                <w:rFonts w:hint="eastAsia" w:ascii="宋体" w:hAnsi="宋体" w:eastAsia="宋体" w:cs="宋体"/>
                <w:color w:val="auto"/>
                <w:sz w:val="22"/>
                <w:szCs w:val="22"/>
                <w:highlight w:val="none"/>
              </w:rPr>
            </w:pPr>
          </w:p>
        </w:tc>
        <w:tc>
          <w:tcPr>
            <w:tcW w:w="3260" w:type="dxa"/>
            <w:noWrap w:val="0"/>
            <w:vAlign w:val="top"/>
          </w:tcPr>
          <w:p w14:paraId="377C8CF4">
            <w:pPr>
              <w:spacing w:line="360" w:lineRule="auto"/>
              <w:rPr>
                <w:rFonts w:hint="eastAsia" w:ascii="宋体" w:hAnsi="宋体" w:eastAsia="宋体" w:cs="宋体"/>
                <w:color w:val="auto"/>
                <w:sz w:val="22"/>
                <w:szCs w:val="22"/>
                <w:highlight w:val="none"/>
              </w:rPr>
            </w:pPr>
          </w:p>
        </w:tc>
      </w:tr>
      <w:tr w14:paraId="2CD4A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04DA65C7">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其他</w:t>
            </w:r>
          </w:p>
        </w:tc>
        <w:tc>
          <w:tcPr>
            <w:tcW w:w="1417" w:type="dxa"/>
            <w:noWrap w:val="0"/>
            <w:vAlign w:val="top"/>
          </w:tcPr>
          <w:p w14:paraId="1B6BDB9F">
            <w:pPr>
              <w:spacing w:line="360" w:lineRule="auto"/>
              <w:rPr>
                <w:rFonts w:hint="eastAsia" w:ascii="宋体" w:hAnsi="宋体" w:eastAsia="宋体" w:cs="宋体"/>
                <w:color w:val="auto"/>
                <w:sz w:val="22"/>
                <w:szCs w:val="22"/>
                <w:highlight w:val="none"/>
              </w:rPr>
            </w:pPr>
          </w:p>
        </w:tc>
        <w:tc>
          <w:tcPr>
            <w:tcW w:w="1134" w:type="dxa"/>
            <w:noWrap w:val="0"/>
            <w:vAlign w:val="top"/>
          </w:tcPr>
          <w:p w14:paraId="5ACE3F11">
            <w:pPr>
              <w:spacing w:line="360" w:lineRule="auto"/>
              <w:rPr>
                <w:rFonts w:hint="eastAsia" w:ascii="宋体" w:hAnsi="宋体" w:eastAsia="宋体" w:cs="宋体"/>
                <w:color w:val="auto"/>
                <w:sz w:val="22"/>
                <w:szCs w:val="22"/>
                <w:highlight w:val="none"/>
              </w:rPr>
            </w:pPr>
          </w:p>
        </w:tc>
        <w:tc>
          <w:tcPr>
            <w:tcW w:w="3260" w:type="dxa"/>
            <w:noWrap w:val="0"/>
            <w:vAlign w:val="top"/>
          </w:tcPr>
          <w:p w14:paraId="42673C09">
            <w:pPr>
              <w:spacing w:line="360" w:lineRule="auto"/>
              <w:rPr>
                <w:rFonts w:hint="eastAsia" w:ascii="宋体" w:hAnsi="宋体" w:eastAsia="宋体" w:cs="宋体"/>
                <w:color w:val="auto"/>
                <w:sz w:val="22"/>
                <w:szCs w:val="22"/>
                <w:highlight w:val="none"/>
              </w:rPr>
            </w:pPr>
          </w:p>
        </w:tc>
      </w:tr>
      <w:tr w14:paraId="2C2F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5C3EE6D6">
            <w:pPr>
              <w:spacing w:line="360" w:lineRule="auto"/>
              <w:rPr>
                <w:rFonts w:hint="eastAsia" w:ascii="宋体" w:hAnsi="宋体" w:eastAsia="宋体" w:cs="宋体"/>
                <w:color w:val="auto"/>
                <w:sz w:val="22"/>
                <w:szCs w:val="22"/>
                <w:highlight w:val="none"/>
              </w:rPr>
            </w:pPr>
          </w:p>
        </w:tc>
        <w:tc>
          <w:tcPr>
            <w:tcW w:w="1417" w:type="dxa"/>
            <w:noWrap w:val="0"/>
            <w:vAlign w:val="top"/>
          </w:tcPr>
          <w:p w14:paraId="6648D28E">
            <w:pPr>
              <w:spacing w:line="360" w:lineRule="auto"/>
              <w:rPr>
                <w:rFonts w:hint="eastAsia" w:ascii="宋体" w:hAnsi="宋体" w:eastAsia="宋体" w:cs="宋体"/>
                <w:color w:val="auto"/>
                <w:sz w:val="22"/>
                <w:szCs w:val="22"/>
                <w:highlight w:val="none"/>
              </w:rPr>
            </w:pPr>
          </w:p>
        </w:tc>
        <w:tc>
          <w:tcPr>
            <w:tcW w:w="1134" w:type="dxa"/>
            <w:noWrap w:val="0"/>
            <w:vAlign w:val="top"/>
          </w:tcPr>
          <w:p w14:paraId="2486ACAF">
            <w:pPr>
              <w:spacing w:line="360" w:lineRule="auto"/>
              <w:rPr>
                <w:rFonts w:hint="eastAsia" w:ascii="宋体" w:hAnsi="宋体" w:eastAsia="宋体" w:cs="宋体"/>
                <w:color w:val="auto"/>
                <w:sz w:val="22"/>
                <w:szCs w:val="22"/>
                <w:highlight w:val="none"/>
              </w:rPr>
            </w:pPr>
          </w:p>
        </w:tc>
        <w:tc>
          <w:tcPr>
            <w:tcW w:w="3260" w:type="dxa"/>
            <w:noWrap w:val="0"/>
            <w:vAlign w:val="top"/>
          </w:tcPr>
          <w:p w14:paraId="60BC9AFB">
            <w:pPr>
              <w:spacing w:line="360" w:lineRule="auto"/>
              <w:rPr>
                <w:rFonts w:hint="eastAsia" w:ascii="宋体" w:hAnsi="宋体" w:eastAsia="宋体" w:cs="宋体"/>
                <w:color w:val="auto"/>
                <w:sz w:val="22"/>
                <w:szCs w:val="22"/>
                <w:highlight w:val="none"/>
              </w:rPr>
            </w:pPr>
          </w:p>
        </w:tc>
      </w:tr>
      <w:tr w14:paraId="0CB5B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29B42074">
            <w:pPr>
              <w:spacing w:line="360" w:lineRule="auto"/>
              <w:rPr>
                <w:rFonts w:hint="eastAsia" w:ascii="宋体" w:hAnsi="宋体" w:eastAsia="宋体" w:cs="宋体"/>
                <w:color w:val="auto"/>
                <w:sz w:val="22"/>
                <w:szCs w:val="22"/>
                <w:highlight w:val="none"/>
              </w:rPr>
            </w:pPr>
          </w:p>
        </w:tc>
        <w:tc>
          <w:tcPr>
            <w:tcW w:w="1417" w:type="dxa"/>
            <w:noWrap w:val="0"/>
            <w:vAlign w:val="top"/>
          </w:tcPr>
          <w:p w14:paraId="6E24F1C2">
            <w:pPr>
              <w:spacing w:line="360" w:lineRule="auto"/>
              <w:rPr>
                <w:rFonts w:hint="eastAsia" w:ascii="宋体" w:hAnsi="宋体" w:eastAsia="宋体" w:cs="宋体"/>
                <w:color w:val="auto"/>
                <w:sz w:val="22"/>
                <w:szCs w:val="22"/>
                <w:highlight w:val="none"/>
              </w:rPr>
            </w:pPr>
          </w:p>
        </w:tc>
        <w:tc>
          <w:tcPr>
            <w:tcW w:w="1134" w:type="dxa"/>
            <w:noWrap w:val="0"/>
            <w:vAlign w:val="top"/>
          </w:tcPr>
          <w:p w14:paraId="488BA2BD">
            <w:pPr>
              <w:spacing w:line="360" w:lineRule="auto"/>
              <w:rPr>
                <w:rFonts w:hint="eastAsia" w:ascii="宋体" w:hAnsi="宋体" w:eastAsia="宋体" w:cs="宋体"/>
                <w:color w:val="auto"/>
                <w:sz w:val="22"/>
                <w:szCs w:val="22"/>
                <w:highlight w:val="none"/>
              </w:rPr>
            </w:pPr>
          </w:p>
        </w:tc>
        <w:tc>
          <w:tcPr>
            <w:tcW w:w="3260" w:type="dxa"/>
            <w:noWrap w:val="0"/>
            <w:vAlign w:val="top"/>
          </w:tcPr>
          <w:p w14:paraId="4270763B">
            <w:pPr>
              <w:spacing w:line="360" w:lineRule="auto"/>
              <w:rPr>
                <w:rFonts w:hint="eastAsia" w:ascii="宋体" w:hAnsi="宋体" w:eastAsia="宋体" w:cs="宋体"/>
                <w:color w:val="auto"/>
                <w:sz w:val="22"/>
                <w:szCs w:val="22"/>
                <w:highlight w:val="none"/>
              </w:rPr>
            </w:pPr>
          </w:p>
        </w:tc>
      </w:tr>
      <w:tr w14:paraId="1119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4AEF3869">
            <w:pPr>
              <w:spacing w:line="360" w:lineRule="auto"/>
              <w:rPr>
                <w:rFonts w:hint="eastAsia" w:ascii="宋体" w:hAnsi="宋体" w:eastAsia="宋体" w:cs="宋体"/>
                <w:color w:val="auto"/>
                <w:sz w:val="22"/>
                <w:szCs w:val="22"/>
                <w:highlight w:val="none"/>
              </w:rPr>
            </w:pPr>
          </w:p>
        </w:tc>
        <w:tc>
          <w:tcPr>
            <w:tcW w:w="1417" w:type="dxa"/>
            <w:noWrap w:val="0"/>
            <w:vAlign w:val="top"/>
          </w:tcPr>
          <w:p w14:paraId="404E3922">
            <w:pPr>
              <w:spacing w:line="360" w:lineRule="auto"/>
              <w:rPr>
                <w:rFonts w:hint="eastAsia" w:ascii="宋体" w:hAnsi="宋体" w:eastAsia="宋体" w:cs="宋体"/>
                <w:color w:val="auto"/>
                <w:sz w:val="22"/>
                <w:szCs w:val="22"/>
                <w:highlight w:val="none"/>
              </w:rPr>
            </w:pPr>
          </w:p>
        </w:tc>
        <w:tc>
          <w:tcPr>
            <w:tcW w:w="1134" w:type="dxa"/>
            <w:noWrap w:val="0"/>
            <w:vAlign w:val="top"/>
          </w:tcPr>
          <w:p w14:paraId="46CC7781">
            <w:pPr>
              <w:spacing w:line="360" w:lineRule="auto"/>
              <w:rPr>
                <w:rFonts w:hint="eastAsia" w:ascii="宋体" w:hAnsi="宋体" w:eastAsia="宋体" w:cs="宋体"/>
                <w:color w:val="auto"/>
                <w:sz w:val="22"/>
                <w:szCs w:val="22"/>
                <w:highlight w:val="none"/>
              </w:rPr>
            </w:pPr>
          </w:p>
        </w:tc>
        <w:tc>
          <w:tcPr>
            <w:tcW w:w="3260" w:type="dxa"/>
            <w:noWrap w:val="0"/>
            <w:vAlign w:val="top"/>
          </w:tcPr>
          <w:p w14:paraId="5A7B839B">
            <w:pPr>
              <w:spacing w:line="360" w:lineRule="auto"/>
              <w:rPr>
                <w:rFonts w:hint="eastAsia" w:ascii="宋体" w:hAnsi="宋体" w:eastAsia="宋体" w:cs="宋体"/>
                <w:color w:val="auto"/>
                <w:sz w:val="22"/>
                <w:szCs w:val="22"/>
                <w:highlight w:val="none"/>
              </w:rPr>
            </w:pPr>
          </w:p>
        </w:tc>
      </w:tr>
      <w:tr w14:paraId="0BFA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47DDF9A8">
            <w:pPr>
              <w:spacing w:line="360" w:lineRule="auto"/>
              <w:rPr>
                <w:rFonts w:hint="eastAsia" w:ascii="宋体" w:hAnsi="宋体" w:eastAsia="宋体" w:cs="宋体"/>
                <w:color w:val="auto"/>
                <w:sz w:val="22"/>
                <w:szCs w:val="22"/>
                <w:highlight w:val="none"/>
              </w:rPr>
            </w:pPr>
          </w:p>
        </w:tc>
        <w:tc>
          <w:tcPr>
            <w:tcW w:w="1417" w:type="dxa"/>
            <w:noWrap w:val="0"/>
            <w:vAlign w:val="top"/>
          </w:tcPr>
          <w:p w14:paraId="7E646A41">
            <w:pPr>
              <w:spacing w:line="360" w:lineRule="auto"/>
              <w:rPr>
                <w:rFonts w:hint="eastAsia" w:ascii="宋体" w:hAnsi="宋体" w:eastAsia="宋体" w:cs="宋体"/>
                <w:color w:val="auto"/>
                <w:sz w:val="22"/>
                <w:szCs w:val="22"/>
                <w:highlight w:val="none"/>
              </w:rPr>
            </w:pPr>
          </w:p>
        </w:tc>
        <w:tc>
          <w:tcPr>
            <w:tcW w:w="1134" w:type="dxa"/>
            <w:noWrap w:val="0"/>
            <w:vAlign w:val="top"/>
          </w:tcPr>
          <w:p w14:paraId="3C4750B5">
            <w:pPr>
              <w:spacing w:line="360" w:lineRule="auto"/>
              <w:rPr>
                <w:rFonts w:hint="eastAsia" w:ascii="宋体" w:hAnsi="宋体" w:eastAsia="宋体" w:cs="宋体"/>
                <w:color w:val="auto"/>
                <w:sz w:val="22"/>
                <w:szCs w:val="22"/>
                <w:highlight w:val="none"/>
              </w:rPr>
            </w:pPr>
          </w:p>
        </w:tc>
        <w:tc>
          <w:tcPr>
            <w:tcW w:w="3260" w:type="dxa"/>
            <w:noWrap w:val="0"/>
            <w:vAlign w:val="top"/>
          </w:tcPr>
          <w:p w14:paraId="7CAE2DD4">
            <w:pPr>
              <w:spacing w:line="360" w:lineRule="auto"/>
              <w:rPr>
                <w:rFonts w:hint="eastAsia" w:ascii="宋体" w:hAnsi="宋体" w:eastAsia="宋体" w:cs="宋体"/>
                <w:color w:val="auto"/>
                <w:sz w:val="22"/>
                <w:szCs w:val="22"/>
                <w:highlight w:val="none"/>
              </w:rPr>
            </w:pPr>
          </w:p>
        </w:tc>
      </w:tr>
      <w:tr w14:paraId="2CA4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457AEF83">
            <w:pPr>
              <w:spacing w:line="360" w:lineRule="auto"/>
              <w:rPr>
                <w:rFonts w:hint="eastAsia" w:ascii="宋体" w:hAnsi="宋体" w:eastAsia="宋体" w:cs="宋体"/>
                <w:color w:val="auto"/>
                <w:sz w:val="22"/>
                <w:szCs w:val="22"/>
                <w:highlight w:val="none"/>
              </w:rPr>
            </w:pPr>
          </w:p>
        </w:tc>
        <w:tc>
          <w:tcPr>
            <w:tcW w:w="1417" w:type="dxa"/>
            <w:noWrap w:val="0"/>
            <w:vAlign w:val="top"/>
          </w:tcPr>
          <w:p w14:paraId="2E48F27E">
            <w:pPr>
              <w:spacing w:line="360" w:lineRule="auto"/>
              <w:rPr>
                <w:rFonts w:hint="eastAsia" w:ascii="宋体" w:hAnsi="宋体" w:eastAsia="宋体" w:cs="宋体"/>
                <w:color w:val="auto"/>
                <w:sz w:val="22"/>
                <w:szCs w:val="22"/>
                <w:highlight w:val="none"/>
              </w:rPr>
            </w:pPr>
          </w:p>
        </w:tc>
        <w:tc>
          <w:tcPr>
            <w:tcW w:w="1134" w:type="dxa"/>
            <w:noWrap w:val="0"/>
            <w:vAlign w:val="top"/>
          </w:tcPr>
          <w:p w14:paraId="3ECA7870">
            <w:pPr>
              <w:spacing w:line="360" w:lineRule="auto"/>
              <w:rPr>
                <w:rFonts w:hint="eastAsia" w:ascii="宋体" w:hAnsi="宋体" w:eastAsia="宋体" w:cs="宋体"/>
                <w:color w:val="auto"/>
                <w:sz w:val="22"/>
                <w:szCs w:val="22"/>
                <w:highlight w:val="none"/>
              </w:rPr>
            </w:pPr>
          </w:p>
        </w:tc>
        <w:tc>
          <w:tcPr>
            <w:tcW w:w="3260" w:type="dxa"/>
            <w:noWrap w:val="0"/>
            <w:vAlign w:val="top"/>
          </w:tcPr>
          <w:p w14:paraId="7DDF6B38">
            <w:pPr>
              <w:spacing w:line="360" w:lineRule="auto"/>
              <w:rPr>
                <w:rFonts w:hint="eastAsia" w:ascii="宋体" w:hAnsi="宋体" w:eastAsia="宋体" w:cs="宋体"/>
                <w:color w:val="auto"/>
                <w:sz w:val="22"/>
                <w:szCs w:val="22"/>
                <w:highlight w:val="none"/>
              </w:rPr>
            </w:pPr>
          </w:p>
        </w:tc>
      </w:tr>
      <w:tr w14:paraId="1FBD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2F729088">
            <w:pPr>
              <w:spacing w:line="360" w:lineRule="auto"/>
              <w:rPr>
                <w:rFonts w:hint="eastAsia" w:ascii="宋体" w:hAnsi="宋体" w:eastAsia="宋体" w:cs="宋体"/>
                <w:color w:val="auto"/>
                <w:sz w:val="22"/>
                <w:szCs w:val="22"/>
                <w:highlight w:val="none"/>
              </w:rPr>
            </w:pPr>
          </w:p>
        </w:tc>
        <w:tc>
          <w:tcPr>
            <w:tcW w:w="1417" w:type="dxa"/>
            <w:noWrap w:val="0"/>
            <w:vAlign w:val="top"/>
          </w:tcPr>
          <w:p w14:paraId="7A585ED5">
            <w:pPr>
              <w:spacing w:line="360" w:lineRule="auto"/>
              <w:rPr>
                <w:rFonts w:hint="eastAsia" w:ascii="宋体" w:hAnsi="宋体" w:eastAsia="宋体" w:cs="宋体"/>
                <w:color w:val="auto"/>
                <w:sz w:val="22"/>
                <w:szCs w:val="22"/>
                <w:highlight w:val="none"/>
              </w:rPr>
            </w:pPr>
          </w:p>
        </w:tc>
        <w:tc>
          <w:tcPr>
            <w:tcW w:w="1134" w:type="dxa"/>
            <w:noWrap w:val="0"/>
            <w:vAlign w:val="top"/>
          </w:tcPr>
          <w:p w14:paraId="09B62166">
            <w:pPr>
              <w:spacing w:line="360" w:lineRule="auto"/>
              <w:rPr>
                <w:rFonts w:hint="eastAsia" w:ascii="宋体" w:hAnsi="宋体" w:eastAsia="宋体" w:cs="宋体"/>
                <w:color w:val="auto"/>
                <w:sz w:val="22"/>
                <w:szCs w:val="22"/>
                <w:highlight w:val="none"/>
              </w:rPr>
            </w:pPr>
          </w:p>
        </w:tc>
        <w:tc>
          <w:tcPr>
            <w:tcW w:w="3260" w:type="dxa"/>
            <w:noWrap w:val="0"/>
            <w:vAlign w:val="top"/>
          </w:tcPr>
          <w:p w14:paraId="388945A7">
            <w:pPr>
              <w:spacing w:line="360" w:lineRule="auto"/>
              <w:rPr>
                <w:rFonts w:hint="eastAsia" w:ascii="宋体" w:hAnsi="宋体" w:eastAsia="宋体" w:cs="宋体"/>
                <w:color w:val="auto"/>
                <w:sz w:val="22"/>
                <w:szCs w:val="22"/>
                <w:highlight w:val="none"/>
              </w:rPr>
            </w:pPr>
          </w:p>
        </w:tc>
      </w:tr>
      <w:tr w14:paraId="63DC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5EE40CA3">
            <w:pPr>
              <w:spacing w:line="360" w:lineRule="auto"/>
              <w:rPr>
                <w:rFonts w:hint="eastAsia" w:ascii="宋体" w:hAnsi="宋体" w:eastAsia="宋体" w:cs="宋体"/>
                <w:color w:val="auto"/>
                <w:sz w:val="22"/>
                <w:szCs w:val="22"/>
                <w:highlight w:val="none"/>
              </w:rPr>
            </w:pPr>
          </w:p>
        </w:tc>
        <w:tc>
          <w:tcPr>
            <w:tcW w:w="1417" w:type="dxa"/>
            <w:noWrap w:val="0"/>
            <w:vAlign w:val="top"/>
          </w:tcPr>
          <w:p w14:paraId="67E0E738">
            <w:pPr>
              <w:spacing w:line="360" w:lineRule="auto"/>
              <w:rPr>
                <w:rFonts w:hint="eastAsia" w:ascii="宋体" w:hAnsi="宋体" w:eastAsia="宋体" w:cs="宋体"/>
                <w:color w:val="auto"/>
                <w:sz w:val="22"/>
                <w:szCs w:val="22"/>
                <w:highlight w:val="none"/>
              </w:rPr>
            </w:pPr>
          </w:p>
        </w:tc>
        <w:tc>
          <w:tcPr>
            <w:tcW w:w="1134" w:type="dxa"/>
            <w:noWrap w:val="0"/>
            <w:vAlign w:val="top"/>
          </w:tcPr>
          <w:p w14:paraId="18ADA3E5">
            <w:pPr>
              <w:spacing w:line="360" w:lineRule="auto"/>
              <w:rPr>
                <w:rFonts w:hint="eastAsia" w:ascii="宋体" w:hAnsi="宋体" w:eastAsia="宋体" w:cs="宋体"/>
                <w:color w:val="auto"/>
                <w:sz w:val="22"/>
                <w:szCs w:val="22"/>
                <w:highlight w:val="none"/>
              </w:rPr>
            </w:pPr>
          </w:p>
        </w:tc>
        <w:tc>
          <w:tcPr>
            <w:tcW w:w="3260" w:type="dxa"/>
            <w:noWrap w:val="0"/>
            <w:vAlign w:val="top"/>
          </w:tcPr>
          <w:p w14:paraId="7721F1BA">
            <w:pPr>
              <w:spacing w:line="360" w:lineRule="auto"/>
              <w:rPr>
                <w:rFonts w:hint="eastAsia" w:ascii="宋体" w:hAnsi="宋体" w:eastAsia="宋体" w:cs="宋体"/>
                <w:color w:val="auto"/>
                <w:sz w:val="22"/>
                <w:szCs w:val="22"/>
                <w:highlight w:val="none"/>
              </w:rPr>
            </w:pPr>
          </w:p>
        </w:tc>
      </w:tr>
      <w:tr w14:paraId="70C3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72028978">
            <w:pPr>
              <w:spacing w:line="360" w:lineRule="auto"/>
              <w:rPr>
                <w:rFonts w:hint="eastAsia" w:ascii="宋体" w:hAnsi="宋体" w:eastAsia="宋体" w:cs="宋体"/>
                <w:color w:val="auto"/>
                <w:sz w:val="22"/>
                <w:szCs w:val="22"/>
                <w:highlight w:val="none"/>
              </w:rPr>
            </w:pPr>
          </w:p>
        </w:tc>
        <w:tc>
          <w:tcPr>
            <w:tcW w:w="1417" w:type="dxa"/>
            <w:noWrap w:val="0"/>
            <w:vAlign w:val="top"/>
          </w:tcPr>
          <w:p w14:paraId="71A1CF1A">
            <w:pPr>
              <w:spacing w:line="360" w:lineRule="auto"/>
              <w:rPr>
                <w:rFonts w:hint="eastAsia" w:ascii="宋体" w:hAnsi="宋体" w:eastAsia="宋体" w:cs="宋体"/>
                <w:color w:val="auto"/>
                <w:sz w:val="22"/>
                <w:szCs w:val="22"/>
                <w:highlight w:val="none"/>
              </w:rPr>
            </w:pPr>
          </w:p>
        </w:tc>
        <w:tc>
          <w:tcPr>
            <w:tcW w:w="1134" w:type="dxa"/>
            <w:noWrap w:val="0"/>
            <w:vAlign w:val="top"/>
          </w:tcPr>
          <w:p w14:paraId="5FE9ACB4">
            <w:pPr>
              <w:spacing w:line="360" w:lineRule="auto"/>
              <w:rPr>
                <w:rFonts w:hint="eastAsia" w:ascii="宋体" w:hAnsi="宋体" w:eastAsia="宋体" w:cs="宋体"/>
                <w:color w:val="auto"/>
                <w:sz w:val="22"/>
                <w:szCs w:val="22"/>
                <w:highlight w:val="none"/>
              </w:rPr>
            </w:pPr>
          </w:p>
        </w:tc>
        <w:tc>
          <w:tcPr>
            <w:tcW w:w="3260" w:type="dxa"/>
            <w:noWrap w:val="0"/>
            <w:vAlign w:val="top"/>
          </w:tcPr>
          <w:p w14:paraId="01619C4B">
            <w:pPr>
              <w:spacing w:line="360" w:lineRule="auto"/>
              <w:rPr>
                <w:rFonts w:hint="eastAsia" w:ascii="宋体" w:hAnsi="宋体" w:eastAsia="宋体" w:cs="宋体"/>
                <w:color w:val="auto"/>
                <w:sz w:val="22"/>
                <w:szCs w:val="22"/>
                <w:highlight w:val="none"/>
              </w:rPr>
            </w:pPr>
          </w:p>
        </w:tc>
      </w:tr>
      <w:tr w14:paraId="0B72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34EF0774">
            <w:pPr>
              <w:spacing w:line="360" w:lineRule="auto"/>
              <w:rPr>
                <w:rFonts w:hint="eastAsia" w:ascii="宋体" w:hAnsi="宋体" w:eastAsia="宋体" w:cs="宋体"/>
                <w:color w:val="auto"/>
                <w:sz w:val="22"/>
                <w:szCs w:val="22"/>
                <w:highlight w:val="none"/>
              </w:rPr>
            </w:pPr>
          </w:p>
        </w:tc>
        <w:tc>
          <w:tcPr>
            <w:tcW w:w="1417" w:type="dxa"/>
            <w:noWrap w:val="0"/>
            <w:vAlign w:val="top"/>
          </w:tcPr>
          <w:p w14:paraId="7FC497BD">
            <w:pPr>
              <w:spacing w:line="360" w:lineRule="auto"/>
              <w:rPr>
                <w:rFonts w:hint="eastAsia" w:ascii="宋体" w:hAnsi="宋体" w:eastAsia="宋体" w:cs="宋体"/>
                <w:color w:val="auto"/>
                <w:sz w:val="22"/>
                <w:szCs w:val="22"/>
                <w:highlight w:val="none"/>
              </w:rPr>
            </w:pPr>
          </w:p>
        </w:tc>
        <w:tc>
          <w:tcPr>
            <w:tcW w:w="1134" w:type="dxa"/>
            <w:noWrap w:val="0"/>
            <w:vAlign w:val="top"/>
          </w:tcPr>
          <w:p w14:paraId="22F65384">
            <w:pPr>
              <w:spacing w:line="360" w:lineRule="auto"/>
              <w:rPr>
                <w:rFonts w:hint="eastAsia" w:ascii="宋体" w:hAnsi="宋体" w:eastAsia="宋体" w:cs="宋体"/>
                <w:color w:val="auto"/>
                <w:sz w:val="22"/>
                <w:szCs w:val="22"/>
                <w:highlight w:val="none"/>
              </w:rPr>
            </w:pPr>
          </w:p>
        </w:tc>
        <w:tc>
          <w:tcPr>
            <w:tcW w:w="3260" w:type="dxa"/>
            <w:noWrap w:val="0"/>
            <w:vAlign w:val="top"/>
          </w:tcPr>
          <w:p w14:paraId="4CC59A61">
            <w:pPr>
              <w:spacing w:line="360" w:lineRule="auto"/>
              <w:rPr>
                <w:rFonts w:hint="eastAsia" w:ascii="宋体" w:hAnsi="宋体" w:eastAsia="宋体" w:cs="宋体"/>
                <w:color w:val="auto"/>
                <w:sz w:val="22"/>
                <w:szCs w:val="22"/>
                <w:highlight w:val="none"/>
              </w:rPr>
            </w:pPr>
          </w:p>
        </w:tc>
      </w:tr>
      <w:tr w14:paraId="7C4C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7C4D8046">
            <w:pPr>
              <w:spacing w:line="360" w:lineRule="auto"/>
              <w:rPr>
                <w:rFonts w:hint="eastAsia" w:ascii="宋体" w:hAnsi="宋体" w:eastAsia="宋体" w:cs="宋体"/>
                <w:color w:val="auto"/>
                <w:sz w:val="22"/>
                <w:szCs w:val="22"/>
                <w:highlight w:val="none"/>
              </w:rPr>
            </w:pPr>
          </w:p>
        </w:tc>
        <w:tc>
          <w:tcPr>
            <w:tcW w:w="1417" w:type="dxa"/>
            <w:noWrap w:val="0"/>
            <w:vAlign w:val="top"/>
          </w:tcPr>
          <w:p w14:paraId="08C262BF">
            <w:pPr>
              <w:spacing w:line="360" w:lineRule="auto"/>
              <w:rPr>
                <w:rFonts w:hint="eastAsia" w:ascii="宋体" w:hAnsi="宋体" w:eastAsia="宋体" w:cs="宋体"/>
                <w:color w:val="auto"/>
                <w:sz w:val="22"/>
                <w:szCs w:val="22"/>
                <w:highlight w:val="none"/>
              </w:rPr>
            </w:pPr>
          </w:p>
        </w:tc>
        <w:tc>
          <w:tcPr>
            <w:tcW w:w="1134" w:type="dxa"/>
            <w:noWrap w:val="0"/>
            <w:vAlign w:val="top"/>
          </w:tcPr>
          <w:p w14:paraId="30FD8580">
            <w:pPr>
              <w:spacing w:line="360" w:lineRule="auto"/>
              <w:rPr>
                <w:rFonts w:hint="eastAsia" w:ascii="宋体" w:hAnsi="宋体" w:eastAsia="宋体" w:cs="宋体"/>
                <w:color w:val="auto"/>
                <w:sz w:val="22"/>
                <w:szCs w:val="22"/>
                <w:highlight w:val="none"/>
              </w:rPr>
            </w:pPr>
          </w:p>
        </w:tc>
        <w:tc>
          <w:tcPr>
            <w:tcW w:w="3260" w:type="dxa"/>
            <w:noWrap w:val="0"/>
            <w:vAlign w:val="top"/>
          </w:tcPr>
          <w:p w14:paraId="4133D136">
            <w:pPr>
              <w:spacing w:line="360" w:lineRule="auto"/>
              <w:rPr>
                <w:rFonts w:hint="eastAsia" w:ascii="宋体" w:hAnsi="宋体" w:eastAsia="宋体" w:cs="宋体"/>
                <w:color w:val="auto"/>
                <w:sz w:val="22"/>
                <w:szCs w:val="22"/>
                <w:highlight w:val="none"/>
              </w:rPr>
            </w:pPr>
          </w:p>
        </w:tc>
      </w:tr>
      <w:tr w14:paraId="543D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45A55E6A">
            <w:pPr>
              <w:spacing w:line="360" w:lineRule="auto"/>
              <w:rPr>
                <w:rFonts w:hint="eastAsia" w:ascii="宋体" w:hAnsi="宋体" w:eastAsia="宋体" w:cs="宋体"/>
                <w:color w:val="auto"/>
                <w:sz w:val="22"/>
                <w:szCs w:val="22"/>
                <w:highlight w:val="none"/>
              </w:rPr>
            </w:pPr>
          </w:p>
        </w:tc>
        <w:tc>
          <w:tcPr>
            <w:tcW w:w="1417" w:type="dxa"/>
            <w:noWrap w:val="0"/>
            <w:vAlign w:val="top"/>
          </w:tcPr>
          <w:p w14:paraId="5241FE72">
            <w:pPr>
              <w:spacing w:line="360" w:lineRule="auto"/>
              <w:rPr>
                <w:rFonts w:hint="eastAsia" w:ascii="宋体" w:hAnsi="宋体" w:eastAsia="宋体" w:cs="宋体"/>
                <w:color w:val="auto"/>
                <w:sz w:val="22"/>
                <w:szCs w:val="22"/>
                <w:highlight w:val="none"/>
              </w:rPr>
            </w:pPr>
          </w:p>
        </w:tc>
        <w:tc>
          <w:tcPr>
            <w:tcW w:w="1134" w:type="dxa"/>
            <w:noWrap w:val="0"/>
            <w:vAlign w:val="top"/>
          </w:tcPr>
          <w:p w14:paraId="565F3876">
            <w:pPr>
              <w:spacing w:line="360" w:lineRule="auto"/>
              <w:rPr>
                <w:rFonts w:hint="eastAsia" w:ascii="宋体" w:hAnsi="宋体" w:eastAsia="宋体" w:cs="宋体"/>
                <w:color w:val="auto"/>
                <w:sz w:val="22"/>
                <w:szCs w:val="22"/>
                <w:highlight w:val="none"/>
              </w:rPr>
            </w:pPr>
          </w:p>
        </w:tc>
        <w:tc>
          <w:tcPr>
            <w:tcW w:w="3260" w:type="dxa"/>
            <w:noWrap w:val="0"/>
            <w:vAlign w:val="top"/>
          </w:tcPr>
          <w:p w14:paraId="5514CC06">
            <w:pPr>
              <w:spacing w:line="360" w:lineRule="auto"/>
              <w:rPr>
                <w:rFonts w:hint="eastAsia" w:ascii="宋体" w:hAnsi="宋体" w:eastAsia="宋体" w:cs="宋体"/>
                <w:color w:val="auto"/>
                <w:sz w:val="22"/>
                <w:szCs w:val="22"/>
                <w:highlight w:val="none"/>
              </w:rPr>
            </w:pPr>
          </w:p>
        </w:tc>
      </w:tr>
      <w:tr w14:paraId="2371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4E1729FD">
            <w:pPr>
              <w:spacing w:line="360" w:lineRule="auto"/>
              <w:rPr>
                <w:rFonts w:hint="eastAsia" w:ascii="宋体" w:hAnsi="宋体" w:eastAsia="宋体" w:cs="宋体"/>
                <w:color w:val="auto"/>
                <w:sz w:val="22"/>
                <w:szCs w:val="22"/>
                <w:highlight w:val="none"/>
              </w:rPr>
            </w:pPr>
          </w:p>
        </w:tc>
        <w:tc>
          <w:tcPr>
            <w:tcW w:w="1417" w:type="dxa"/>
            <w:noWrap w:val="0"/>
            <w:vAlign w:val="top"/>
          </w:tcPr>
          <w:p w14:paraId="54749C34">
            <w:pPr>
              <w:spacing w:line="360" w:lineRule="auto"/>
              <w:rPr>
                <w:rFonts w:hint="eastAsia" w:ascii="宋体" w:hAnsi="宋体" w:eastAsia="宋体" w:cs="宋体"/>
                <w:color w:val="auto"/>
                <w:sz w:val="22"/>
                <w:szCs w:val="22"/>
                <w:highlight w:val="none"/>
              </w:rPr>
            </w:pPr>
          </w:p>
        </w:tc>
        <w:tc>
          <w:tcPr>
            <w:tcW w:w="1134" w:type="dxa"/>
            <w:noWrap w:val="0"/>
            <w:vAlign w:val="top"/>
          </w:tcPr>
          <w:p w14:paraId="6319BEAF">
            <w:pPr>
              <w:spacing w:line="360" w:lineRule="auto"/>
              <w:rPr>
                <w:rFonts w:hint="eastAsia" w:ascii="宋体" w:hAnsi="宋体" w:eastAsia="宋体" w:cs="宋体"/>
                <w:color w:val="auto"/>
                <w:sz w:val="22"/>
                <w:szCs w:val="22"/>
                <w:highlight w:val="none"/>
              </w:rPr>
            </w:pPr>
          </w:p>
        </w:tc>
        <w:tc>
          <w:tcPr>
            <w:tcW w:w="3260" w:type="dxa"/>
            <w:noWrap w:val="0"/>
            <w:vAlign w:val="top"/>
          </w:tcPr>
          <w:p w14:paraId="067881ED">
            <w:pPr>
              <w:spacing w:line="360" w:lineRule="auto"/>
              <w:rPr>
                <w:rFonts w:hint="eastAsia" w:ascii="宋体" w:hAnsi="宋体" w:eastAsia="宋体" w:cs="宋体"/>
                <w:color w:val="auto"/>
                <w:sz w:val="22"/>
                <w:szCs w:val="22"/>
                <w:highlight w:val="none"/>
              </w:rPr>
            </w:pPr>
          </w:p>
        </w:tc>
      </w:tr>
      <w:tr w14:paraId="23AB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2ADE2D5C">
            <w:pPr>
              <w:spacing w:line="360" w:lineRule="auto"/>
              <w:rPr>
                <w:rFonts w:hint="eastAsia" w:ascii="宋体" w:hAnsi="宋体" w:eastAsia="宋体" w:cs="宋体"/>
                <w:color w:val="auto"/>
                <w:sz w:val="22"/>
                <w:szCs w:val="22"/>
                <w:highlight w:val="none"/>
              </w:rPr>
            </w:pPr>
          </w:p>
        </w:tc>
        <w:tc>
          <w:tcPr>
            <w:tcW w:w="1417" w:type="dxa"/>
            <w:noWrap w:val="0"/>
            <w:vAlign w:val="top"/>
          </w:tcPr>
          <w:p w14:paraId="448EF529">
            <w:pPr>
              <w:spacing w:line="360" w:lineRule="auto"/>
              <w:rPr>
                <w:rFonts w:hint="eastAsia" w:ascii="宋体" w:hAnsi="宋体" w:eastAsia="宋体" w:cs="宋体"/>
                <w:color w:val="auto"/>
                <w:sz w:val="22"/>
                <w:szCs w:val="22"/>
                <w:highlight w:val="none"/>
              </w:rPr>
            </w:pPr>
          </w:p>
        </w:tc>
        <w:tc>
          <w:tcPr>
            <w:tcW w:w="1134" w:type="dxa"/>
            <w:noWrap w:val="0"/>
            <w:vAlign w:val="top"/>
          </w:tcPr>
          <w:p w14:paraId="50439622">
            <w:pPr>
              <w:spacing w:line="360" w:lineRule="auto"/>
              <w:rPr>
                <w:rFonts w:hint="eastAsia" w:ascii="宋体" w:hAnsi="宋体" w:eastAsia="宋体" w:cs="宋体"/>
                <w:color w:val="auto"/>
                <w:sz w:val="22"/>
                <w:szCs w:val="22"/>
                <w:highlight w:val="none"/>
              </w:rPr>
            </w:pPr>
          </w:p>
        </w:tc>
        <w:tc>
          <w:tcPr>
            <w:tcW w:w="3260" w:type="dxa"/>
            <w:noWrap w:val="0"/>
            <w:vAlign w:val="top"/>
          </w:tcPr>
          <w:p w14:paraId="6D104A86">
            <w:pPr>
              <w:spacing w:line="360" w:lineRule="auto"/>
              <w:rPr>
                <w:rFonts w:hint="eastAsia" w:ascii="宋体" w:hAnsi="宋体" w:eastAsia="宋体" w:cs="宋体"/>
                <w:color w:val="auto"/>
                <w:sz w:val="22"/>
                <w:szCs w:val="22"/>
                <w:highlight w:val="none"/>
              </w:rPr>
            </w:pPr>
          </w:p>
        </w:tc>
      </w:tr>
      <w:tr w14:paraId="05307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1AB2E8EF">
            <w:pPr>
              <w:spacing w:line="360" w:lineRule="auto"/>
              <w:rPr>
                <w:rFonts w:hint="eastAsia" w:ascii="宋体" w:hAnsi="宋体" w:eastAsia="宋体" w:cs="宋体"/>
                <w:color w:val="auto"/>
                <w:sz w:val="22"/>
                <w:szCs w:val="22"/>
                <w:highlight w:val="none"/>
              </w:rPr>
            </w:pPr>
          </w:p>
        </w:tc>
        <w:tc>
          <w:tcPr>
            <w:tcW w:w="1417" w:type="dxa"/>
            <w:noWrap w:val="0"/>
            <w:vAlign w:val="top"/>
          </w:tcPr>
          <w:p w14:paraId="521813C7">
            <w:pPr>
              <w:spacing w:line="360" w:lineRule="auto"/>
              <w:rPr>
                <w:rFonts w:hint="eastAsia" w:ascii="宋体" w:hAnsi="宋体" w:eastAsia="宋体" w:cs="宋体"/>
                <w:color w:val="auto"/>
                <w:sz w:val="22"/>
                <w:szCs w:val="22"/>
                <w:highlight w:val="none"/>
              </w:rPr>
            </w:pPr>
          </w:p>
        </w:tc>
        <w:tc>
          <w:tcPr>
            <w:tcW w:w="1134" w:type="dxa"/>
            <w:noWrap w:val="0"/>
            <w:vAlign w:val="top"/>
          </w:tcPr>
          <w:p w14:paraId="1A49860C">
            <w:pPr>
              <w:spacing w:line="360" w:lineRule="auto"/>
              <w:rPr>
                <w:rFonts w:hint="eastAsia" w:ascii="宋体" w:hAnsi="宋体" w:eastAsia="宋体" w:cs="宋体"/>
                <w:color w:val="auto"/>
                <w:sz w:val="22"/>
                <w:szCs w:val="22"/>
                <w:highlight w:val="none"/>
              </w:rPr>
            </w:pPr>
          </w:p>
        </w:tc>
        <w:tc>
          <w:tcPr>
            <w:tcW w:w="3260" w:type="dxa"/>
            <w:noWrap w:val="0"/>
            <w:vAlign w:val="top"/>
          </w:tcPr>
          <w:p w14:paraId="285E8984">
            <w:pPr>
              <w:spacing w:line="360" w:lineRule="auto"/>
              <w:rPr>
                <w:rFonts w:hint="eastAsia" w:ascii="宋体" w:hAnsi="宋体" w:eastAsia="宋体" w:cs="宋体"/>
                <w:color w:val="auto"/>
                <w:sz w:val="22"/>
                <w:szCs w:val="22"/>
                <w:highlight w:val="none"/>
              </w:rPr>
            </w:pPr>
          </w:p>
        </w:tc>
      </w:tr>
      <w:tr w14:paraId="517A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75072365">
            <w:pPr>
              <w:spacing w:line="360" w:lineRule="auto"/>
              <w:rPr>
                <w:rFonts w:hint="eastAsia" w:ascii="宋体" w:hAnsi="宋体" w:eastAsia="宋体" w:cs="宋体"/>
                <w:color w:val="auto"/>
                <w:sz w:val="22"/>
                <w:szCs w:val="22"/>
                <w:highlight w:val="none"/>
              </w:rPr>
            </w:pPr>
          </w:p>
        </w:tc>
        <w:tc>
          <w:tcPr>
            <w:tcW w:w="1417" w:type="dxa"/>
            <w:noWrap w:val="0"/>
            <w:vAlign w:val="top"/>
          </w:tcPr>
          <w:p w14:paraId="46768A40">
            <w:pPr>
              <w:spacing w:line="360" w:lineRule="auto"/>
              <w:rPr>
                <w:rFonts w:hint="eastAsia" w:ascii="宋体" w:hAnsi="宋体" w:eastAsia="宋体" w:cs="宋体"/>
                <w:color w:val="auto"/>
                <w:sz w:val="22"/>
                <w:szCs w:val="22"/>
                <w:highlight w:val="none"/>
              </w:rPr>
            </w:pPr>
          </w:p>
        </w:tc>
        <w:tc>
          <w:tcPr>
            <w:tcW w:w="1134" w:type="dxa"/>
            <w:noWrap w:val="0"/>
            <w:vAlign w:val="top"/>
          </w:tcPr>
          <w:p w14:paraId="1969002E">
            <w:pPr>
              <w:spacing w:line="360" w:lineRule="auto"/>
              <w:rPr>
                <w:rFonts w:hint="eastAsia" w:ascii="宋体" w:hAnsi="宋体" w:eastAsia="宋体" w:cs="宋体"/>
                <w:color w:val="auto"/>
                <w:sz w:val="22"/>
                <w:szCs w:val="22"/>
                <w:highlight w:val="none"/>
              </w:rPr>
            </w:pPr>
          </w:p>
        </w:tc>
        <w:tc>
          <w:tcPr>
            <w:tcW w:w="3260" w:type="dxa"/>
            <w:noWrap w:val="0"/>
            <w:vAlign w:val="top"/>
          </w:tcPr>
          <w:p w14:paraId="019CE8C1">
            <w:pPr>
              <w:spacing w:line="360" w:lineRule="auto"/>
              <w:rPr>
                <w:rFonts w:hint="eastAsia" w:ascii="宋体" w:hAnsi="宋体" w:eastAsia="宋体" w:cs="宋体"/>
                <w:color w:val="auto"/>
                <w:sz w:val="22"/>
                <w:szCs w:val="22"/>
                <w:highlight w:val="none"/>
              </w:rPr>
            </w:pPr>
          </w:p>
        </w:tc>
      </w:tr>
      <w:tr w14:paraId="1B14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755108CB">
            <w:pPr>
              <w:spacing w:line="360" w:lineRule="auto"/>
              <w:rPr>
                <w:rFonts w:hint="eastAsia" w:ascii="宋体" w:hAnsi="宋体" w:eastAsia="宋体" w:cs="宋体"/>
                <w:color w:val="auto"/>
                <w:sz w:val="22"/>
                <w:szCs w:val="22"/>
                <w:highlight w:val="none"/>
              </w:rPr>
            </w:pPr>
          </w:p>
        </w:tc>
        <w:tc>
          <w:tcPr>
            <w:tcW w:w="1417" w:type="dxa"/>
            <w:noWrap w:val="0"/>
            <w:vAlign w:val="top"/>
          </w:tcPr>
          <w:p w14:paraId="3E4CBE70">
            <w:pPr>
              <w:spacing w:line="360" w:lineRule="auto"/>
              <w:rPr>
                <w:rFonts w:hint="eastAsia" w:ascii="宋体" w:hAnsi="宋体" w:eastAsia="宋体" w:cs="宋体"/>
                <w:color w:val="auto"/>
                <w:sz w:val="22"/>
                <w:szCs w:val="22"/>
                <w:highlight w:val="none"/>
              </w:rPr>
            </w:pPr>
          </w:p>
        </w:tc>
        <w:tc>
          <w:tcPr>
            <w:tcW w:w="1134" w:type="dxa"/>
            <w:noWrap w:val="0"/>
            <w:vAlign w:val="top"/>
          </w:tcPr>
          <w:p w14:paraId="3CF1C997">
            <w:pPr>
              <w:spacing w:line="360" w:lineRule="auto"/>
              <w:rPr>
                <w:rFonts w:hint="eastAsia" w:ascii="宋体" w:hAnsi="宋体" w:eastAsia="宋体" w:cs="宋体"/>
                <w:color w:val="auto"/>
                <w:sz w:val="22"/>
                <w:szCs w:val="22"/>
                <w:highlight w:val="none"/>
              </w:rPr>
            </w:pPr>
          </w:p>
        </w:tc>
        <w:tc>
          <w:tcPr>
            <w:tcW w:w="3260" w:type="dxa"/>
            <w:noWrap w:val="0"/>
            <w:vAlign w:val="top"/>
          </w:tcPr>
          <w:p w14:paraId="6F6109E1">
            <w:pPr>
              <w:spacing w:line="360" w:lineRule="auto"/>
              <w:rPr>
                <w:rFonts w:hint="eastAsia" w:ascii="宋体" w:hAnsi="宋体" w:eastAsia="宋体" w:cs="宋体"/>
                <w:color w:val="auto"/>
                <w:sz w:val="22"/>
                <w:szCs w:val="22"/>
                <w:highlight w:val="none"/>
              </w:rPr>
            </w:pPr>
          </w:p>
        </w:tc>
      </w:tr>
      <w:tr w14:paraId="37B4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5E1D3661">
            <w:pPr>
              <w:spacing w:line="360" w:lineRule="auto"/>
              <w:rPr>
                <w:rFonts w:hint="eastAsia" w:ascii="宋体" w:hAnsi="宋体" w:eastAsia="宋体" w:cs="宋体"/>
                <w:color w:val="auto"/>
                <w:sz w:val="22"/>
                <w:szCs w:val="22"/>
                <w:highlight w:val="none"/>
              </w:rPr>
            </w:pPr>
          </w:p>
        </w:tc>
        <w:tc>
          <w:tcPr>
            <w:tcW w:w="1417" w:type="dxa"/>
            <w:noWrap w:val="0"/>
            <w:vAlign w:val="top"/>
          </w:tcPr>
          <w:p w14:paraId="3E532AF6">
            <w:pPr>
              <w:spacing w:line="360" w:lineRule="auto"/>
              <w:rPr>
                <w:rFonts w:hint="eastAsia" w:ascii="宋体" w:hAnsi="宋体" w:eastAsia="宋体" w:cs="宋体"/>
                <w:color w:val="auto"/>
                <w:sz w:val="22"/>
                <w:szCs w:val="22"/>
                <w:highlight w:val="none"/>
              </w:rPr>
            </w:pPr>
          </w:p>
        </w:tc>
        <w:tc>
          <w:tcPr>
            <w:tcW w:w="1134" w:type="dxa"/>
            <w:noWrap w:val="0"/>
            <w:vAlign w:val="top"/>
          </w:tcPr>
          <w:p w14:paraId="407BDA6B">
            <w:pPr>
              <w:spacing w:line="360" w:lineRule="auto"/>
              <w:rPr>
                <w:rFonts w:hint="eastAsia" w:ascii="宋体" w:hAnsi="宋体" w:eastAsia="宋体" w:cs="宋体"/>
                <w:color w:val="auto"/>
                <w:sz w:val="22"/>
                <w:szCs w:val="22"/>
                <w:highlight w:val="none"/>
              </w:rPr>
            </w:pPr>
          </w:p>
        </w:tc>
        <w:tc>
          <w:tcPr>
            <w:tcW w:w="3260" w:type="dxa"/>
            <w:noWrap w:val="0"/>
            <w:vAlign w:val="top"/>
          </w:tcPr>
          <w:p w14:paraId="3304E793">
            <w:pPr>
              <w:spacing w:line="360" w:lineRule="auto"/>
              <w:rPr>
                <w:rFonts w:hint="eastAsia" w:ascii="宋体" w:hAnsi="宋体" w:eastAsia="宋体" w:cs="宋体"/>
                <w:color w:val="auto"/>
                <w:sz w:val="22"/>
                <w:szCs w:val="22"/>
                <w:highlight w:val="none"/>
              </w:rPr>
            </w:pPr>
          </w:p>
        </w:tc>
      </w:tr>
      <w:tr w14:paraId="643B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3EC6F645">
            <w:pPr>
              <w:spacing w:line="360" w:lineRule="auto"/>
              <w:rPr>
                <w:rFonts w:hint="eastAsia" w:ascii="宋体" w:hAnsi="宋体" w:eastAsia="宋体" w:cs="宋体"/>
                <w:color w:val="auto"/>
                <w:sz w:val="22"/>
                <w:szCs w:val="22"/>
                <w:highlight w:val="none"/>
              </w:rPr>
            </w:pPr>
          </w:p>
        </w:tc>
        <w:tc>
          <w:tcPr>
            <w:tcW w:w="1417" w:type="dxa"/>
            <w:noWrap w:val="0"/>
            <w:vAlign w:val="top"/>
          </w:tcPr>
          <w:p w14:paraId="6C483600">
            <w:pPr>
              <w:spacing w:line="360" w:lineRule="auto"/>
              <w:rPr>
                <w:rFonts w:hint="eastAsia" w:ascii="宋体" w:hAnsi="宋体" w:eastAsia="宋体" w:cs="宋体"/>
                <w:color w:val="auto"/>
                <w:sz w:val="22"/>
                <w:szCs w:val="22"/>
                <w:highlight w:val="none"/>
              </w:rPr>
            </w:pPr>
          </w:p>
        </w:tc>
        <w:tc>
          <w:tcPr>
            <w:tcW w:w="1134" w:type="dxa"/>
            <w:noWrap w:val="0"/>
            <w:vAlign w:val="top"/>
          </w:tcPr>
          <w:p w14:paraId="59EE9555">
            <w:pPr>
              <w:spacing w:line="360" w:lineRule="auto"/>
              <w:rPr>
                <w:rFonts w:hint="eastAsia" w:ascii="宋体" w:hAnsi="宋体" w:eastAsia="宋体" w:cs="宋体"/>
                <w:color w:val="auto"/>
                <w:sz w:val="22"/>
                <w:szCs w:val="22"/>
                <w:highlight w:val="none"/>
              </w:rPr>
            </w:pPr>
          </w:p>
        </w:tc>
        <w:tc>
          <w:tcPr>
            <w:tcW w:w="3260" w:type="dxa"/>
            <w:noWrap w:val="0"/>
            <w:vAlign w:val="top"/>
          </w:tcPr>
          <w:p w14:paraId="0F67C7CB">
            <w:pPr>
              <w:spacing w:line="360" w:lineRule="auto"/>
              <w:rPr>
                <w:rFonts w:hint="eastAsia" w:ascii="宋体" w:hAnsi="宋体" w:eastAsia="宋体" w:cs="宋体"/>
                <w:color w:val="auto"/>
                <w:sz w:val="22"/>
                <w:szCs w:val="22"/>
                <w:highlight w:val="none"/>
              </w:rPr>
            </w:pPr>
          </w:p>
        </w:tc>
      </w:tr>
      <w:tr w14:paraId="2CF5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5EE224C3">
            <w:pPr>
              <w:spacing w:line="360" w:lineRule="auto"/>
              <w:rPr>
                <w:rFonts w:hint="eastAsia" w:ascii="宋体" w:hAnsi="宋体" w:eastAsia="宋体" w:cs="宋体"/>
                <w:color w:val="auto"/>
                <w:sz w:val="22"/>
                <w:szCs w:val="22"/>
                <w:highlight w:val="none"/>
              </w:rPr>
            </w:pPr>
          </w:p>
        </w:tc>
        <w:tc>
          <w:tcPr>
            <w:tcW w:w="1417" w:type="dxa"/>
            <w:noWrap w:val="0"/>
            <w:vAlign w:val="top"/>
          </w:tcPr>
          <w:p w14:paraId="3692C098">
            <w:pPr>
              <w:spacing w:line="360" w:lineRule="auto"/>
              <w:rPr>
                <w:rFonts w:hint="eastAsia" w:ascii="宋体" w:hAnsi="宋体" w:eastAsia="宋体" w:cs="宋体"/>
                <w:color w:val="auto"/>
                <w:sz w:val="22"/>
                <w:szCs w:val="22"/>
                <w:highlight w:val="none"/>
              </w:rPr>
            </w:pPr>
          </w:p>
        </w:tc>
        <w:tc>
          <w:tcPr>
            <w:tcW w:w="1134" w:type="dxa"/>
            <w:noWrap w:val="0"/>
            <w:vAlign w:val="top"/>
          </w:tcPr>
          <w:p w14:paraId="61ADC01C">
            <w:pPr>
              <w:spacing w:line="360" w:lineRule="auto"/>
              <w:rPr>
                <w:rFonts w:hint="eastAsia" w:ascii="宋体" w:hAnsi="宋体" w:eastAsia="宋体" w:cs="宋体"/>
                <w:color w:val="auto"/>
                <w:sz w:val="22"/>
                <w:szCs w:val="22"/>
                <w:highlight w:val="none"/>
              </w:rPr>
            </w:pPr>
          </w:p>
        </w:tc>
        <w:tc>
          <w:tcPr>
            <w:tcW w:w="3260" w:type="dxa"/>
            <w:noWrap w:val="0"/>
            <w:vAlign w:val="top"/>
          </w:tcPr>
          <w:p w14:paraId="0950DC5E">
            <w:pPr>
              <w:spacing w:line="360" w:lineRule="auto"/>
              <w:rPr>
                <w:rFonts w:hint="eastAsia" w:ascii="宋体" w:hAnsi="宋体" w:eastAsia="宋体" w:cs="宋体"/>
                <w:color w:val="auto"/>
                <w:sz w:val="22"/>
                <w:szCs w:val="22"/>
                <w:highlight w:val="none"/>
              </w:rPr>
            </w:pPr>
          </w:p>
        </w:tc>
      </w:tr>
      <w:tr w14:paraId="653D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2F4DB924">
            <w:pPr>
              <w:spacing w:line="360" w:lineRule="auto"/>
              <w:rPr>
                <w:rFonts w:hint="eastAsia" w:ascii="宋体" w:hAnsi="宋体" w:eastAsia="宋体" w:cs="宋体"/>
                <w:color w:val="auto"/>
                <w:sz w:val="22"/>
                <w:szCs w:val="22"/>
                <w:highlight w:val="none"/>
              </w:rPr>
            </w:pPr>
          </w:p>
        </w:tc>
        <w:tc>
          <w:tcPr>
            <w:tcW w:w="1417" w:type="dxa"/>
            <w:noWrap w:val="0"/>
            <w:vAlign w:val="top"/>
          </w:tcPr>
          <w:p w14:paraId="65753909">
            <w:pPr>
              <w:spacing w:line="360" w:lineRule="auto"/>
              <w:rPr>
                <w:rFonts w:hint="eastAsia" w:ascii="宋体" w:hAnsi="宋体" w:eastAsia="宋体" w:cs="宋体"/>
                <w:color w:val="auto"/>
                <w:sz w:val="22"/>
                <w:szCs w:val="22"/>
                <w:highlight w:val="none"/>
              </w:rPr>
            </w:pPr>
          </w:p>
        </w:tc>
        <w:tc>
          <w:tcPr>
            <w:tcW w:w="1134" w:type="dxa"/>
            <w:noWrap w:val="0"/>
            <w:vAlign w:val="top"/>
          </w:tcPr>
          <w:p w14:paraId="5758CE54">
            <w:pPr>
              <w:spacing w:line="360" w:lineRule="auto"/>
              <w:rPr>
                <w:rFonts w:hint="eastAsia" w:ascii="宋体" w:hAnsi="宋体" w:eastAsia="宋体" w:cs="宋体"/>
                <w:color w:val="auto"/>
                <w:sz w:val="22"/>
                <w:szCs w:val="22"/>
                <w:highlight w:val="none"/>
              </w:rPr>
            </w:pPr>
          </w:p>
        </w:tc>
        <w:tc>
          <w:tcPr>
            <w:tcW w:w="3260" w:type="dxa"/>
            <w:noWrap w:val="0"/>
            <w:vAlign w:val="top"/>
          </w:tcPr>
          <w:p w14:paraId="7FF4F811">
            <w:pPr>
              <w:spacing w:line="360" w:lineRule="auto"/>
              <w:rPr>
                <w:rFonts w:hint="eastAsia" w:ascii="宋体" w:hAnsi="宋体" w:eastAsia="宋体" w:cs="宋体"/>
                <w:color w:val="auto"/>
                <w:sz w:val="22"/>
                <w:szCs w:val="22"/>
                <w:highlight w:val="none"/>
              </w:rPr>
            </w:pPr>
          </w:p>
        </w:tc>
      </w:tr>
      <w:tr w14:paraId="67205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7635E926">
            <w:pPr>
              <w:spacing w:line="360" w:lineRule="auto"/>
              <w:rPr>
                <w:rFonts w:hint="eastAsia" w:ascii="宋体" w:hAnsi="宋体" w:eastAsia="宋体" w:cs="宋体"/>
                <w:color w:val="auto"/>
                <w:sz w:val="22"/>
                <w:szCs w:val="22"/>
                <w:highlight w:val="none"/>
              </w:rPr>
            </w:pPr>
          </w:p>
        </w:tc>
        <w:tc>
          <w:tcPr>
            <w:tcW w:w="1417" w:type="dxa"/>
            <w:noWrap w:val="0"/>
            <w:vAlign w:val="top"/>
          </w:tcPr>
          <w:p w14:paraId="62F8CC1B">
            <w:pPr>
              <w:spacing w:line="360" w:lineRule="auto"/>
              <w:rPr>
                <w:rFonts w:hint="eastAsia" w:ascii="宋体" w:hAnsi="宋体" w:eastAsia="宋体" w:cs="宋体"/>
                <w:color w:val="auto"/>
                <w:sz w:val="22"/>
                <w:szCs w:val="22"/>
                <w:highlight w:val="none"/>
              </w:rPr>
            </w:pPr>
          </w:p>
        </w:tc>
        <w:tc>
          <w:tcPr>
            <w:tcW w:w="1134" w:type="dxa"/>
            <w:noWrap w:val="0"/>
            <w:vAlign w:val="top"/>
          </w:tcPr>
          <w:p w14:paraId="440383BC">
            <w:pPr>
              <w:spacing w:line="360" w:lineRule="auto"/>
              <w:rPr>
                <w:rFonts w:hint="eastAsia" w:ascii="宋体" w:hAnsi="宋体" w:eastAsia="宋体" w:cs="宋体"/>
                <w:color w:val="auto"/>
                <w:sz w:val="22"/>
                <w:szCs w:val="22"/>
                <w:highlight w:val="none"/>
              </w:rPr>
            </w:pPr>
          </w:p>
        </w:tc>
        <w:tc>
          <w:tcPr>
            <w:tcW w:w="3260" w:type="dxa"/>
            <w:noWrap w:val="0"/>
            <w:vAlign w:val="top"/>
          </w:tcPr>
          <w:p w14:paraId="1304322B">
            <w:pPr>
              <w:spacing w:line="360" w:lineRule="auto"/>
              <w:rPr>
                <w:rFonts w:hint="eastAsia" w:ascii="宋体" w:hAnsi="宋体" w:eastAsia="宋体" w:cs="宋体"/>
                <w:color w:val="auto"/>
                <w:sz w:val="22"/>
                <w:szCs w:val="22"/>
                <w:highlight w:val="none"/>
              </w:rPr>
            </w:pPr>
          </w:p>
        </w:tc>
      </w:tr>
      <w:tr w14:paraId="72E5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009865CE">
            <w:pPr>
              <w:spacing w:line="360" w:lineRule="auto"/>
              <w:rPr>
                <w:rFonts w:hint="eastAsia" w:ascii="宋体" w:hAnsi="宋体" w:eastAsia="宋体" w:cs="宋体"/>
                <w:color w:val="auto"/>
                <w:sz w:val="22"/>
                <w:szCs w:val="22"/>
                <w:highlight w:val="none"/>
              </w:rPr>
            </w:pPr>
          </w:p>
        </w:tc>
        <w:tc>
          <w:tcPr>
            <w:tcW w:w="1417" w:type="dxa"/>
            <w:noWrap w:val="0"/>
            <w:vAlign w:val="top"/>
          </w:tcPr>
          <w:p w14:paraId="45D521B0">
            <w:pPr>
              <w:spacing w:line="360" w:lineRule="auto"/>
              <w:rPr>
                <w:rFonts w:hint="eastAsia" w:ascii="宋体" w:hAnsi="宋体" w:eastAsia="宋体" w:cs="宋体"/>
                <w:color w:val="auto"/>
                <w:sz w:val="22"/>
                <w:szCs w:val="22"/>
                <w:highlight w:val="none"/>
              </w:rPr>
            </w:pPr>
          </w:p>
        </w:tc>
        <w:tc>
          <w:tcPr>
            <w:tcW w:w="1134" w:type="dxa"/>
            <w:noWrap w:val="0"/>
            <w:vAlign w:val="top"/>
          </w:tcPr>
          <w:p w14:paraId="3B2CC544">
            <w:pPr>
              <w:spacing w:line="360" w:lineRule="auto"/>
              <w:rPr>
                <w:rFonts w:hint="eastAsia" w:ascii="宋体" w:hAnsi="宋体" w:eastAsia="宋体" w:cs="宋体"/>
                <w:color w:val="auto"/>
                <w:sz w:val="22"/>
                <w:szCs w:val="22"/>
                <w:highlight w:val="none"/>
              </w:rPr>
            </w:pPr>
          </w:p>
        </w:tc>
        <w:tc>
          <w:tcPr>
            <w:tcW w:w="3260" w:type="dxa"/>
            <w:noWrap w:val="0"/>
            <w:vAlign w:val="top"/>
          </w:tcPr>
          <w:p w14:paraId="2B0F5427">
            <w:pPr>
              <w:spacing w:line="360" w:lineRule="auto"/>
              <w:rPr>
                <w:rFonts w:hint="eastAsia" w:ascii="宋体" w:hAnsi="宋体" w:eastAsia="宋体" w:cs="宋体"/>
                <w:color w:val="auto"/>
                <w:sz w:val="22"/>
                <w:szCs w:val="22"/>
                <w:highlight w:val="none"/>
              </w:rPr>
            </w:pPr>
          </w:p>
        </w:tc>
      </w:tr>
    </w:tbl>
    <w:p w14:paraId="1D07D3FA">
      <w:pPr>
        <w:spacing w:line="360" w:lineRule="auto"/>
        <w:ind w:firstLine="620"/>
        <w:rPr>
          <w:rFonts w:hint="eastAsia" w:ascii="宋体" w:hAnsi="宋体" w:eastAsia="宋体" w:cs="宋体"/>
          <w:color w:val="auto"/>
          <w:sz w:val="22"/>
          <w:szCs w:val="22"/>
          <w:highlight w:val="none"/>
        </w:rPr>
      </w:pPr>
      <w:r>
        <w:rPr>
          <w:rFonts w:hint="eastAsia" w:ascii="宋体" w:hAnsi="宋体" w:eastAsia="宋体" w:cs="宋体"/>
          <w:color w:val="auto"/>
          <w:sz w:val="32"/>
          <w:highlight w:val="none"/>
        </w:rPr>
        <w:br w:type="page"/>
      </w:r>
      <w:r>
        <w:rPr>
          <w:rFonts w:hint="eastAsia" w:ascii="宋体" w:hAnsi="宋体" w:eastAsia="宋体" w:cs="宋体"/>
          <w:color w:val="auto"/>
          <w:sz w:val="22"/>
          <w:szCs w:val="22"/>
          <w:highlight w:val="none"/>
        </w:rPr>
        <w:t>附件七：分包工程资料管理协议</w:t>
      </w:r>
    </w:p>
    <w:p w14:paraId="6AF4EC50">
      <w:pPr>
        <w:spacing w:line="360" w:lineRule="auto"/>
        <w:ind w:firstLine="620"/>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分包工程资料管理协议</w:t>
      </w:r>
    </w:p>
    <w:p w14:paraId="351A05EE">
      <w:pPr>
        <w:spacing w:line="360" w:lineRule="auto"/>
        <w:ind w:firstLine="620"/>
        <w:jc w:val="center"/>
        <w:rPr>
          <w:rFonts w:hint="eastAsia" w:ascii="宋体" w:hAnsi="宋体" w:eastAsia="宋体" w:cs="宋体"/>
          <w:b/>
          <w:bCs/>
          <w:color w:val="auto"/>
          <w:sz w:val="22"/>
          <w:szCs w:val="22"/>
          <w:highlight w:val="none"/>
        </w:rPr>
      </w:pPr>
    </w:p>
    <w:p w14:paraId="77A765E6">
      <w:pPr>
        <w:spacing w:line="360" w:lineRule="auto"/>
        <w:ind w:firstLine="620"/>
        <w:jc w:val="center"/>
        <w:rPr>
          <w:rFonts w:hint="eastAsia" w:ascii="宋体" w:hAnsi="宋体" w:eastAsia="宋体" w:cs="宋体"/>
          <w:b/>
          <w:bCs/>
          <w:color w:val="auto"/>
          <w:sz w:val="22"/>
          <w:szCs w:val="22"/>
          <w:highlight w:val="none"/>
        </w:rPr>
      </w:pPr>
    </w:p>
    <w:p w14:paraId="14C6293E">
      <w:pPr>
        <w:spacing w:after="200" w:line="360" w:lineRule="auto"/>
        <w:ind w:firstLine="6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甲方（委托方）：</w:t>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rPr>
        <w:t>（以下简称甲方）</w:t>
      </w:r>
    </w:p>
    <w:p w14:paraId="6E147CC6">
      <w:pPr>
        <w:spacing w:after="100" w:line="360" w:lineRule="auto"/>
        <w:ind w:firstLine="6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乙方（受托方）：</w:t>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rPr>
        <w:t>（以下简称乙方）</w:t>
      </w:r>
    </w:p>
    <w:p w14:paraId="5FEF8439">
      <w:pPr>
        <w:spacing w:line="360" w:lineRule="auto"/>
        <w:ind w:firstLine="6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根据《中华人民共和国民法典》及其他有关法律法规，遵循平等自愿、公正和诚实信用的原则，为明确双方的权利和义务，双方就工程资料管理合作事项协商一致，订立本合同，双方应严格执行。</w:t>
      </w:r>
    </w:p>
    <w:p w14:paraId="5BA7640C">
      <w:pPr>
        <w:spacing w:line="360" w:lineRule="auto"/>
        <w:ind w:firstLine="620"/>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第一条</w:t>
      </w:r>
      <w:r>
        <w:rPr>
          <w:rFonts w:hint="eastAsia" w:ascii="宋体" w:hAnsi="宋体" w:eastAsia="宋体" w:cs="宋体"/>
          <w:color w:val="auto"/>
          <w:sz w:val="22"/>
          <w:szCs w:val="22"/>
          <w:highlight w:val="none"/>
        </w:rPr>
        <w:t xml:space="preserve"> </w:t>
      </w:r>
      <w:r>
        <w:rPr>
          <w:rFonts w:hint="eastAsia" w:ascii="宋体" w:hAnsi="宋体" w:eastAsia="宋体" w:cs="宋体"/>
          <w:b/>
          <w:bCs/>
          <w:color w:val="auto"/>
          <w:sz w:val="22"/>
          <w:szCs w:val="22"/>
          <w:highlight w:val="none"/>
        </w:rPr>
        <w:t>工程概况及工作内容</w:t>
      </w:r>
    </w:p>
    <w:p w14:paraId="76394C4F">
      <w:pPr>
        <w:spacing w:after="100" w:line="360" w:lineRule="auto"/>
        <w:ind w:firstLine="6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1.工程名称：</w:t>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ab/>
      </w:r>
    </w:p>
    <w:p w14:paraId="0B7011B2">
      <w:pPr>
        <w:spacing w:after="100" w:line="360" w:lineRule="auto"/>
        <w:ind w:firstLine="6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2.工程地点：</w:t>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r>
        <w:rPr>
          <w:rFonts w:hint="eastAsia" w:ascii="宋体" w:hAnsi="宋体" w:eastAsia="宋体" w:cs="宋体"/>
          <w:color w:val="auto"/>
          <w:sz w:val="22"/>
          <w:szCs w:val="22"/>
          <w:highlight w:val="none"/>
          <w:u w:val="single"/>
        </w:rPr>
        <w:tab/>
      </w:r>
    </w:p>
    <w:p w14:paraId="3F0B5D60">
      <w:pPr>
        <w:spacing w:after="100" w:line="360" w:lineRule="auto"/>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第二条</w:t>
      </w:r>
      <w:r>
        <w:rPr>
          <w:rFonts w:hint="eastAsia" w:ascii="宋体" w:hAnsi="宋体" w:eastAsia="宋体" w:cs="宋体"/>
          <w:color w:val="auto"/>
          <w:sz w:val="22"/>
          <w:szCs w:val="22"/>
          <w:highlight w:val="none"/>
        </w:rPr>
        <w:t xml:space="preserve"> </w:t>
      </w:r>
      <w:r>
        <w:rPr>
          <w:rFonts w:hint="eastAsia" w:ascii="宋体" w:hAnsi="宋体" w:eastAsia="宋体" w:cs="宋体"/>
          <w:b/>
          <w:bCs/>
          <w:color w:val="auto"/>
          <w:sz w:val="22"/>
          <w:szCs w:val="22"/>
          <w:highlight w:val="none"/>
        </w:rPr>
        <w:t>甲方的权利及义务</w:t>
      </w:r>
    </w:p>
    <w:p w14:paraId="4940DBED">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负责提供乙方需要的设计图纸一套，提供工程概况信息。</w:t>
      </w:r>
    </w:p>
    <w:p w14:paraId="2E12957C">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不</w:t>
      </w:r>
      <w:r>
        <w:rPr>
          <w:rFonts w:hint="eastAsia" w:ascii="宋体" w:hAnsi="宋体" w:eastAsia="宋体" w:cs="宋体"/>
          <w:color w:val="auto"/>
          <w:sz w:val="22"/>
          <w:szCs w:val="22"/>
          <w:highlight w:val="none"/>
        </w:rPr>
        <w:t>负责为乙方提供办公场所及办公</w:t>
      </w:r>
      <w:r>
        <w:rPr>
          <w:rFonts w:hint="eastAsia" w:ascii="宋体" w:hAnsi="宋体" w:eastAsia="宋体" w:cs="宋体"/>
          <w:color w:val="auto"/>
          <w:sz w:val="22"/>
          <w:szCs w:val="22"/>
          <w:highlight w:val="none"/>
          <w:lang w:val="en-US" w:eastAsia="zh-CN"/>
        </w:rPr>
        <w:t>室（办公用品除外）和</w:t>
      </w:r>
      <w:r>
        <w:rPr>
          <w:rFonts w:hint="eastAsia" w:ascii="宋体" w:hAnsi="宋体" w:eastAsia="宋体" w:cs="宋体"/>
          <w:color w:val="auto"/>
          <w:sz w:val="22"/>
          <w:szCs w:val="22"/>
          <w:highlight w:val="none"/>
        </w:rPr>
        <w:t>住宿。</w:t>
      </w:r>
    </w:p>
    <w:p w14:paraId="6AA99177">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负责统筹编制工程资料管理各项计划，建立档案室、档案目录。</w:t>
      </w:r>
    </w:p>
    <w:p w14:paraId="38E457F6">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负责统筹所有材料原材送检、质量证明文件和所需检测检验费用，落实工程实体检测和方案等相关工作。</w:t>
      </w:r>
    </w:p>
    <w:p w14:paraId="5821FF4B">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负责严格检查工程资料的及时性，真实性、合规性、标准性。</w:t>
      </w:r>
    </w:p>
    <w:p w14:paraId="30369841">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负责编制、收集工程前期文件，督办项目部人员及分包单位施工资料，协调工程资料签章流程。</w:t>
      </w:r>
    </w:p>
    <w:p w14:paraId="312389DF">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负责统筹施工日记的编写。</w:t>
      </w:r>
    </w:p>
    <w:p w14:paraId="2027D138">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负责收集专项施工方案和施工过程隐蔽照片。</w:t>
      </w:r>
    </w:p>
    <w:p w14:paraId="0A7C4598">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负责及时了解工地施工情况，配合有关部门的资料检查。</w:t>
      </w:r>
    </w:p>
    <w:p w14:paraId="19BB7211">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负责准备现场工程验收资料和会议工作。</w:t>
      </w:r>
    </w:p>
    <w:p w14:paraId="27F12C3F">
      <w:pPr>
        <w:numPr>
          <w:ilvl w:val="0"/>
          <w:numId w:val="9"/>
        </w:numPr>
        <w:spacing w:after="10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负责统筹与本工程相关资料的装订、移交、备案。</w:t>
      </w:r>
    </w:p>
    <w:p w14:paraId="60B1C31E">
      <w:pPr>
        <w:spacing w:after="120" w:line="360" w:lineRule="auto"/>
        <w:ind w:firstLine="442" w:firstLineChars="200"/>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第三条 乙方的权利和义务</w:t>
      </w:r>
    </w:p>
    <w:p w14:paraId="4FD94E5A">
      <w:pPr>
        <w:numPr>
          <w:ilvl w:val="0"/>
          <w:numId w:val="10"/>
        </w:numPr>
        <w:spacing w:after="12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编制分包专业工程资料管理各项计划、开工审批、施工管理文件、工程测量记录、分部工程验收资料、分部工程施工管理和技术文件、子分部施工物资质量证明文件及检验报告、工程功能性检验资料和主要功能抽查报告、子分部工程施工记录资料、保证现场与资料同步，工程归档资料的收集整理应与施工同步。</w:t>
      </w:r>
    </w:p>
    <w:p w14:paraId="590974CD">
      <w:pPr>
        <w:numPr>
          <w:ilvl w:val="0"/>
          <w:numId w:val="10"/>
        </w:numPr>
        <w:spacing w:after="12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分包专业工程安全管理资料，填写工程项目基本情况、配合组织各班组长及工种人员进行安全交底、各项安全检查及整改、安全教育、班前活动、各项安全应急救援和演练、报审特种人员证件、机械机具进退场、动火审批、人员登记、安全专项方案、参与验收脚手架、模板工程、基坑验收、安全防护用具、施工用电等相关资料编制和收集。</w:t>
      </w:r>
    </w:p>
    <w:p w14:paraId="28219DE9">
      <w:pPr>
        <w:numPr>
          <w:ilvl w:val="0"/>
          <w:numId w:val="10"/>
        </w:numPr>
        <w:spacing w:after="12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负责报审分包专业工程资料和五方参建单位签章。</w:t>
      </w:r>
    </w:p>
    <w:p w14:paraId="4FDDF5F9">
      <w:pPr>
        <w:numPr>
          <w:ilvl w:val="0"/>
          <w:numId w:val="10"/>
        </w:numPr>
        <w:spacing w:after="12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负责分包专业工程原材料见证取样和送检合格，负责工程调试、安装测试合格，负责采购各种检测检验设备。</w:t>
      </w:r>
    </w:p>
    <w:p w14:paraId="0A953EDA">
      <w:pPr>
        <w:numPr>
          <w:ilvl w:val="0"/>
          <w:numId w:val="10"/>
        </w:numPr>
        <w:spacing w:after="12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负责编制专项施工方案、拍摄施工过程隐蔽照片。</w:t>
      </w:r>
    </w:p>
    <w:p w14:paraId="1B9A7924">
      <w:pPr>
        <w:numPr>
          <w:ilvl w:val="0"/>
          <w:numId w:val="10"/>
        </w:numPr>
        <w:spacing w:after="12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负责及时完善所有的收发函件（工作联系单）等。</w:t>
      </w:r>
    </w:p>
    <w:p w14:paraId="216362D6">
      <w:pPr>
        <w:numPr>
          <w:ilvl w:val="0"/>
          <w:numId w:val="10"/>
        </w:numPr>
        <w:spacing w:after="12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负责及时了解工地施工情况，配合有关部门的资料检查。</w:t>
      </w:r>
    </w:p>
    <w:p w14:paraId="1628E03C">
      <w:pPr>
        <w:numPr>
          <w:ilvl w:val="0"/>
          <w:numId w:val="10"/>
        </w:numPr>
        <w:spacing w:after="12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负责保证分包专业工程资料合格达到交付（因施工、试验等其他原因除外），甲方视情况给予处罚。</w:t>
      </w:r>
    </w:p>
    <w:p w14:paraId="6F8F93C8">
      <w:pPr>
        <w:numPr>
          <w:ilvl w:val="0"/>
          <w:numId w:val="10"/>
        </w:numPr>
        <w:spacing w:after="120" w:line="360" w:lineRule="auto"/>
        <w:ind w:left="0" w:firstLine="56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负责分包专业工程竣工图编制、质量资料的整理、装订并及时将资料移交备案，最终交付三套（一套原件资料，两套复印件）保证不因资料问题影响施工及结算。</w:t>
      </w:r>
    </w:p>
    <w:p w14:paraId="04889176">
      <w:pPr>
        <w:spacing w:after="120" w:line="360" w:lineRule="auto"/>
        <w:ind w:left="567"/>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第四条</w:t>
      </w:r>
      <w:r>
        <w:rPr>
          <w:rFonts w:hint="eastAsia" w:ascii="宋体" w:hAnsi="宋体" w:eastAsia="宋体" w:cs="宋体"/>
          <w:color w:val="auto"/>
          <w:sz w:val="22"/>
          <w:szCs w:val="22"/>
          <w:highlight w:val="none"/>
        </w:rPr>
        <w:t xml:space="preserve">  未按总承包单位工程验收计划时间提供具备工程验收资料的，工程材料检测不合格未完成销案的，未按竣工图编制计划时间编制竣工图的，未按专业工程资料组卷和移交计划时间整理组卷装订的视为违约，每延迟一天处罚3000元，因甲方原因除外。</w:t>
      </w:r>
    </w:p>
    <w:p w14:paraId="690080A6">
      <w:pPr>
        <w:spacing w:after="120" w:line="360" w:lineRule="auto"/>
        <w:ind w:firstLine="442" w:firstLineChars="200"/>
        <w:jc w:val="left"/>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第五条</w:t>
      </w:r>
      <w:r>
        <w:rPr>
          <w:rFonts w:hint="eastAsia" w:ascii="宋体" w:hAnsi="宋体" w:eastAsia="宋体" w:cs="宋体"/>
          <w:color w:val="auto"/>
          <w:sz w:val="22"/>
          <w:szCs w:val="22"/>
          <w:highlight w:val="none"/>
        </w:rPr>
        <w:t xml:space="preserve"> 工程资料管理的基本管理要求，按建筑工程资料管理规程为行业标准，编号为JGJ/185-2009执行，分包工程资料归档要求按照</w:t>
      </w:r>
      <w:r>
        <w:rPr>
          <w:rFonts w:hint="eastAsia" w:ascii="宋体" w:hAnsi="宋体" w:eastAsia="宋体" w:cs="宋体"/>
          <w:color w:val="auto"/>
          <w:spacing w:val="-10"/>
          <w:sz w:val="22"/>
          <w:szCs w:val="22"/>
          <w:highlight w:val="none"/>
        </w:rPr>
        <w:t>《</w:t>
      </w:r>
      <w:r>
        <w:rPr>
          <w:rFonts w:hint="eastAsia" w:ascii="宋体" w:hAnsi="宋体" w:eastAsia="宋体" w:cs="宋体"/>
          <w:color w:val="auto"/>
          <w:spacing w:val="-4"/>
          <w:sz w:val="22"/>
          <w:szCs w:val="22"/>
          <w:highlight w:val="none"/>
        </w:rPr>
        <w:t>莞建公司工程竣工验收技术资料统一用表资料目录》(2023 版)</w:t>
      </w:r>
      <w:r>
        <w:rPr>
          <w:rFonts w:hint="eastAsia" w:ascii="宋体" w:hAnsi="宋体" w:eastAsia="宋体" w:cs="宋体"/>
          <w:color w:val="auto"/>
          <w:sz w:val="22"/>
          <w:szCs w:val="22"/>
          <w:highlight w:val="none"/>
        </w:rPr>
        <w:t>和项目所属地相关部门目录归档，主合同未尽事宜，以本协议条款为准。</w:t>
      </w:r>
    </w:p>
    <w:p w14:paraId="33F374ED">
      <w:pPr>
        <w:spacing w:line="360" w:lineRule="auto"/>
        <w:ind w:firstLine="600"/>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第六条</w:t>
      </w:r>
      <w:r>
        <w:rPr>
          <w:rFonts w:hint="eastAsia" w:ascii="宋体" w:hAnsi="宋体" w:eastAsia="宋体" w:cs="宋体"/>
          <w:color w:val="auto"/>
          <w:sz w:val="22"/>
          <w:szCs w:val="22"/>
          <w:highlight w:val="none"/>
        </w:rPr>
        <w:t xml:space="preserve"> 本合同一式陆份，甲方执肆份，乙方执贰份，经双方签字盖章后生效。</w:t>
      </w:r>
    </w:p>
    <w:p w14:paraId="79745CBC">
      <w:pPr>
        <w:spacing w:line="360" w:lineRule="auto"/>
        <w:ind w:firstLine="600"/>
        <w:rPr>
          <w:rFonts w:hint="eastAsia" w:ascii="宋体" w:hAnsi="宋体" w:eastAsia="宋体" w:cs="宋体"/>
          <w:color w:val="auto"/>
          <w:sz w:val="22"/>
          <w:szCs w:val="22"/>
          <w:highlight w:val="none"/>
        </w:rPr>
      </w:pPr>
    </w:p>
    <w:p w14:paraId="316BB2FD">
      <w:pPr>
        <w:spacing w:before="320" w:after="140" w:line="360" w:lineRule="auto"/>
        <w:ind w:left="6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甲方：                            乙方：</w:t>
      </w:r>
    </w:p>
    <w:p w14:paraId="3B09E807">
      <w:pPr>
        <w:spacing w:before="320" w:after="140" w:line="360" w:lineRule="auto"/>
        <w:ind w:left="600"/>
        <w:rPr>
          <w:rFonts w:hint="eastAsia" w:ascii="宋体" w:hAnsi="宋体" w:eastAsia="宋体" w:cs="宋体"/>
          <w:color w:val="auto"/>
          <w:sz w:val="22"/>
          <w:szCs w:val="22"/>
          <w:highlight w:val="none"/>
        </w:rPr>
      </w:pPr>
    </w:p>
    <w:p w14:paraId="3C3AB699">
      <w:pPr>
        <w:spacing w:after="100" w:line="360" w:lineRule="auto"/>
        <w:ind w:left="6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                     法定代表人：</w:t>
      </w:r>
    </w:p>
    <w:p w14:paraId="24988287">
      <w:pPr>
        <w:spacing w:after="120" w:line="360" w:lineRule="auto"/>
        <w:ind w:left="6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或授权委托人：                   或授权委托人：</w:t>
      </w:r>
    </w:p>
    <w:p w14:paraId="4F6BD708">
      <w:pPr>
        <w:spacing w:after="140" w:line="360" w:lineRule="auto"/>
        <w:ind w:left="6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                           地址：</w:t>
      </w:r>
    </w:p>
    <w:p w14:paraId="5FB72F0F">
      <w:pPr>
        <w:spacing w:line="360" w:lineRule="auto"/>
        <w:ind w:left="60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电话：                           电话：</w:t>
      </w:r>
    </w:p>
    <w:p w14:paraId="3C7DB2F1">
      <w:pPr>
        <w:jc w:val="left"/>
        <w:rPr>
          <w:rFonts w:hint="eastAsia" w:ascii="宋体" w:hAnsi="宋体" w:eastAsia="宋体" w:cs="宋体"/>
          <w:color w:val="auto"/>
          <w:highlight w:val="none"/>
        </w:rPr>
      </w:pPr>
      <w:r>
        <w:rPr>
          <w:rFonts w:hint="eastAsia" w:ascii="宋体" w:hAnsi="宋体" w:eastAsia="宋体" w:cs="宋体"/>
          <w:color w:val="auto"/>
          <w:sz w:val="32"/>
          <w:highlight w:val="none"/>
        </w:rPr>
        <w:br w:type="page"/>
      </w:r>
      <w:r>
        <w:rPr>
          <w:rFonts w:hint="eastAsia" w:ascii="宋体" w:hAnsi="宋体" w:eastAsia="宋体" w:cs="宋体"/>
          <w:color w:val="auto"/>
          <w:sz w:val="22"/>
          <w:szCs w:val="22"/>
          <w:highlight w:val="none"/>
        </w:rPr>
        <w:t>附件八、</w:t>
      </w:r>
      <w:r>
        <w:rPr>
          <w:rFonts w:hint="eastAsia" w:ascii="宋体" w:hAnsi="宋体" w:eastAsia="宋体" w:cs="宋体"/>
          <w:color w:val="auto"/>
          <w:highlight w:val="none"/>
        </w:rPr>
        <w:t>材料产品质量承诺函</w:t>
      </w:r>
    </w:p>
    <w:p w14:paraId="2716FEBA">
      <w:pPr>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材料产品质量承诺函</w:t>
      </w:r>
    </w:p>
    <w:p w14:paraId="72E785CB">
      <w:pPr>
        <w:spacing w:before="156" w:before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东莞</w:t>
      </w:r>
      <w:r>
        <w:rPr>
          <w:rFonts w:hint="eastAsia" w:ascii="宋体" w:hAnsi="宋体" w:eastAsia="宋体" w:cs="宋体"/>
          <w:color w:val="auto"/>
          <w:szCs w:val="21"/>
          <w:highlight w:val="none"/>
          <w:u w:val="single"/>
          <w:lang w:val="en-US" w:eastAsia="zh-CN"/>
        </w:rPr>
        <w:t>城工集团照明工程</w:t>
      </w:r>
      <w:r>
        <w:rPr>
          <w:rFonts w:hint="eastAsia" w:ascii="宋体" w:hAnsi="宋体" w:eastAsia="宋体" w:cs="宋体"/>
          <w:color w:val="auto"/>
          <w:szCs w:val="21"/>
          <w:highlight w:val="none"/>
          <w:u w:val="single"/>
        </w:rPr>
        <w:t>有限公司</w:t>
      </w:r>
    </w:p>
    <w:p w14:paraId="563286F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我方作为贵司</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材料供应商，为确保所供材料质量符合国家、行业相关标准及合同约定要求，保障施工质量与安全，我方郑重承诺如下：</w:t>
      </w:r>
    </w:p>
    <w:p w14:paraId="069558BC">
      <w:pPr>
        <w:numPr>
          <w:ilvl w:val="0"/>
          <w:numId w:val="11"/>
        </w:numPr>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质量保证</w:t>
      </w:r>
    </w:p>
    <w:p w14:paraId="236CCDFA">
      <w:pPr>
        <w:numPr>
          <w:ilvl w:val="0"/>
          <w:numId w:val="12"/>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我方保证具备合法经营资质，所提供的材料产品完全符合国家、行业相关标准及合同约定要求。</w:t>
      </w:r>
    </w:p>
    <w:p w14:paraId="5C6171C1">
      <w:pPr>
        <w:numPr>
          <w:ilvl w:val="0"/>
          <w:numId w:val="12"/>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所有材料均通过正规生产流程制造，具备完整的质量检验合格证明文件，包括但不限于出厂合格证、检测报告、质量认证书等。</w:t>
      </w:r>
    </w:p>
    <w:p w14:paraId="4F9804F7">
      <w:pPr>
        <w:numPr>
          <w:ilvl w:val="0"/>
          <w:numId w:val="11"/>
        </w:numPr>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检验与验收</w:t>
      </w:r>
    </w:p>
    <w:p w14:paraId="788DDA4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1、贵司有权对我方所供材料进行随机抽样检测，或委托具备相应资质第三方机构进行复检。若检测结果不符合约定标准，我方将承担全部复检费用，并无条件退换货，或按合同约定承担违约责任。</w:t>
      </w:r>
    </w:p>
    <w:p w14:paraId="17B646B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2、材料到场后，若发现外观破损、以次充好、擅自更换规格或型号等违规行为，我方承诺在24小时内响应并处理。若未能按时响应，将按违约处理。</w:t>
      </w:r>
    </w:p>
    <w:p w14:paraId="14247220">
      <w:pPr>
        <w:numPr>
          <w:ilvl w:val="0"/>
          <w:numId w:val="11"/>
        </w:numPr>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售后服务</w:t>
      </w:r>
    </w:p>
    <w:p w14:paraId="41BD13B6">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1、材料质保期为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12</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个月，自验收合格之日起计算。质保期内，因材料质量缺陷导致的问题，我方负责免费维修、更换或赔偿损失。</w:t>
      </w:r>
    </w:p>
    <w:p w14:paraId="41D30EE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2、我方提供专业技术支持，协助解决材料使用过程中的技术问题。</w:t>
      </w:r>
    </w:p>
    <w:p w14:paraId="560A0A35">
      <w:pPr>
        <w:numPr>
          <w:ilvl w:val="0"/>
          <w:numId w:val="11"/>
        </w:numPr>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违约责任</w:t>
      </w:r>
    </w:p>
    <w:p w14:paraId="3A683956">
      <w:pPr>
        <w:numPr>
          <w:ilvl w:val="0"/>
          <w:numId w:val="13"/>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若因材料质量问题导致验收不合格、工期延误等，我方无条件重新提供合格材料并承担验收不合格、工期延误等损失，同时按合同约定支付违约金。</w:t>
      </w:r>
    </w:p>
    <w:p w14:paraId="5167F574">
      <w:pPr>
        <w:numPr>
          <w:ilvl w:val="0"/>
          <w:numId w:val="13"/>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若因材料质量缺陷引发安全事故，我方承担全部法律责任及相应赔偿。</w:t>
      </w:r>
    </w:p>
    <w:p w14:paraId="5170A747">
      <w:pPr>
        <w:numPr>
          <w:ilvl w:val="0"/>
          <w:numId w:val="13"/>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若我方未履行以上承诺，贵司有权单方面终止合同，同时对我方履约项目团队列入永不合作名单，并追究我司因违约造成的直接、间接损失（包括但不限于信誉损失、第三方索赔等）。</w:t>
      </w:r>
    </w:p>
    <w:p w14:paraId="4BC4AFE1">
      <w:pPr>
        <w:wordWrap w:val="0"/>
        <w:spacing w:line="360" w:lineRule="auto"/>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承诺方（盖章）：</w:t>
      </w:r>
      <w:r>
        <w:rPr>
          <w:rFonts w:hint="eastAsia" w:ascii="宋体" w:hAnsi="宋体" w:eastAsia="宋体" w:cs="宋体"/>
          <w:color w:val="auto"/>
          <w:szCs w:val="21"/>
          <w:highlight w:val="none"/>
          <w:u w:val="single"/>
        </w:rPr>
        <w:t xml:space="preserve">                   </w:t>
      </w:r>
    </w:p>
    <w:p w14:paraId="0BBE9634">
      <w:pPr>
        <w:wordWrap w:val="0"/>
        <w:spacing w:line="360" w:lineRule="auto"/>
        <w:jc w:val="righ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法定代表人/授权代表（签字）：</w:t>
      </w:r>
      <w:r>
        <w:rPr>
          <w:rFonts w:hint="eastAsia" w:ascii="宋体" w:hAnsi="宋体" w:eastAsia="宋体" w:cs="宋体"/>
          <w:color w:val="auto"/>
          <w:szCs w:val="21"/>
          <w:highlight w:val="none"/>
          <w:u w:val="single"/>
        </w:rPr>
        <w:t xml:space="preserve">                   </w:t>
      </w:r>
    </w:p>
    <w:p w14:paraId="7603A03D">
      <w:pPr>
        <w:wordWrap w:val="0"/>
        <w:spacing w:line="360" w:lineRule="auto"/>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     年    月    日</w:t>
      </w:r>
    </w:p>
    <w:p w14:paraId="497931E8">
      <w:pPr>
        <w:rPr>
          <w:rFonts w:hint="eastAsia" w:ascii="宋体" w:hAnsi="宋体" w:eastAsia="宋体" w:cs="宋体"/>
          <w:color w:val="auto"/>
          <w:sz w:val="22"/>
          <w:szCs w:val="22"/>
          <w:highlight w:val="none"/>
        </w:rPr>
        <w:sectPr>
          <w:pgSz w:w="11906" w:h="16838"/>
          <w:pgMar w:top="1440" w:right="1800" w:bottom="1440" w:left="1800" w:header="851" w:footer="992" w:gutter="0"/>
          <w:cols w:space="425" w:num="1"/>
          <w:docGrid w:type="lines" w:linePitch="312" w:charSpace="0"/>
        </w:sectPr>
      </w:pPr>
    </w:p>
    <w:p w14:paraId="1C49C991">
      <w:pPr>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附件九、用户需求书</w:t>
      </w:r>
    </w:p>
    <w:p w14:paraId="062728C7">
      <w:pPr>
        <w:rPr>
          <w:rFonts w:hint="eastAsia" w:ascii="宋体" w:hAnsi="宋体" w:cs="宋体"/>
          <w:color w:val="auto"/>
          <w:sz w:val="22"/>
          <w:szCs w:val="22"/>
          <w:highlight w:val="none"/>
          <w:lang w:val="en-US" w:eastAsia="zh-CN"/>
        </w:rPr>
      </w:pPr>
    </w:p>
    <w:p w14:paraId="33E0BA3F">
      <w:pPr>
        <w:jc w:val="center"/>
        <w:rPr>
          <w:rFonts w:hint="eastAsia" w:ascii="仿宋" w:hAnsi="仿宋" w:eastAsia="仿宋" w:cs="仿宋"/>
          <w:b/>
          <w:sz w:val="36"/>
          <w:szCs w:val="36"/>
          <w:lang w:eastAsia="zh-CN"/>
        </w:rPr>
      </w:pPr>
      <w:bookmarkStart w:id="40" w:name="OLE_LINK2"/>
      <w:r>
        <w:rPr>
          <w:rFonts w:hint="eastAsia" w:ascii="仿宋" w:hAnsi="仿宋" w:eastAsia="仿宋" w:cs="仿宋"/>
          <w:b/>
          <w:sz w:val="36"/>
          <w:szCs w:val="36"/>
          <w:lang w:eastAsia="zh-CN"/>
        </w:rPr>
        <w:t>《</w:t>
      </w:r>
      <w:r>
        <w:rPr>
          <w:rFonts w:hint="eastAsia" w:ascii="仿宋" w:hAnsi="仿宋" w:eastAsia="仿宋" w:cs="仿宋"/>
          <w:b/>
          <w:sz w:val="36"/>
          <w:szCs w:val="36"/>
        </w:rPr>
        <w:t>劳务专业分包采购用户需求书</w:t>
      </w:r>
      <w:r>
        <w:rPr>
          <w:rFonts w:hint="eastAsia" w:ascii="仿宋" w:hAnsi="仿宋" w:eastAsia="仿宋" w:cs="仿宋"/>
          <w:b/>
          <w:sz w:val="36"/>
          <w:szCs w:val="36"/>
          <w:lang w:eastAsia="zh-CN"/>
        </w:rPr>
        <w:t>》</w:t>
      </w:r>
    </w:p>
    <w:p w14:paraId="559CBAB3">
      <w:pPr>
        <w:pStyle w:val="3"/>
        <w:widowControl/>
        <w:spacing w:beforeAutospacing="0"/>
        <w:rPr>
          <w:rStyle w:val="11"/>
          <w:rFonts w:hint="eastAsia" w:ascii="仿宋" w:hAnsi="仿宋" w:eastAsia="仿宋" w:cs="仿宋"/>
          <w:b/>
          <w:bCs/>
        </w:rPr>
      </w:pPr>
      <w:r>
        <w:rPr>
          <w:rStyle w:val="11"/>
          <w:rFonts w:ascii="仿宋" w:hAnsi="仿宋" w:eastAsia="仿宋" w:cs="仿宋"/>
          <w:b/>
          <w:bCs/>
          <w:sz w:val="28"/>
          <w:szCs w:val="28"/>
        </w:rPr>
        <w:t>一、工程概况</w:t>
      </w:r>
    </w:p>
    <w:p w14:paraId="48CF91FD">
      <w:pPr>
        <w:pStyle w:val="8"/>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rPr>
        <w:t>施工范围</w:t>
      </w:r>
      <w:r>
        <w:rPr>
          <w:rFonts w:hint="eastAsia" w:ascii="仿宋" w:hAnsi="仿宋" w:eastAsia="仿宋" w:cs="仿宋"/>
        </w:rPr>
        <w:t>：</w:t>
      </w:r>
    </w:p>
    <w:p w14:paraId="7C0A8472">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包含</w:t>
      </w:r>
      <w:r>
        <w:rPr>
          <w:rFonts w:hint="eastAsia" w:ascii="仿宋" w:hAnsi="仿宋" w:eastAsia="仿宋"/>
          <w:sz w:val="24"/>
          <w:lang w:eastAsia="zh-CN"/>
        </w:rPr>
        <w:t>东莞市沙田中学（暂定名）、</w:t>
      </w:r>
      <w:r>
        <w:rPr>
          <w:rFonts w:hint="eastAsia" w:ascii="仿宋" w:hAnsi="仿宋" w:eastAsia="仿宋"/>
          <w:sz w:val="24"/>
          <w:lang w:val="en-US" w:eastAsia="zh-CN"/>
        </w:rPr>
        <w:t>东莞市生物技术产业园、东莞市应急消防救援训练基地三个项目的泛光照明及景观电气工程劳务作业。</w:t>
      </w:r>
    </w:p>
    <w:p w14:paraId="244942F3">
      <w:pPr>
        <w:pStyle w:val="8"/>
        <w:spacing w:before="0" w:beforeAutospacing="0" w:after="0" w:afterAutospacing="0" w:line="360" w:lineRule="auto"/>
        <w:ind w:firstLine="482" w:firstLineChars="200"/>
        <w:rPr>
          <w:rStyle w:val="11"/>
          <w:rFonts w:hint="eastAsia" w:ascii="仿宋" w:hAnsi="仿宋" w:eastAsia="仿宋" w:cs="仿宋"/>
        </w:rPr>
      </w:pPr>
      <w:r>
        <w:rPr>
          <w:rStyle w:val="11"/>
          <w:rFonts w:hint="eastAsia" w:ascii="仿宋" w:hAnsi="仿宋" w:eastAsia="仿宋" w:cs="仿宋"/>
        </w:rPr>
        <w:t>施工内容：</w:t>
      </w:r>
    </w:p>
    <w:p w14:paraId="02566F1C">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1、</w:t>
      </w:r>
      <w:r>
        <w:rPr>
          <w:rFonts w:hint="eastAsia" w:ascii="仿宋" w:hAnsi="仿宋" w:eastAsia="仿宋"/>
          <w:b/>
          <w:bCs/>
          <w:sz w:val="24"/>
          <w:lang w:eastAsia="zh-CN"/>
        </w:rPr>
        <w:t>东莞市沙田中学（暂定名）</w:t>
      </w:r>
      <w:r>
        <w:rPr>
          <w:rFonts w:hint="eastAsia" w:ascii="仿宋" w:hAnsi="仿宋" w:eastAsia="仿宋"/>
          <w:b/>
          <w:bCs/>
          <w:sz w:val="24"/>
        </w:rPr>
        <w:t>-</w:t>
      </w:r>
      <w:r>
        <w:rPr>
          <w:rFonts w:hint="eastAsia" w:ascii="仿宋" w:hAnsi="仿宋" w:eastAsia="仿宋"/>
          <w:b/>
          <w:bCs/>
          <w:sz w:val="24"/>
          <w:lang w:val="en-US" w:eastAsia="zh-CN"/>
        </w:rPr>
        <w:t>泛光照明及景观电气工程</w:t>
      </w:r>
      <w:r>
        <w:rPr>
          <w:rFonts w:hint="eastAsia" w:ascii="仿宋" w:hAnsi="仿宋" w:eastAsia="仿宋"/>
          <w:b/>
          <w:bCs/>
          <w:sz w:val="24"/>
          <w:lang w:eastAsia="zh-CN"/>
        </w:rPr>
        <w:t>：</w:t>
      </w:r>
    </w:p>
    <w:p w14:paraId="7C5A3377">
      <w:pPr>
        <w:spacing w:line="360" w:lineRule="auto"/>
        <w:ind w:firstLine="435"/>
        <w:rPr>
          <w:rFonts w:hint="eastAsia" w:ascii="仿宋" w:hAnsi="仿宋" w:eastAsia="仿宋"/>
          <w:sz w:val="24"/>
          <w:lang w:eastAsia="zh-CN"/>
        </w:rPr>
      </w:pPr>
      <w:r>
        <w:rPr>
          <w:rFonts w:hint="eastAsia" w:ascii="仿宋" w:hAnsi="仿宋" w:eastAsia="仿宋"/>
          <w:sz w:val="24"/>
          <w:lang w:val="en-US" w:eastAsia="zh-CN"/>
        </w:rPr>
        <w:t>图纸范围内的泛光照明工程的全部内容，包括但不限于以下施工内容：草坪灯、庭院灯、篮球场灯、足球场灯、</w:t>
      </w:r>
      <w:r>
        <w:rPr>
          <w:rFonts w:hint="eastAsia" w:ascii="仿宋" w:hAnsi="仿宋" w:eastAsia="仿宋"/>
          <w:sz w:val="24"/>
          <w:lang w:eastAsia="zh-CN"/>
        </w:rPr>
        <w:t>配电箱</w:t>
      </w:r>
      <w:r>
        <w:rPr>
          <w:rFonts w:hint="eastAsia" w:ascii="仿宋" w:hAnsi="仿宋" w:eastAsia="仿宋"/>
          <w:sz w:val="24"/>
          <w:lang w:val="en-US" w:eastAsia="zh-CN"/>
        </w:rPr>
        <w:t>安装配套，包材料及安装辅材、含混凝土基础及接地；电力电缆、电缆头、电气配管、送配电装置系统</w:t>
      </w:r>
      <w:r>
        <w:rPr>
          <w:rFonts w:hint="eastAsia" w:ascii="仿宋" w:hAnsi="仿宋" w:eastAsia="仿宋"/>
          <w:sz w:val="24"/>
          <w:lang w:eastAsia="zh-CN"/>
        </w:rPr>
        <w:t>、电缆敷设（含灯具和电箱接线、配</w:t>
      </w:r>
      <w:r>
        <w:rPr>
          <w:rFonts w:hint="eastAsia" w:ascii="仿宋" w:hAnsi="仿宋" w:eastAsia="仿宋"/>
          <w:sz w:val="24"/>
          <w:lang w:val="en-US" w:eastAsia="zh-CN"/>
        </w:rPr>
        <w:t>套</w:t>
      </w:r>
      <w:r>
        <w:rPr>
          <w:rFonts w:hint="eastAsia" w:ascii="仿宋" w:hAnsi="仿宋" w:eastAsia="仿宋"/>
          <w:sz w:val="24"/>
          <w:lang w:eastAsia="zh-CN"/>
        </w:rPr>
        <w:t>管、接线盒、挖沟、回填、余方弃置等）、</w:t>
      </w:r>
      <w:r>
        <w:rPr>
          <w:rFonts w:hint="eastAsia" w:ascii="仿宋" w:hAnsi="仿宋" w:eastAsia="仿宋"/>
          <w:sz w:val="24"/>
          <w:lang w:val="en-US" w:eastAsia="zh-CN"/>
        </w:rPr>
        <w:t>小型电缆砖砌手孔井</w:t>
      </w:r>
      <w:r>
        <w:rPr>
          <w:rFonts w:hint="eastAsia" w:ascii="仿宋" w:hAnsi="仿宋" w:eastAsia="仿宋"/>
          <w:sz w:val="24"/>
          <w:lang w:eastAsia="zh-CN"/>
        </w:rPr>
        <w:t>。（</w:t>
      </w:r>
      <w:r>
        <w:rPr>
          <w:rFonts w:hint="eastAsia" w:ascii="仿宋" w:hAnsi="仿宋" w:eastAsia="仿宋"/>
          <w:sz w:val="24"/>
          <w:lang w:val="en-US" w:eastAsia="zh-CN"/>
        </w:rPr>
        <w:t>备注：完整具体工程量和施工内容以招标清单和项目进场后现场交底和收方为准。</w:t>
      </w:r>
      <w:r>
        <w:rPr>
          <w:rFonts w:hint="eastAsia" w:ascii="仿宋" w:hAnsi="仿宋" w:eastAsia="仿宋"/>
          <w:sz w:val="24"/>
          <w:lang w:eastAsia="zh-CN"/>
        </w:rPr>
        <w:t>）</w:t>
      </w:r>
    </w:p>
    <w:p w14:paraId="23B35D8D">
      <w:pPr>
        <w:spacing w:line="360" w:lineRule="auto"/>
        <w:ind w:firstLine="435"/>
        <w:rPr>
          <w:rFonts w:hint="default" w:ascii="仿宋" w:hAnsi="仿宋" w:eastAsia="仿宋"/>
          <w:sz w:val="24"/>
          <w:lang w:val="en-US" w:eastAsia="zh-CN"/>
        </w:rPr>
      </w:pPr>
      <w:r>
        <w:rPr>
          <w:rFonts w:hint="eastAsia" w:ascii="仿宋" w:hAnsi="仿宋" w:eastAsia="仿宋"/>
          <w:sz w:val="24"/>
          <w:lang w:val="en-US" w:eastAsia="zh-CN"/>
        </w:rPr>
        <w:t>工期节点：本采购项目暂定工期为170个日历天（含国家法定节假日），计划从2025年12月22日开始施工，至2026年06月10日竣工完成。具体工期需中标后进场与甲方联合编制进度计划及关键节点，并以双方签字确认的进度计划作为施工工期要求。</w:t>
      </w:r>
    </w:p>
    <w:p w14:paraId="7A957F05">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2、东莞市生物技术产业园项目-泛光照明及景观电气工程：</w:t>
      </w:r>
    </w:p>
    <w:p w14:paraId="76BB8F96">
      <w:pPr>
        <w:spacing w:line="360" w:lineRule="auto"/>
        <w:ind w:firstLine="435"/>
        <w:rPr>
          <w:rFonts w:hint="eastAsia" w:ascii="仿宋" w:hAnsi="仿宋" w:eastAsia="仿宋"/>
          <w:sz w:val="24"/>
          <w:lang w:eastAsia="zh-CN"/>
        </w:rPr>
      </w:pPr>
      <w:r>
        <w:rPr>
          <w:rFonts w:hint="eastAsia" w:ascii="仿宋" w:hAnsi="仿宋" w:eastAsia="仿宋"/>
          <w:sz w:val="24"/>
          <w:lang w:val="en-US" w:eastAsia="zh-CN"/>
        </w:rPr>
        <w:t>图纸范围内的泛光照明工程的全部内容，包括但不限于以下施工内容：本工程所示泛光照明及景观电气工程全部工作，包含但不限于配电箱、开关电源、灯具、控制器、主机、交换机、线缆、线槽、桥架、电气配管等内容施工，以及预留、预埋管、盒、孔洞并在安装完进行孔洞堵补，电井、灯具设备基础，包括上述所涉及的开挖、回填土石方工程。</w:t>
      </w:r>
      <w:r>
        <w:rPr>
          <w:rFonts w:hint="eastAsia" w:ascii="仿宋" w:hAnsi="仿宋" w:eastAsia="仿宋"/>
          <w:sz w:val="24"/>
          <w:lang w:eastAsia="zh-CN"/>
        </w:rPr>
        <w:t>（</w:t>
      </w:r>
      <w:r>
        <w:rPr>
          <w:rFonts w:hint="eastAsia" w:ascii="仿宋" w:hAnsi="仿宋" w:eastAsia="仿宋"/>
          <w:sz w:val="24"/>
          <w:lang w:val="en-US" w:eastAsia="zh-CN"/>
        </w:rPr>
        <w:t>备注：完整具体工程量和施工内容以招标清单和项目进场后现场交底和收方为准。</w:t>
      </w:r>
      <w:r>
        <w:rPr>
          <w:rFonts w:hint="eastAsia" w:ascii="仿宋" w:hAnsi="仿宋" w:eastAsia="仿宋"/>
          <w:sz w:val="24"/>
          <w:lang w:eastAsia="zh-CN"/>
        </w:rPr>
        <w:t>）</w:t>
      </w:r>
    </w:p>
    <w:p w14:paraId="05D99C30">
      <w:pPr>
        <w:spacing w:line="360" w:lineRule="auto"/>
        <w:ind w:firstLine="435"/>
        <w:rPr>
          <w:rFonts w:hint="eastAsia" w:ascii="仿宋" w:hAnsi="仿宋" w:eastAsia="仿宋"/>
          <w:sz w:val="24"/>
          <w:lang w:eastAsia="zh-CN"/>
        </w:rPr>
      </w:pPr>
      <w:r>
        <w:rPr>
          <w:rFonts w:hint="eastAsia" w:ascii="仿宋" w:hAnsi="仿宋" w:eastAsia="仿宋"/>
          <w:sz w:val="24"/>
          <w:lang w:val="en-US" w:eastAsia="zh-CN"/>
        </w:rPr>
        <w:t>工期节点：本采购项目暂定工期为360个日历天（含国家法定节假日），计划从2026年3月10日开始施工，至2027年3月5日竣工完成。具体工期需中标后进场与甲方联合编制进度计划及关键节点，并以双方签字确认的进度计划作为施工工期要求。</w:t>
      </w:r>
    </w:p>
    <w:p w14:paraId="7798CFEA">
      <w:pPr>
        <w:spacing w:line="360" w:lineRule="auto"/>
        <w:ind w:firstLine="435"/>
        <w:rPr>
          <w:rFonts w:hint="default" w:ascii="仿宋" w:hAnsi="仿宋" w:eastAsia="仿宋"/>
          <w:b/>
          <w:bCs/>
          <w:sz w:val="24"/>
          <w:lang w:val="en-US" w:eastAsia="zh-CN"/>
        </w:rPr>
      </w:pPr>
      <w:r>
        <w:rPr>
          <w:rFonts w:hint="eastAsia" w:ascii="仿宋" w:hAnsi="仿宋" w:eastAsia="仿宋"/>
          <w:b/>
          <w:bCs/>
          <w:sz w:val="24"/>
          <w:lang w:val="en-US" w:eastAsia="zh-CN"/>
        </w:rPr>
        <w:t>3、东莞市应急消防救援训练基地-泛光照明及景观电气工程：</w:t>
      </w:r>
    </w:p>
    <w:p w14:paraId="70EF5AE8">
      <w:pPr>
        <w:spacing w:line="360" w:lineRule="auto"/>
        <w:ind w:firstLine="435"/>
        <w:rPr>
          <w:rFonts w:hint="eastAsia" w:ascii="仿宋" w:hAnsi="仿宋" w:eastAsia="仿宋"/>
          <w:sz w:val="24"/>
          <w:lang w:eastAsia="zh-CN"/>
        </w:rPr>
      </w:pPr>
      <w:r>
        <w:rPr>
          <w:rFonts w:hint="eastAsia" w:ascii="仿宋" w:hAnsi="仿宋" w:eastAsia="仿宋"/>
          <w:sz w:val="24"/>
          <w:lang w:val="en-US" w:eastAsia="zh-CN"/>
        </w:rPr>
        <w:t>图纸范围内的泛光照明工程的全部内容，包括但不限于以下施工内容：泛光照明配电箱、电源开关、灯具、电线电缆等设备的采购、安装。控制系统施工:包括控制箱、控制器的安装、控制线路等的采购、安装等。</w:t>
      </w:r>
      <w:r>
        <w:rPr>
          <w:rFonts w:hint="eastAsia" w:ascii="仿宋" w:hAnsi="仿宋" w:eastAsia="仿宋"/>
          <w:sz w:val="24"/>
          <w:lang w:eastAsia="zh-CN"/>
        </w:rPr>
        <w:t>（</w:t>
      </w:r>
      <w:r>
        <w:rPr>
          <w:rFonts w:hint="eastAsia" w:ascii="仿宋" w:hAnsi="仿宋" w:eastAsia="仿宋"/>
          <w:sz w:val="24"/>
          <w:lang w:val="en-US" w:eastAsia="zh-CN"/>
        </w:rPr>
        <w:t>备注：完整具体工程量和施工内容以招标清单和项目进场后现场交底和收方为准。</w:t>
      </w:r>
      <w:r>
        <w:rPr>
          <w:rFonts w:hint="eastAsia" w:ascii="仿宋" w:hAnsi="仿宋" w:eastAsia="仿宋"/>
          <w:sz w:val="24"/>
          <w:lang w:eastAsia="zh-CN"/>
        </w:rPr>
        <w:t>）</w:t>
      </w:r>
    </w:p>
    <w:p w14:paraId="41504AEC">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工期节点：本采购项目暂定工期为150个日历天（含国家法定节假日），计划从2026年1月15日开始施工，至2026年6月13日竣工完成。具体工期需中标后进场与甲方联合编制进度计划及关键节点，并以双方签字确认的进度计划作为施工工期要求。</w:t>
      </w:r>
    </w:p>
    <w:p w14:paraId="3C0E9666">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二、施工技术要求</w:t>
      </w:r>
    </w:p>
    <w:p w14:paraId="66B7686F">
      <w:pPr>
        <w:spacing w:line="360" w:lineRule="auto"/>
        <w:ind w:firstLine="435"/>
        <w:rPr>
          <w:rFonts w:hint="eastAsia" w:ascii="仿宋" w:hAnsi="仿宋" w:eastAsia="仿宋"/>
          <w:b/>
          <w:bCs/>
          <w:sz w:val="24"/>
          <w:lang w:val="en-US" w:eastAsia="zh-CN"/>
        </w:rPr>
      </w:pPr>
      <w:bookmarkStart w:id="41" w:name="_Toc14088"/>
      <w:bookmarkStart w:id="42" w:name="_Toc513541124"/>
      <w:bookmarkStart w:id="43" w:name="_Toc513198511"/>
      <w:bookmarkStart w:id="44" w:name="_Toc129960762"/>
      <w:r>
        <w:rPr>
          <w:rFonts w:hint="eastAsia" w:ascii="仿宋" w:hAnsi="仿宋" w:eastAsia="仿宋"/>
          <w:b/>
          <w:bCs/>
          <w:sz w:val="24"/>
          <w:lang w:val="en-US" w:eastAsia="zh-CN"/>
        </w:rPr>
        <w:t>1、施工管理要求</w:t>
      </w:r>
    </w:p>
    <w:p w14:paraId="163693C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现场因施工需分段封闭、分段施工以及多专业交叉施工等情况，乙方需无条件配合甲方施工安排进行施工。现场施工时对有可能因施工导致对其他成品造成破坏的需进行有必要合理的保护措施，如后续施工过程中因乙方施工操作、管理不当等原因造成对其他成品造成破坏的一切责任损失由乙方承担。</w:t>
      </w:r>
    </w:p>
    <w:p w14:paraId="4A5BF329">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2、施工准备阶段</w:t>
      </w:r>
      <w:bookmarkEnd w:id="41"/>
      <w:bookmarkEnd w:id="42"/>
      <w:bookmarkEnd w:id="43"/>
      <w:bookmarkEnd w:id="44"/>
    </w:p>
    <w:p w14:paraId="448C582A">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对施工现场进行认真勘查，合理选定材料摆放区、制作区、工具存放区及废料堆放区，设立材料仓库，集中管理。</w:t>
      </w:r>
    </w:p>
    <w:p w14:paraId="571F2F27">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制定现场作业顺序，不阻障其它工程的现场施工，根据可施工程度合理安排施工人员进场、材料进场及工具进场。</w:t>
      </w:r>
    </w:p>
    <w:p w14:paraId="6260DA9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组织人力搞好现场的文明环境、临时用电和架接灯光准备，施工人员进场前作好充分的安全培训、技术培训、规章制度学习等，使进场秩序良好、准备充分。</w:t>
      </w:r>
    </w:p>
    <w:p w14:paraId="38AE8A27">
      <w:pPr>
        <w:spacing w:line="360" w:lineRule="auto"/>
        <w:ind w:firstLine="435"/>
        <w:rPr>
          <w:rFonts w:hint="eastAsia" w:ascii="仿宋" w:hAnsi="仿宋" w:eastAsia="仿宋"/>
          <w:b/>
          <w:bCs/>
          <w:sz w:val="24"/>
          <w:lang w:val="en-US" w:eastAsia="zh-CN"/>
        </w:rPr>
      </w:pPr>
      <w:bookmarkStart w:id="45" w:name="_Toc513541125"/>
      <w:bookmarkStart w:id="46" w:name="_Toc513198512"/>
      <w:bookmarkStart w:id="47" w:name="_Toc12496"/>
      <w:bookmarkStart w:id="48" w:name="_Toc129960763"/>
      <w:r>
        <w:rPr>
          <w:rFonts w:hint="eastAsia" w:ascii="仿宋" w:hAnsi="仿宋" w:eastAsia="仿宋"/>
          <w:b/>
          <w:bCs/>
          <w:sz w:val="24"/>
          <w:lang w:val="en-US" w:eastAsia="zh-CN"/>
        </w:rPr>
        <w:t>3、主体阶段</w:t>
      </w:r>
      <w:bookmarkEnd w:id="45"/>
      <w:bookmarkEnd w:id="46"/>
      <w:bookmarkEnd w:id="47"/>
      <w:bookmarkEnd w:id="48"/>
    </w:p>
    <w:p w14:paraId="1AF6D5F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按工程进度计划，由项目经理部组织，依据计划施工。</w:t>
      </w:r>
    </w:p>
    <w:p w14:paraId="0A7ADF0A">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整个工程大体分为测量、电缆及管线暗埋、灯具布置安装、地埋灯基础制作、电缆穿管敷设、配电箱安装、通电调试等几个关键工序。</w:t>
      </w:r>
    </w:p>
    <w:p w14:paraId="26CB3D9A">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各阶段的施工存在重叠作业，应合理安排施工，相互提供最宽的工作面，并做好半成品和成品的保护工作，加强工作中的自检工作，对不合格工序项目应及时组织人力处理，决不让不合格工序流入下道工序。</w:t>
      </w:r>
    </w:p>
    <w:p w14:paraId="5E0714E9">
      <w:pPr>
        <w:spacing w:line="360" w:lineRule="auto"/>
        <w:ind w:firstLine="435"/>
        <w:rPr>
          <w:rFonts w:hint="eastAsia" w:ascii="仿宋" w:hAnsi="仿宋" w:eastAsia="仿宋"/>
          <w:b/>
          <w:bCs/>
          <w:sz w:val="24"/>
          <w:lang w:val="en-US" w:eastAsia="zh-CN"/>
        </w:rPr>
      </w:pPr>
      <w:bookmarkStart w:id="49" w:name="_Toc129960764"/>
      <w:bookmarkStart w:id="50" w:name="_Toc1533"/>
      <w:bookmarkStart w:id="51" w:name="_Toc513198514"/>
      <w:bookmarkStart w:id="52" w:name="_Toc513541127"/>
      <w:bookmarkStart w:id="53" w:name="_Toc258911357"/>
      <w:r>
        <w:rPr>
          <w:rFonts w:hint="eastAsia" w:ascii="仿宋" w:hAnsi="仿宋" w:eastAsia="仿宋"/>
          <w:b/>
          <w:bCs/>
          <w:sz w:val="24"/>
          <w:lang w:val="en-US" w:eastAsia="zh-CN"/>
        </w:rPr>
        <w:t>4、技术管理及技术组织措施</w:t>
      </w:r>
      <w:bookmarkEnd w:id="49"/>
      <w:bookmarkEnd w:id="50"/>
      <w:bookmarkEnd w:id="51"/>
      <w:bookmarkEnd w:id="52"/>
      <w:bookmarkEnd w:id="53"/>
    </w:p>
    <w:p w14:paraId="60D6B21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 坚持持证上岗制度，凡参加施工的生产人员，都必须经严格的技术培训，达到与所从事的工作相适用的技术水平，并熟悉工艺要求、质量标准后方能上岗。</w:t>
      </w:r>
    </w:p>
    <w:p w14:paraId="1754E07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 实行目标管理：建立工序质量控制点，严把各分部、分项工程质量检查监督关，实行质量跟踪检查，对关键部位实行旁站监督，确保各部位工程质量合格。</w:t>
      </w:r>
    </w:p>
    <w:p w14:paraId="2E33BF92">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 在施工准备阶段，制定各部位工程的质量控制标准及施工控制计划，并将该计划报监理工程师，以便监理工程师对工程质量的控制与监督。</w:t>
      </w:r>
    </w:p>
    <w:p w14:paraId="1249206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4) 开工前对设计文件，操作规程、质量标准以及施工组织设计所采用的施工程序、质量保证措施，组织施工人员全面学习和审核，审查其是否可行，是否符合设计、技术规范和工作规程的要求。</w:t>
      </w:r>
    </w:p>
    <w:p w14:paraId="1F07D4F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5) 依据原材料、成品、半成品的规格、型号、产地和批数，编制送验、复验计划。</w:t>
      </w:r>
    </w:p>
    <w:p w14:paraId="205F244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6) 严格执行隐蔽工程的验收制度，作好隐蔽前的检查并做好隐蔽记录，质检员审核后报监理工程师验收。</w:t>
      </w:r>
    </w:p>
    <w:p w14:paraId="7D007B7B">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7) 施工现场建立例会制度。</w:t>
      </w:r>
    </w:p>
    <w:p w14:paraId="46D84C78">
      <w:pPr>
        <w:spacing w:line="360" w:lineRule="auto"/>
        <w:ind w:firstLine="435"/>
        <w:rPr>
          <w:rFonts w:hint="eastAsia" w:ascii="仿宋" w:hAnsi="仿宋" w:eastAsia="仿宋"/>
          <w:b/>
          <w:bCs/>
          <w:sz w:val="24"/>
          <w:lang w:val="en-US" w:eastAsia="zh-CN"/>
        </w:rPr>
      </w:pPr>
      <w:bookmarkStart w:id="54" w:name="_Toc513541129"/>
      <w:bookmarkStart w:id="55" w:name="_Toc129960766"/>
      <w:bookmarkStart w:id="56" w:name="_Toc513198516"/>
      <w:bookmarkStart w:id="57" w:name="_Toc15681"/>
      <w:r>
        <w:rPr>
          <w:rFonts w:hint="eastAsia" w:ascii="仿宋" w:hAnsi="仿宋" w:eastAsia="仿宋"/>
          <w:b/>
          <w:bCs/>
          <w:sz w:val="24"/>
          <w:lang w:val="en-US" w:eastAsia="zh-CN"/>
        </w:rPr>
        <w:t>5、测量放线</w:t>
      </w:r>
      <w:bookmarkEnd w:id="54"/>
      <w:bookmarkEnd w:id="55"/>
      <w:bookmarkEnd w:id="56"/>
      <w:bookmarkEnd w:id="57"/>
    </w:p>
    <w:p w14:paraId="72FA727B">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根据施工图纸，对施工范围内安装的灯具、敷设电缆的保护管进行核实，对建筑物外墙布灯位置进行十字线控制定位测量，充分利用建筑物外墙现有规则几何形状，确保灯具定位准确,做出标识，并经监理工程师确认。</w:t>
      </w:r>
    </w:p>
    <w:p w14:paraId="0D06BF30">
      <w:pPr>
        <w:spacing w:line="360" w:lineRule="auto"/>
        <w:ind w:firstLine="435"/>
        <w:rPr>
          <w:rFonts w:hint="eastAsia" w:ascii="仿宋" w:hAnsi="仿宋" w:eastAsia="仿宋"/>
          <w:b/>
          <w:bCs/>
          <w:sz w:val="24"/>
          <w:lang w:val="en-US" w:eastAsia="zh-CN"/>
        </w:rPr>
      </w:pPr>
      <w:bookmarkStart w:id="58" w:name="_Toc513541130"/>
      <w:bookmarkStart w:id="59" w:name="_Toc14587"/>
      <w:bookmarkStart w:id="60" w:name="_Toc129960767"/>
      <w:bookmarkStart w:id="61" w:name="_Toc513198517"/>
      <w:r>
        <w:rPr>
          <w:rFonts w:hint="eastAsia" w:ascii="仿宋" w:hAnsi="仿宋" w:eastAsia="仿宋"/>
          <w:b/>
          <w:bCs/>
          <w:sz w:val="24"/>
          <w:lang w:val="en-US" w:eastAsia="zh-CN"/>
        </w:rPr>
        <w:t>6、电缆、线保护管敷设</w:t>
      </w:r>
      <w:bookmarkEnd w:id="58"/>
      <w:bookmarkEnd w:id="59"/>
      <w:bookmarkEnd w:id="60"/>
      <w:bookmarkEnd w:id="61"/>
    </w:p>
    <w:p w14:paraId="56E15A7F">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1)敷设保护管前，先对保护管进行外观检查，并查看其合格证。检查保护管的型号、规格、长度是否符合图纸要求，并做好机具的准备工作和辅助材料的准备工作。</w:t>
      </w:r>
    </w:p>
    <w:p w14:paraId="1E598D9C">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电源过路线采用硬质阻燃型PVC塑料管及钢管保护，沿墙、地（楼）面等结构内明管敷设，须横平竖直。固定夹选用马鞍夹，用不锈钢螺钉固定，固定点位置均匀、牢靠，其钢管做好接地保护。室外埋地敷设的电缆导管，埋深不应小于0.7m，采用等径的壁厚大于等于2mm的镀锌钢管。室外导管的管口应设置在盒箱内，在落地或配电箱内的管口，箱底无封板的，管口应高出基础面50—80mm。所有管口在穿入电线、电缆后应作密封处理，由箱式变电所或落地式配电箱引向导管，建筑物一侧的导管管口应设在建筑物内或全封闭盒内。</w:t>
      </w:r>
    </w:p>
    <w:p w14:paraId="5F51E177">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3)敷设时需要弯曲时，按施工标准施工。弯曲后不得有弯扁、裂纹的现象。</w:t>
      </w:r>
    </w:p>
    <w:p w14:paraId="1087D4B0">
      <w:pPr>
        <w:spacing w:line="360" w:lineRule="auto"/>
        <w:ind w:firstLine="435"/>
        <w:rPr>
          <w:rFonts w:hint="default" w:ascii="仿宋" w:hAnsi="仿宋" w:eastAsia="仿宋"/>
          <w:b/>
          <w:bCs/>
          <w:sz w:val="24"/>
          <w:lang w:val="en-US" w:eastAsia="zh-CN"/>
        </w:rPr>
      </w:pPr>
      <w:r>
        <w:rPr>
          <w:rFonts w:hint="eastAsia" w:ascii="仿宋" w:hAnsi="仿宋" w:eastAsia="仿宋"/>
          <w:b/>
          <w:bCs/>
          <w:sz w:val="24"/>
          <w:lang w:val="en-US" w:eastAsia="zh-CN"/>
        </w:rPr>
        <w:t>7、电缆敷设</w:t>
      </w:r>
    </w:p>
    <w:p w14:paraId="003FCE41">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1)电缆敷设前应按下列要求进行检查：</w:t>
      </w:r>
    </w:p>
    <w:p w14:paraId="2AD83183">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①按电缆系统接线图，电气原理图，接线图等，仔细核对电缆清册中的电缆型号、电压、规格、芯数是否符合设计要求。在此基础上编写电缆敷设清单，清单内列出每根电缆的编号、规格、起点、终点、走向，大致长度等，根据清单制作临时标志条。每根电缆有两个标志条，标志条上写上编号、规格、起点、终点，供电缆敷设时使用。</w:t>
      </w:r>
    </w:p>
    <w:p w14:paraId="42F0344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②电缆外观应无损伤，绝缘良好，当对电缆的密封有怀疑时，应进行潮湿判断；直埋电缆于水底电缆应经试验合格。</w:t>
      </w:r>
    </w:p>
    <w:p w14:paraId="141246D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③敷设前应按设计和实际路径计算每根电缆的长度，合理安排每盘电缆，减少电缆接头。当电缆必须设置中间头时，电缆接头的绝缘强度，应不低于电缆本身的绝缘强度，并保证电气距离，避免短路或击穿。导体接触良好，接触电阻要小而稳定，并且有一定机械强度。接触电阻必须低于同长度导体电阻的1.2倍，其抗拉强度不低于电缆线芯强度的70%。控制电缆在下列情况下可有接头，但必须连接牢固，并不应受到机械拉力：当敷设长度超过其制造长度时、必须延长已敷设竣工的控制电缆时、当消除使用中的电缆故障时</w:t>
      </w:r>
    </w:p>
    <w:p w14:paraId="1C3343D3">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④电缆敷设前，应根据电缆轴的尺寸制作敷设支架。</w:t>
      </w:r>
    </w:p>
    <w:p w14:paraId="75BDBA3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电缆的敷设由责任工程师统一指挥，在敷设前应向全体施工人员交底，说明电缆的规格、起末端、走向等。电缆敷设时，先敷设集中的，再敷设分散的，先敷设长的，再敷设短的，弯度一致，余度一致，松紧适当，相互间距离一致，挂牌位置一致，应避免多处重叠、绞劲。</w:t>
      </w:r>
    </w:p>
    <w:p w14:paraId="0A9D8B2D">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电缆敷设可用人力拉引或机械牵引。采用机械牵引可用电动绞磨或托撬。电缆敷设时，应注意电缆弯曲半径应符合规范要求。电缆在沟内敷设应有适量的蛇型弯，电缆的两端、中间接头、电缆井内、过管处、垂直位差处均应留有适当的余度。</w:t>
      </w:r>
    </w:p>
    <w:p w14:paraId="58F10401">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4)在电缆敷设过程中，不允许弯曲过度，致使绝缘层受到损伤。电缆敷设好后，两端应有足够备用长度，应及时挂上标志牌，标明电缆的编号、型号、规格、长度、起止地点。</w:t>
      </w:r>
    </w:p>
    <w:p w14:paraId="31337F38">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5)埋地电缆敷设完毕回填前、应请建设单位、监理单位及施工单位的质量检查部门共同进行隐蔽工程验收。隐蔽工程验收合格， 回填土回填，并进行夯实。电缆的拐弯、接头、交叉、进出建筑物等地段应设明显方位标桩。直线段应适当加工工业设标桩。标桩露出地面以15cm为宜。</w:t>
      </w:r>
    </w:p>
    <w:p w14:paraId="1FA44D8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6)直埋电缆进出建筑物，室内过管口低于室外地面者，对其过管按设计或标准图册做防水处理。</w:t>
      </w:r>
    </w:p>
    <w:p w14:paraId="7D3FFBA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7)电缆垂直敷设。有条件最好自上而下敷设。敷设时，同截面电缆应先敷设低层，后敷设高层，要特别注意，在电缆轴附近和部分楼层应采取防滑措施。自下而上敷设时，低层小截面电缆可用滑轮大绳人力牵引敷设。高层、大截面电缆宜用机械牵引敷设。</w:t>
      </w:r>
    </w:p>
    <w:p w14:paraId="1AA52E6D">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8)电缆沿支架敷设时，支架距离不得大于1.5米，沿桥架或托盘敷设时，每层最少加装两道卡固支架。</w:t>
      </w:r>
    </w:p>
    <w:p w14:paraId="4DF2C478">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9)电缆穿过楼板时，应装套管，敷设完后应将套管用防火材料封堵严密。</w:t>
      </w:r>
    </w:p>
    <w:p w14:paraId="75680443">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10)电线电缆穿管前，应清除管内杂物和积水，管口应有保护措施，不进入接线盒箱的垂直管口，穿入电线电缆后管口应密封。</w:t>
      </w:r>
    </w:p>
    <w:p w14:paraId="614550C7">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11)当采用多相供电时，同一建筑物、构筑物的电线绝缘层颜色选择应一致，即保护地线（PE）线应是黄绿相间色，零线用淡蓝色，相线用A相—黄色，B相—绿色，C相—红色。</w:t>
      </w:r>
    </w:p>
    <w:p w14:paraId="4F515DA5">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8、电缆头的制作</w:t>
      </w:r>
    </w:p>
    <w:p w14:paraId="7F8264A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1)电缆头制作完毕，应符合规范要求的耐压标准。</w:t>
      </w:r>
    </w:p>
    <w:p w14:paraId="485C08C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2)箱变采用低压热缩干包电缆头，电缆压接铜端子。</w:t>
      </w:r>
    </w:p>
    <w:p w14:paraId="0DC87C81">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3)灯具内采用电缆压接铜端子、热缩电缆头。采用塑料胶带绑扎，电缆头外再用高压自粘胶带绑扎做到防潮，进行热缩。包好的电缆头绝缘电阻应大于500M。</w:t>
      </w:r>
    </w:p>
    <w:p w14:paraId="5F5D10AA">
      <w:pPr>
        <w:spacing w:line="360" w:lineRule="auto"/>
        <w:ind w:firstLine="435"/>
        <w:rPr>
          <w:rFonts w:hint="eastAsia" w:ascii="仿宋" w:hAnsi="仿宋" w:eastAsia="仿宋"/>
          <w:b/>
          <w:bCs/>
          <w:sz w:val="24"/>
          <w:lang w:val="en-US" w:eastAsia="zh-CN"/>
        </w:rPr>
      </w:pPr>
      <w:bookmarkStart w:id="62" w:name="_Toc513541133"/>
      <w:bookmarkStart w:id="63" w:name="_Toc18677"/>
      <w:bookmarkStart w:id="64" w:name="_Toc513198520"/>
      <w:bookmarkStart w:id="65" w:name="_Toc129960769"/>
      <w:r>
        <w:rPr>
          <w:rFonts w:hint="eastAsia" w:ascii="仿宋" w:hAnsi="仿宋" w:eastAsia="仿宋"/>
          <w:b/>
          <w:bCs/>
          <w:sz w:val="24"/>
          <w:lang w:val="en-US" w:eastAsia="zh-CN"/>
        </w:rPr>
        <w:t>9、灯具安装</w:t>
      </w:r>
      <w:bookmarkEnd w:id="62"/>
      <w:bookmarkEnd w:id="63"/>
      <w:bookmarkEnd w:id="64"/>
      <w:bookmarkEnd w:id="65"/>
    </w:p>
    <w:p w14:paraId="1055459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1)灯具外观检查：外观应完好、配件齐全。</w:t>
      </w:r>
    </w:p>
    <w:p w14:paraId="325C7B8B">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2)灯具安装时，要轻拿轻放，以保证外观完好，不受损伤。</w:t>
      </w:r>
    </w:p>
    <w:p w14:paraId="20FC3F5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3)灯具固定牢固可靠，不使用木楔，每个灯具固定用螺钉或螺栓不少于2个，户外均采用不锈钢制螺钉或螺栓。</w:t>
      </w:r>
    </w:p>
    <w:p w14:paraId="0817B1A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4)当钢管作灯具时 ，钢管内径不应小于10㎜，钢管厚度不应小于1.5㎜，且均采用不锈钢制件。</w:t>
      </w:r>
    </w:p>
    <w:p w14:paraId="1006DF23">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5)固定灯具带电部件的绝缘材料以及提供防触电保护的绝缘材料应耐燃烧和防明火。</w:t>
      </w:r>
    </w:p>
    <w:p w14:paraId="72AAED2C">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6)投光灯的底座及支架应固定牢固，枢轴应需要的光轴方向拧紧固定。</w:t>
      </w:r>
    </w:p>
    <w:p w14:paraId="2259985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7)安装在室外的壁灯应有泄水孔，绝缘台与墙面之间应有防水措施。</w:t>
      </w:r>
    </w:p>
    <w:p w14:paraId="6234FB1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8)接线防爆盒与灯具连接电源线应穿包塑型金属软管。</w:t>
      </w:r>
    </w:p>
    <w:p w14:paraId="2592A7BC">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9)灯具安装位置离开释放源，且不在各种管道的泄压口及排放口上下安装灯具。</w:t>
      </w:r>
    </w:p>
    <w:p w14:paraId="42F7CE19">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10)建筑物景观照明灯具安装应符合下列规定：每套灯具的导电部分对地绝缘电阻值大于2MΩ；在人行道等人员来往密集场所安装的落地式灯具，无围栏防护，安装高度距地面2.5m以上；金属构架和灯具的可接近裸露导体及金属软管的接地（PE）或接零（PEN）可靠，且有标识。</w:t>
      </w:r>
    </w:p>
    <w:p w14:paraId="3CB6E339">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10、系统调试</w:t>
      </w:r>
    </w:p>
    <w:p w14:paraId="4F37CD62">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1)灯具接线完毕，配电箱接线完毕后，遥测各线路的对地点阻值。并做好纪录。对电缆接线的编号、走向与施工图相符并做好记录，如果有故障，查明原因及时处理检验无误后，并在控制开关上做好标记。</w:t>
      </w:r>
    </w:p>
    <w:p w14:paraId="2ACF13FA">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2)对每个灯具光源进行现场检测，观察灯具电器工作是否正常，有无过热。光源发光是否正常，能否达到其照度值，有工作不正常的灯具，光源要进行检修、更换。</w:t>
      </w:r>
    </w:p>
    <w:p w14:paraId="653E1C7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3)测量每支回路的三相电流，使之负荷平衡。并做好每支回路每相电流值的记录，检测控制开关是否过热。</w:t>
      </w:r>
    </w:p>
    <w:p w14:paraId="6A4CAB60">
      <w:pPr>
        <w:spacing w:line="360" w:lineRule="auto"/>
        <w:ind w:firstLine="435"/>
        <w:rPr>
          <w:rFonts w:ascii="仿宋" w:hAnsi="仿宋" w:eastAsia="仿宋"/>
          <w:sz w:val="24"/>
        </w:rPr>
      </w:pPr>
      <w:r>
        <w:rPr>
          <w:rFonts w:hint="eastAsia" w:ascii="仿宋" w:hAnsi="仿宋" w:eastAsia="仿宋"/>
          <w:sz w:val="24"/>
          <w:lang w:val="en-US" w:eastAsia="zh-CN"/>
        </w:rPr>
        <w:t>4)系统调试完毕，整理现场资料，工程资料图纸准备验收。</w:t>
      </w:r>
    </w:p>
    <w:p w14:paraId="072E99ED">
      <w:pPr>
        <w:pStyle w:val="3"/>
        <w:widowControl/>
        <w:spacing w:before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三、验收标准与罚则</w:t>
      </w:r>
    </w:p>
    <w:p w14:paraId="1F5CC3F0">
      <w:pPr>
        <w:pStyle w:val="8"/>
        <w:spacing w:before="0" w:beforeAutospacing="0" w:after="0" w:afterAutospacing="0" w:line="360" w:lineRule="auto"/>
        <w:ind w:firstLine="482" w:firstLineChars="200"/>
        <w:rPr>
          <w:rStyle w:val="11"/>
          <w:rFonts w:ascii="仿宋" w:hAnsi="仿宋" w:eastAsia="仿宋" w:cs="仿宋"/>
          <w:b w:val="0"/>
          <w:bCs w:val="0"/>
        </w:rPr>
      </w:pPr>
      <w:r>
        <w:rPr>
          <w:rStyle w:val="11"/>
          <w:rFonts w:hint="eastAsia" w:ascii="仿宋" w:hAnsi="仿宋" w:eastAsia="仿宋" w:cs="仿宋"/>
        </w:rPr>
        <w:t>1、验收依据：</w:t>
      </w:r>
      <w:r>
        <w:rPr>
          <w:rStyle w:val="11"/>
          <w:rFonts w:hint="eastAsia" w:ascii="仿宋" w:hAnsi="仿宋" w:eastAsia="仿宋" w:cs="仿宋"/>
          <w:b w:val="0"/>
          <w:bCs w:val="0"/>
        </w:rPr>
        <w:t>甲方确认的样板效果/现场样板段以及图纸和甲方交底要求。</w:t>
      </w:r>
    </w:p>
    <w:p w14:paraId="2C8EC284">
      <w:pPr>
        <w:pStyle w:val="8"/>
        <w:spacing w:before="0" w:beforeAutospacing="0" w:after="0" w:afterAutospacing="0" w:line="360" w:lineRule="auto"/>
        <w:ind w:firstLine="482" w:firstLineChars="200"/>
        <w:rPr>
          <w:rStyle w:val="11"/>
          <w:rFonts w:ascii="仿宋" w:hAnsi="仿宋" w:eastAsia="仿宋" w:cs="仿宋"/>
          <w:b w:val="0"/>
          <w:bCs w:val="0"/>
        </w:rPr>
      </w:pPr>
      <w:r>
        <w:rPr>
          <w:rStyle w:val="11"/>
          <w:rFonts w:hint="eastAsia" w:ascii="仿宋" w:hAnsi="仿宋" w:eastAsia="仿宋" w:cs="仿宋"/>
        </w:rPr>
        <w:t>2、不合格处理：</w:t>
      </w:r>
      <w:r>
        <w:rPr>
          <w:rStyle w:val="11"/>
          <w:rFonts w:hint="eastAsia" w:ascii="仿宋" w:hAnsi="仿宋" w:eastAsia="仿宋" w:cs="仿宋"/>
          <w:b w:val="0"/>
          <w:bCs w:val="0"/>
        </w:rPr>
        <w:t>施工不合格以及施工过程中意外造成其他成品损坏的需24小时内返工，费用由乙方承担。（整改超出时限要求进行500元/次进行处罚）</w:t>
      </w:r>
    </w:p>
    <w:p w14:paraId="03536C54">
      <w:pPr>
        <w:pStyle w:val="3"/>
        <w:widowControl/>
        <w:spacing w:before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四、安全文明施工要求</w:t>
      </w:r>
    </w:p>
    <w:p w14:paraId="66E7E99C">
      <w:pPr>
        <w:pStyle w:val="8"/>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rPr>
        <w:t>所有人员</w:t>
      </w:r>
      <w:r>
        <w:rPr>
          <w:rStyle w:val="11"/>
          <w:rFonts w:hint="eastAsia" w:ascii="仿宋" w:hAnsi="仿宋" w:eastAsia="仿宋" w:cs="仿宋"/>
          <w:b w:val="0"/>
          <w:bCs w:val="0"/>
        </w:rPr>
        <w:t>进场前完成安全培训及技术交底；特殊工种（挖机、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pPr>
        <w:pStyle w:val="8"/>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本项目所有机械设备（挖掘机、装载机、破碎锤、土方车等）必须已在国家相关部门注册登记，拥有有效的行驶证/登记证（土方车）等相关证件。所有机械设备进场前必须提供相关</w:t>
      </w:r>
      <w:r>
        <w:rPr>
          <w:rFonts w:hint="eastAsia" w:ascii="MS Gothic" w:hAnsi="MS Gothic" w:eastAsia="MS Gothic" w:cs="MS Gothic"/>
        </w:rPr>
        <w:t>‌</w:t>
      </w:r>
      <w:r>
        <w:rPr>
          <w:rFonts w:hint="eastAsia" w:ascii="仿宋" w:hAnsi="仿宋" w:eastAsia="仿宋"/>
        </w:rPr>
        <w:t>设备生产许可证、出厂合格证和质保书，检验合格证明（如适用）。</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5BE6EE">
      <w:pPr>
        <w:pStyle w:val="8"/>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机械设备必须按照制造商要求和相关规范（如《建筑机械使用安全技术规程》JGJ 33）进行定期、规范的维护保养，保持良好的运行状态。所有机械设备第一次进场时需提供近期（1个月内）的维护保养记录证明，后续在工程施工期间按照维护保养规定期限定期完成保养并及时提交维护保养记录证明直至设备完工退场。</w:t>
      </w:r>
    </w:p>
    <w:p w14:paraId="12B70BEF">
      <w:pPr>
        <w:pStyle w:val="8"/>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严格执行“工完场清”制度。施工垃圾、生活垃圾必须分类收集，及时清理至指定地点堆放由甲方安排统一外运，严禁焚烧。</w:t>
      </w:r>
      <w:r>
        <w:rPr>
          <w:rFonts w:hint="eastAsia" w:ascii="仿宋" w:hAnsi="仿宋" w:eastAsia="仿宋" w:cs="Arial"/>
          <w:color w:val="272933"/>
          <w:shd w:val="clear" w:color="auto" w:fill="FFFFFF"/>
        </w:rPr>
        <w:t>如有施工或运输过程中有土方、垃圾等散落施工区域外需安排工人及时清扫干净。</w:t>
      </w:r>
    </w:p>
    <w:p w14:paraId="532D1DDE">
      <w:pPr>
        <w:pStyle w:val="8"/>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rPr>
        <w:t>。施工噪音控制严格执行《建筑施工场界环境噪声排放标准》GB12523，合理安排作业时间，避免夜间（22:00-6:00）高噪音作业，确需施工需办理许可并公告。</w:t>
      </w:r>
    </w:p>
    <w:p w14:paraId="15AA3B3F">
      <w:pPr>
        <w:pStyle w:val="8"/>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5、消防管理：</w:t>
      </w:r>
      <w:r>
        <w:rPr>
          <w:rStyle w:val="11"/>
          <w:rFonts w:hint="eastAsia" w:ascii="仿宋" w:hAnsi="仿宋" w:eastAsia="仿宋" w:cs="仿宋"/>
          <w:b w:val="0"/>
          <w:bCs w:val="0"/>
        </w:rPr>
        <w:t>动火作业办理动火证，配备看火人和灭火器材。消防通道畅通，消防器材定期检查维护。</w:t>
      </w:r>
    </w:p>
    <w:p w14:paraId="75EE0FF6">
      <w:pPr>
        <w:pStyle w:val="8"/>
        <w:spacing w:before="0" w:beforeAutospacing="0" w:after="0" w:afterAutospacing="0" w:line="360" w:lineRule="auto"/>
        <w:ind w:firstLine="482" w:firstLineChars="200"/>
        <w:rPr>
          <w:rStyle w:val="11"/>
          <w:rFonts w:ascii="仿宋" w:hAnsi="仿宋" w:eastAsia="仿宋" w:cs="仿宋"/>
          <w:b w:val="0"/>
          <w:bCs w:val="0"/>
          <w:color w:val="auto"/>
        </w:rPr>
      </w:pPr>
      <w:r>
        <w:rPr>
          <w:rStyle w:val="11"/>
          <w:rFonts w:hint="eastAsia" w:ascii="仿宋" w:hAnsi="仿宋" w:eastAsia="仿宋" w:cs="仿宋"/>
          <w:bCs w:val="0"/>
        </w:rPr>
        <w:t>6、形象管理：</w:t>
      </w:r>
      <w:r>
        <w:rPr>
          <w:rStyle w:val="11"/>
          <w:rFonts w:hint="eastAsia" w:ascii="仿宋" w:hAnsi="仿宋" w:eastAsia="仿宋" w:cs="仿宋"/>
          <w:b w:val="0"/>
          <w:bCs w:val="0"/>
        </w:rPr>
        <w:t>机械</w:t>
      </w:r>
      <w:r>
        <w:rPr>
          <w:rFonts w:ascii="仿宋" w:hAnsi="仿宋" w:eastAsia="仿宋" w:cs="Arial"/>
          <w:color w:val="333333"/>
          <w:shd w:val="clear" w:color="auto" w:fill="FFFFFF"/>
        </w:rPr>
        <w:t>设备应张贴必要的安全警示标识</w:t>
      </w:r>
      <w:r>
        <w:rPr>
          <w:rStyle w:val="11"/>
          <w:rFonts w:hint="eastAsia" w:ascii="仿宋" w:hAnsi="仿宋" w:eastAsia="仿宋" w:cs="仿宋"/>
          <w:b w:val="0"/>
          <w:bCs w:val="0"/>
        </w:rPr>
        <w:t>，人员着装统一（反光衣），佩戴安全帽。</w:t>
      </w:r>
      <w:r>
        <w:rPr>
          <w:rStyle w:val="11"/>
          <w:rFonts w:hint="eastAsia" w:ascii="仿宋" w:hAnsi="仿宋" w:eastAsia="仿宋" w:cs="仿宋"/>
          <w:b w:val="0"/>
          <w:bCs w:val="0"/>
          <w:color w:val="auto"/>
        </w:rPr>
        <w:t>（安全帽、反光衣统一由甲方进行提供，最终合同结算时按实进行扣除此项费用）</w:t>
      </w:r>
    </w:p>
    <w:p w14:paraId="210C3A83">
      <w:pPr>
        <w:pStyle w:val="8"/>
        <w:spacing w:before="0" w:beforeAutospacing="0" w:after="0" w:afterAutospacing="0" w:line="360" w:lineRule="auto"/>
        <w:ind w:firstLine="482" w:firstLineChars="200"/>
        <w:rPr>
          <w:rStyle w:val="11"/>
          <w:rFonts w:ascii="仿宋" w:hAnsi="仿宋" w:eastAsia="仿宋" w:cs="仿宋"/>
          <w:b/>
          <w:bCs/>
          <w:sz w:val="28"/>
          <w:szCs w:val="28"/>
        </w:rPr>
      </w:pPr>
      <w:r>
        <w:rPr>
          <w:rStyle w:val="11"/>
          <w:rFonts w:hint="eastAsia" w:ascii="仿宋" w:hAnsi="仿宋" w:eastAsia="仿宋" w:cs="仿宋"/>
          <w:bCs w:val="0"/>
        </w:rPr>
        <w:t>7、工人实名制打卡管理：</w:t>
      </w:r>
      <w:r>
        <w:rPr>
          <w:rStyle w:val="11"/>
          <w:rFonts w:hint="eastAsia" w:ascii="仿宋" w:hAnsi="仿宋" w:eastAsia="仿宋" w:cs="仿宋"/>
          <w:b w:val="0"/>
          <w:bCs w:val="0"/>
        </w:rPr>
        <w:t>进场前组织所有工人配合参加工人实名制打卡和工资发放相关交底培训</w:t>
      </w:r>
      <w:r>
        <w:rPr>
          <w:rFonts w:hint="eastAsia" w:ascii="仿宋" w:hAnsi="仿宋" w:eastAsia="仿宋" w:cs="仿宋"/>
          <w:b/>
        </w:rPr>
        <w:t>，</w:t>
      </w:r>
      <w:r>
        <w:rPr>
          <w:rFonts w:hint="eastAsia" w:ascii="仿宋" w:hAnsi="仿宋" w:eastAsia="仿宋" w:cs="仿宋"/>
        </w:rPr>
        <w:t>期间配合甲方对所有工人进行信息采集、考勤监督、月度工资核算等管理要求，定期对班组工人进行重复交底以确保无漏打卡、错打卡等情况。</w:t>
      </w:r>
    </w:p>
    <w:p w14:paraId="79510D70">
      <w:pPr>
        <w:pStyle w:val="3"/>
        <w:widowControl/>
        <w:spacing w:before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五、施工配合要求</w:t>
      </w:r>
    </w:p>
    <w:p w14:paraId="7680BBBF">
      <w:pPr>
        <w:pStyle w:val="8"/>
        <w:spacing w:before="0" w:beforeAutospacing="0" w:after="0" w:afterAutospacing="0" w:line="360" w:lineRule="auto"/>
        <w:ind w:firstLine="480" w:firstLineChars="200"/>
        <w:rPr>
          <w:rFonts w:ascii="仿宋" w:hAnsi="仿宋" w:eastAsia="仿宋"/>
        </w:rPr>
      </w:pPr>
      <w:r>
        <w:rPr>
          <w:rStyle w:val="11"/>
          <w:rFonts w:hint="eastAsia" w:ascii="仿宋" w:hAnsi="仿宋" w:eastAsia="仿宋" w:cs="仿宋"/>
          <w:b w:val="0"/>
        </w:rPr>
        <w:t>1、</w:t>
      </w:r>
      <w:r>
        <w:rPr>
          <w:rFonts w:hint="eastAsia" w:ascii="仿宋" w:hAnsi="仿宋" w:eastAsia="仿宋"/>
        </w:rPr>
        <w:t>视现场实际情况需求，乙方无条件配合项目相关一切要求，根据工程实际需要</w:t>
      </w:r>
      <w:r>
        <w:rPr>
          <w:rFonts w:hint="eastAsia" w:ascii="仿宋" w:hAnsi="仿宋" w:eastAsia="仿宋"/>
          <w:color w:val="auto"/>
        </w:rPr>
        <w:t>，包括但不限于赶工、工序调整且不予费用调整增加（甲方正式签发的签证、变更除外）。</w:t>
      </w:r>
      <w:r>
        <w:rPr>
          <w:rFonts w:hint="eastAsia" w:ascii="仿宋" w:hAnsi="仿宋" w:eastAsia="仿宋"/>
        </w:rPr>
        <w:t>甲方有权要求乙方增加人员、设备投入或进行夜间、节假日加班。乙方须在接到甲方书面（或有效指令）通知后24小时内响应并落实。</w:t>
      </w:r>
    </w:p>
    <w:p w14:paraId="501D1A19">
      <w:pPr>
        <w:pStyle w:val="8"/>
        <w:spacing w:before="0" w:beforeAutospacing="0" w:after="0" w:afterAutospacing="0" w:line="360" w:lineRule="auto"/>
        <w:ind w:firstLine="480" w:firstLineChars="200"/>
        <w:rPr>
          <w:rFonts w:ascii="仿宋" w:hAnsi="仿宋" w:eastAsia="仿宋"/>
        </w:rPr>
      </w:pPr>
      <w:r>
        <w:rPr>
          <w:rFonts w:hint="eastAsia" w:ascii="仿宋" w:hAnsi="仿宋" w:eastAsia="仿宋"/>
        </w:rPr>
        <w:t>2、乙方必须确保投入足够的、合格的人力、物力资源，以满足合同要求和甲方进度指令。按照甲方要求配置足额有经验的管理人员（</w:t>
      </w:r>
      <w:r>
        <w:rPr>
          <w:rFonts w:hint="eastAsia" w:ascii="仿宋" w:hAnsi="仿宋" w:eastAsia="仿宋"/>
          <w:lang w:val="en-US" w:eastAsia="zh-CN"/>
        </w:rPr>
        <w:t>最少配置</w:t>
      </w:r>
      <w:r>
        <w:rPr>
          <w:rFonts w:hint="eastAsia" w:ascii="仿宋" w:hAnsi="仿宋" w:eastAsia="仿宋"/>
        </w:rPr>
        <w:t>项目负责人一名</w:t>
      </w:r>
      <w:r>
        <w:rPr>
          <w:rFonts w:hint="eastAsia" w:ascii="仿宋" w:hAnsi="仿宋" w:eastAsia="仿宋"/>
          <w:lang w:eastAsia="zh-CN"/>
        </w:rPr>
        <w:t>、</w:t>
      </w:r>
      <w:r>
        <w:rPr>
          <w:rFonts w:hint="eastAsia" w:ascii="仿宋" w:hAnsi="仿宋" w:eastAsia="仿宋"/>
        </w:rPr>
        <w:t>专职安全员一名、</w:t>
      </w:r>
      <w:r>
        <w:rPr>
          <w:rFonts w:hint="eastAsia" w:ascii="仿宋" w:hAnsi="仿宋" w:eastAsia="仿宋"/>
          <w:lang w:val="en-US" w:eastAsia="zh-CN"/>
        </w:rPr>
        <w:t>技术员一名、电工一名</w:t>
      </w:r>
      <w:r>
        <w:rPr>
          <w:rFonts w:hint="eastAsia" w:ascii="仿宋" w:hAnsi="仿宋" w:eastAsia="仿宋"/>
        </w:rPr>
        <w:t>）及必要的施工机具；</w:t>
      </w:r>
    </w:p>
    <w:p w14:paraId="5EAB0F89">
      <w:pPr>
        <w:pStyle w:val="8"/>
        <w:spacing w:before="0" w:beforeAutospacing="0" w:after="0" w:afterAutospacing="0" w:line="360" w:lineRule="auto"/>
        <w:ind w:firstLine="480" w:firstLineChars="200"/>
        <w:rPr>
          <w:rFonts w:ascii="仿宋" w:hAnsi="仿宋" w:eastAsia="仿宋"/>
        </w:rPr>
      </w:pPr>
      <w:r>
        <w:rPr>
          <w:rFonts w:hint="eastAsia" w:ascii="仿宋" w:hAnsi="仿宋" w:eastAsia="仿宋"/>
        </w:rPr>
        <w:t>3、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6390ED1E">
      <w:pPr>
        <w:pStyle w:val="8"/>
        <w:spacing w:before="0" w:beforeAutospacing="0" w:after="0" w:afterAutospacing="0" w:line="360" w:lineRule="auto"/>
        <w:ind w:firstLine="480" w:firstLineChars="200"/>
        <w:rPr>
          <w:rFonts w:ascii="仿宋" w:hAnsi="仿宋" w:eastAsia="仿宋"/>
        </w:rPr>
      </w:pPr>
      <w:r>
        <w:rPr>
          <w:rFonts w:hint="eastAsia" w:ascii="仿宋" w:hAnsi="仿宋" w:eastAsia="仿宋"/>
        </w:rPr>
        <w:t>4、乙方所有施工人员必须购买团体意外险，保险额度需满足工程要求和地方规定。</w:t>
      </w:r>
    </w:p>
    <w:p w14:paraId="1EBAF6C1">
      <w:pPr>
        <w:pStyle w:val="8"/>
        <w:spacing w:before="0" w:beforeAutospacing="0" w:after="0" w:afterAutospacing="0" w:line="360" w:lineRule="auto"/>
        <w:ind w:firstLine="480" w:firstLineChars="200"/>
        <w:rPr>
          <w:rFonts w:ascii="仿宋" w:hAnsi="仿宋" w:eastAsia="仿宋"/>
        </w:rPr>
      </w:pPr>
      <w:r>
        <w:rPr>
          <w:rFonts w:hint="eastAsia" w:ascii="仿宋" w:hAnsi="仿宋" w:eastAsia="仿宋"/>
        </w:rPr>
        <w:t>5、合同范围施工过程所产生的水电费用（如有）按实进行扣除。</w:t>
      </w:r>
    </w:p>
    <w:p w14:paraId="3AFE83EB">
      <w:pPr>
        <w:pStyle w:val="8"/>
        <w:spacing w:before="0" w:beforeAutospacing="0" w:after="0" w:afterAutospacing="0" w:line="360" w:lineRule="auto"/>
        <w:ind w:firstLine="480" w:firstLineChars="200"/>
        <w:rPr>
          <w:rFonts w:hint="default" w:ascii="宋体" w:hAnsi="宋体" w:cs="宋体"/>
          <w:color w:val="auto"/>
          <w:sz w:val="22"/>
          <w:szCs w:val="22"/>
          <w:highlight w:val="none"/>
          <w:lang w:val="en-US" w:eastAsia="zh-CN"/>
        </w:rPr>
      </w:pPr>
      <w:r>
        <w:rPr>
          <w:rFonts w:hint="eastAsia" w:ascii="仿宋" w:hAnsi="仿宋" w:eastAsia="仿宋"/>
        </w:rPr>
        <w:t>6、本项目受场地因素限制不向乙方提供工人生活区、办公区，由乙方自行解决。</w:t>
      </w:r>
      <w:bookmarkEnd w:id="40"/>
    </w:p>
    <w:p w14:paraId="5019D257">
      <w:pPr>
        <w:rPr>
          <w:rFonts w:hint="default" w:ascii="仿宋" w:hAnsi="仿宋" w:eastAsia="仿宋" w:cs="Times New Roman"/>
          <w:kern w:val="0"/>
          <w:sz w:val="24"/>
          <w:szCs w:val="24"/>
          <w:lang w:val="en-US" w:eastAsia="zh-CN" w:bidi="ar"/>
        </w:rPr>
        <w:sectPr>
          <w:pgSz w:w="11906" w:h="16838"/>
          <w:pgMar w:top="1440" w:right="1800" w:bottom="1440" w:left="1800" w:header="851" w:footer="992" w:gutter="0"/>
          <w:cols w:space="425" w:num="1"/>
          <w:docGrid w:type="lines" w:linePitch="312" w:charSpace="0"/>
        </w:sectPr>
      </w:pPr>
      <w:r>
        <w:rPr>
          <w:rFonts w:hint="eastAsia" w:ascii="宋体" w:hAnsi="宋体" w:cs="宋体"/>
          <w:color w:val="auto"/>
          <w:sz w:val="22"/>
          <w:szCs w:val="22"/>
          <w:highlight w:val="none"/>
          <w:lang w:val="en-US" w:eastAsia="zh-CN"/>
        </w:rPr>
        <w:t xml:space="preserve">   </w:t>
      </w:r>
      <w:r>
        <w:rPr>
          <w:rFonts w:hint="eastAsia" w:ascii="仿宋" w:hAnsi="仿宋" w:eastAsia="仿宋" w:cs="Times New Roman"/>
          <w:kern w:val="0"/>
          <w:sz w:val="24"/>
          <w:szCs w:val="24"/>
          <w:lang w:val="en-US" w:eastAsia="zh-CN" w:bidi="ar"/>
        </w:rPr>
        <w:t xml:space="preserve"> 7、乙方中标后进场前需向甲方提供银行开具的工人工资保函。</w:t>
      </w:r>
    </w:p>
    <w:p w14:paraId="7AD3AA15">
      <w:pP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附件</w:t>
      </w:r>
      <w:r>
        <w:rPr>
          <w:rFonts w:hint="eastAsia" w:ascii="宋体" w:hAnsi="宋体" w:cs="宋体"/>
          <w:color w:val="auto"/>
          <w:sz w:val="22"/>
          <w:szCs w:val="22"/>
          <w:highlight w:val="none"/>
          <w:lang w:val="en-US" w:eastAsia="zh-CN"/>
        </w:rPr>
        <w:t>十</w:t>
      </w:r>
      <w:r>
        <w:rPr>
          <w:rFonts w:hint="eastAsia" w:ascii="宋体" w:hAnsi="宋体" w:eastAsia="宋体" w:cs="宋体"/>
          <w:color w:val="auto"/>
          <w:sz w:val="22"/>
          <w:szCs w:val="22"/>
          <w:highlight w:val="none"/>
        </w:rPr>
        <w:t>、工程量清单报价表</w:t>
      </w:r>
    </w:p>
    <w:p w14:paraId="2A6309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37E1E">
    <w:pPr>
      <w:pStyle w:val="7"/>
      <w:jc w:val="center"/>
    </w:pPr>
  </w:p>
  <w:p w14:paraId="68E1181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9CFC1">
    <w:pPr>
      <w:pStyle w:val="7"/>
      <w:jc w:val="center"/>
    </w:pPr>
    <w:r>
      <w:fldChar w:fldCharType="begin"/>
    </w:r>
    <w:r>
      <w:instrText xml:space="preserve">PAGE   \* MERGEFORMAT</w:instrText>
    </w:r>
    <w:r>
      <w:fldChar w:fldCharType="separate"/>
    </w:r>
    <w:r>
      <w:t>68</w:t>
    </w:r>
    <w:r>
      <w:fldChar w:fldCharType="end"/>
    </w:r>
  </w:p>
  <w:p w14:paraId="3B62D2B0">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69E44">
    <w:pPr>
      <w:pStyle w:val="7"/>
      <w:jc w:val="cente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18C69">
    <w:pPr>
      <w:pStyle w:val="7"/>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93C79">
    <w:pPr>
      <w:spacing w:line="173" w:lineRule="auto"/>
      <w:ind w:left="4769"/>
      <w:rPr>
        <w:rFonts w:ascii="Times New Roman" w:hAnsi="Times New Roman" w:eastAsia="Times New Roman" w:cs="Times New Roman"/>
        <w:sz w:val="14"/>
        <w:szCs w:val="1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343A6"/>
    <w:multiLevelType w:val="singleLevel"/>
    <w:tmpl w:val="829343A6"/>
    <w:lvl w:ilvl="0" w:tentative="0">
      <w:start w:val="23"/>
      <w:numFmt w:val="decimal"/>
      <w:suff w:val="nothing"/>
      <w:lvlText w:val="%1、"/>
      <w:lvlJc w:val="left"/>
    </w:lvl>
  </w:abstractNum>
  <w:abstractNum w:abstractNumId="1">
    <w:nsid w:val="89CB26E7"/>
    <w:multiLevelType w:val="singleLevel"/>
    <w:tmpl w:val="89CB26E7"/>
    <w:lvl w:ilvl="0" w:tentative="0">
      <w:start w:val="1"/>
      <w:numFmt w:val="decimal"/>
      <w:suff w:val="nothing"/>
      <w:lvlText w:val="%1、"/>
      <w:lvlJc w:val="left"/>
    </w:lvl>
  </w:abstractNum>
  <w:abstractNum w:abstractNumId="2">
    <w:nsid w:val="9C23210B"/>
    <w:multiLevelType w:val="singleLevel"/>
    <w:tmpl w:val="9C23210B"/>
    <w:lvl w:ilvl="0" w:tentative="0">
      <w:start w:val="3"/>
      <w:numFmt w:val="chineseCounting"/>
      <w:suff w:val="nothing"/>
      <w:lvlText w:val="%1、"/>
      <w:lvlJc w:val="left"/>
      <w:rPr>
        <w:rFonts w:hint="eastAsia"/>
      </w:rPr>
    </w:lvl>
  </w:abstractNum>
  <w:abstractNum w:abstractNumId="3">
    <w:nsid w:val="E2E43FD9"/>
    <w:multiLevelType w:val="singleLevel"/>
    <w:tmpl w:val="E2E43FD9"/>
    <w:lvl w:ilvl="0" w:tentative="0">
      <w:start w:val="2"/>
      <w:numFmt w:val="chineseCounting"/>
      <w:suff w:val="space"/>
      <w:lvlText w:val="第%1部分"/>
      <w:lvlJc w:val="left"/>
      <w:rPr>
        <w:rFonts w:hint="eastAsia"/>
      </w:rPr>
    </w:lvl>
  </w:abstractNum>
  <w:abstractNum w:abstractNumId="4">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C1457CA"/>
    <w:multiLevelType w:val="multilevel"/>
    <w:tmpl w:val="1C1457CA"/>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1E13B78B"/>
    <w:multiLevelType w:val="singleLevel"/>
    <w:tmpl w:val="1E13B78B"/>
    <w:lvl w:ilvl="0" w:tentative="0">
      <w:start w:val="1"/>
      <w:numFmt w:val="chineseCounting"/>
      <w:suff w:val="nothing"/>
      <w:lvlText w:val="%1、"/>
      <w:lvlJc w:val="left"/>
      <w:rPr>
        <w:rFonts w:hint="eastAsia"/>
      </w:rPr>
    </w:lvl>
  </w:abstractNum>
  <w:abstractNum w:abstractNumId="7">
    <w:nsid w:val="4003F571"/>
    <w:multiLevelType w:val="singleLevel"/>
    <w:tmpl w:val="4003F571"/>
    <w:lvl w:ilvl="0" w:tentative="0">
      <w:start w:val="1"/>
      <w:numFmt w:val="decimal"/>
      <w:lvlText w:val="%1."/>
      <w:lvlJc w:val="left"/>
      <w:pPr>
        <w:ind w:left="425" w:hanging="425"/>
      </w:pPr>
      <w:rPr>
        <w:rFonts w:hint="default"/>
      </w:rPr>
    </w:lvl>
  </w:abstractNum>
  <w:abstractNum w:abstractNumId="8">
    <w:nsid w:val="47BF44CD"/>
    <w:multiLevelType w:val="singleLevel"/>
    <w:tmpl w:val="47BF44CD"/>
    <w:lvl w:ilvl="0" w:tentative="0">
      <w:start w:val="1"/>
      <w:numFmt w:val="decimal"/>
      <w:suff w:val="nothing"/>
      <w:lvlText w:val="%1、"/>
      <w:lvlJc w:val="left"/>
    </w:lvl>
  </w:abstractNum>
  <w:abstractNum w:abstractNumId="9">
    <w:nsid w:val="4AAA6D08"/>
    <w:multiLevelType w:val="singleLevel"/>
    <w:tmpl w:val="4AAA6D08"/>
    <w:lvl w:ilvl="0" w:tentative="0">
      <w:start w:val="1"/>
      <w:numFmt w:val="decimal"/>
      <w:lvlText w:val="%1."/>
      <w:lvlJc w:val="left"/>
      <w:pPr>
        <w:ind w:left="425" w:hanging="425"/>
      </w:pPr>
      <w:rPr>
        <w:rFonts w:hint="default"/>
      </w:rPr>
    </w:lvl>
  </w:abstractNum>
  <w:abstractNum w:abstractNumId="10">
    <w:nsid w:val="4D5A4498"/>
    <w:multiLevelType w:val="multilevel"/>
    <w:tmpl w:val="4D5A4498"/>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1">
    <w:nsid w:val="69CE427D"/>
    <w:multiLevelType w:val="multilevel"/>
    <w:tmpl w:val="69CE427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FBA9D92"/>
    <w:multiLevelType w:val="singleLevel"/>
    <w:tmpl w:val="6FBA9D92"/>
    <w:lvl w:ilvl="0" w:tentative="0">
      <w:start w:val="1"/>
      <w:numFmt w:val="decimal"/>
      <w:suff w:val="nothing"/>
      <w:lvlText w:val="%1、"/>
      <w:lvlJc w:val="left"/>
    </w:lvl>
  </w:abstractNum>
  <w:num w:numId="1">
    <w:abstractNumId w:val="3"/>
  </w:num>
  <w:num w:numId="2">
    <w:abstractNumId w:val="2"/>
  </w:num>
  <w:num w:numId="3">
    <w:abstractNumId w:val="12"/>
  </w:num>
  <w:num w:numId="4">
    <w:abstractNumId w:val="4"/>
  </w:num>
  <w:num w:numId="5">
    <w:abstractNumId w:val="0"/>
  </w:num>
  <w:num w:numId="6">
    <w:abstractNumId w:val="10"/>
  </w:num>
  <w:num w:numId="7">
    <w:abstractNumId w:val="5"/>
  </w:num>
  <w:num w:numId="8">
    <w:abstractNumId w:val="11"/>
  </w:num>
  <w:num w:numId="9">
    <w:abstractNumId w:val="9"/>
  </w:num>
  <w:num w:numId="10">
    <w:abstractNumId w:val="7"/>
  </w:num>
  <w:num w:numId="11">
    <w:abstractNumId w:val="6"/>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AC4161"/>
    <w:rsid w:val="03FC007C"/>
    <w:rsid w:val="04555761"/>
    <w:rsid w:val="06080C97"/>
    <w:rsid w:val="0ADE1DD3"/>
    <w:rsid w:val="0B5E1157"/>
    <w:rsid w:val="0FA22032"/>
    <w:rsid w:val="35747523"/>
    <w:rsid w:val="35F20C0E"/>
    <w:rsid w:val="49276B29"/>
    <w:rsid w:val="4AAC4161"/>
    <w:rsid w:val="4CA43928"/>
    <w:rsid w:val="54BD5ACA"/>
    <w:rsid w:val="5DDD4575"/>
    <w:rsid w:val="5FEA46E0"/>
    <w:rsid w:val="63CF6E78"/>
    <w:rsid w:val="64B60C90"/>
    <w:rsid w:val="6E08378A"/>
    <w:rsid w:val="7F560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line="500" w:lineRule="exact"/>
      <w:ind w:firstLine="570"/>
    </w:pPr>
    <w:rPr>
      <w:sz w:val="28"/>
      <w:szCs w:val="2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22"/>
    <w:rPr>
      <w:b/>
      <w:bCs/>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styleId="13">
    <w:name w:val="List Paragraph"/>
    <w:basedOn w:val="1"/>
    <w:qFormat/>
    <w:uiPriority w:val="34"/>
    <w:pPr>
      <w:ind w:firstLine="420" w:firstLineChars="200"/>
    </w:pPr>
  </w:style>
  <w:style w:type="paragraph" w:customStyle="1" w:styleId="14">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84</Pages>
  <Words>19044</Words>
  <Characters>19803</Characters>
  <Lines>0</Lines>
  <Paragraphs>0</Paragraphs>
  <TotalTime>2</TotalTime>
  <ScaleCrop>false</ScaleCrop>
  <LinksUpToDate>false</LinksUpToDate>
  <CharactersWithSpaces>21935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2025-10-20T07:49:00Z</dcterms:created>
  <dc:creator>我不是我</dc:creator>
  <cp:lastModifiedBy>我不是我</cp:lastModifiedBy>
  <dcterms:modified xsi:type="dcterms:W3CDTF">2025-12-10T03:44:23Z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6413A8667D69474591AD58DA5F3FF655_13</vt:lpwstr>
  </property>
  <property fmtid="{D5CDD505-2E9C-101B-9397-08002B2CF9AE}" pid="4" name="KSOTemplateDocerSaveRecord">
    <vt:lpwstr>eyJoZGlkIjoiYWU4OGFiNDk1N2RiYmRiZThlMDAxYmQ1Y2Q3OGUxMmEiLCJ1c2VySWQiOiI1MTY5Mjg4NjIifQ==</vt:lpwstr>
  </property>
</Properties>
</file>