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2"/>
      <w:bookmarkStart w:id="1" w:name="OLE_LINK1"/>
      <w:r>
        <w:rPr>
          <w:rFonts w:hint="eastAsia" w:ascii="仿宋" w:hAnsi="仿宋" w:eastAsia="仿宋" w:cs="仿宋"/>
          <w:b/>
          <w:sz w:val="36"/>
          <w:szCs w:val="36"/>
          <w:lang w:val="en-US" w:eastAsia="zh-CN"/>
        </w:rPr>
        <w:t>泛光照明工程材料</w:t>
      </w:r>
      <w:r>
        <w:rPr>
          <w:rFonts w:hint="eastAsia" w:ascii="仿宋" w:hAnsi="仿宋" w:eastAsia="仿宋" w:cs="仿宋"/>
          <w:b/>
          <w:sz w:val="36"/>
          <w:szCs w:val="36"/>
        </w:rPr>
        <w:t>采购用户需求书</w:t>
      </w:r>
    </w:p>
    <w:p w14:paraId="54F00727">
      <w:pPr>
        <w:pStyle w:val="3"/>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48CF91FD">
      <w:pPr>
        <w:pStyle w:val="7"/>
        <w:spacing w:before="0" w:beforeAutospacing="0" w:after="0" w:afterAutospacing="0" w:line="360" w:lineRule="auto"/>
        <w:ind w:firstLine="482" w:firstLineChars="200"/>
        <w:rPr>
          <w:rFonts w:hint="eastAsia" w:ascii="仿宋" w:hAnsi="仿宋" w:eastAsia="仿宋" w:cs="宋体"/>
          <w:b w:val="0"/>
          <w:bCs w:val="0"/>
          <w:color w:val="auto"/>
          <w:sz w:val="24"/>
          <w:lang w:eastAsia="zh-CN"/>
        </w:rPr>
      </w:pPr>
      <w:r>
        <w:rPr>
          <w:rStyle w:val="11"/>
          <w:rFonts w:hint="eastAsia" w:ascii="仿宋" w:hAnsi="仿宋" w:eastAsia="仿宋" w:cs="仿宋"/>
          <w:lang w:val="en-US" w:eastAsia="zh-CN"/>
        </w:rPr>
        <w:t>1、</w:t>
      </w:r>
      <w:r>
        <w:rPr>
          <w:rFonts w:hint="eastAsia" w:ascii="仿宋" w:hAnsi="仿宋" w:eastAsia="仿宋"/>
          <w:b/>
          <w:bCs/>
          <w:color w:val="auto"/>
          <w:sz w:val="24"/>
          <w:lang w:eastAsia="zh-CN"/>
        </w:rPr>
        <w:t>东莞市沙田中学（暂定名）</w:t>
      </w:r>
      <w:r>
        <w:rPr>
          <w:rStyle w:val="11"/>
          <w:rFonts w:hint="eastAsia" w:ascii="仿宋" w:hAnsi="仿宋" w:eastAsia="仿宋" w:cs="仿宋"/>
          <w:lang w:val="en-US" w:eastAsia="zh-CN"/>
        </w:rPr>
        <w:t>材料供应工程地点</w:t>
      </w:r>
      <w:r>
        <w:rPr>
          <w:rFonts w:hint="eastAsia" w:ascii="仿宋" w:hAnsi="仿宋" w:eastAsia="仿宋" w:cs="仿宋"/>
        </w:rPr>
        <w:t>：</w:t>
      </w:r>
      <w:r>
        <w:rPr>
          <w:rFonts w:hint="eastAsia" w:ascii="仿宋" w:hAnsi="仿宋" w:eastAsia="仿宋" w:cs="宋体"/>
          <w:b w:val="0"/>
          <w:bCs w:val="0"/>
          <w:color w:val="auto"/>
          <w:sz w:val="24"/>
          <w:lang w:eastAsia="zh-CN"/>
        </w:rPr>
        <w:t>东莞市沙田镇东莞市沙田中学（东莞市沙田镇环湖北路与滨水区纵二路交汇处）。</w:t>
      </w:r>
    </w:p>
    <w:p w14:paraId="6D4FE416">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2" w:name="OLE_LINK24"/>
      <w:bookmarkStart w:id="3" w:name="OLE_LINK23"/>
      <w:bookmarkStart w:id="4" w:name="OLE_LINK14"/>
      <w:bookmarkStart w:id="5" w:name="OLE_LINK13"/>
    </w:p>
    <w:tbl>
      <w:tblPr>
        <w:tblStyle w:val="8"/>
        <w:tblW w:w="8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0"/>
        <w:gridCol w:w="1680"/>
        <w:gridCol w:w="4010"/>
        <w:gridCol w:w="900"/>
        <w:gridCol w:w="1600"/>
      </w:tblGrid>
      <w:tr w14:paraId="7008A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10" w:type="dxa"/>
            <w:tcBorders>
              <w:top w:val="single" w:color="000000" w:sz="4" w:space="0"/>
              <w:left w:val="single" w:color="000000" w:sz="4" w:space="0"/>
              <w:bottom w:val="nil"/>
              <w:right w:val="single" w:color="000000" w:sz="4" w:space="0"/>
            </w:tcBorders>
            <w:shd w:val="clear" w:color="auto" w:fill="auto"/>
            <w:vAlign w:val="center"/>
          </w:tcPr>
          <w:p w14:paraId="12B29A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680" w:type="dxa"/>
            <w:tcBorders>
              <w:top w:val="single" w:color="000000" w:sz="4" w:space="0"/>
              <w:left w:val="single" w:color="000000" w:sz="4" w:space="0"/>
              <w:bottom w:val="nil"/>
              <w:right w:val="single" w:color="000000" w:sz="4" w:space="0"/>
            </w:tcBorders>
            <w:shd w:val="clear" w:color="auto" w:fill="auto"/>
            <w:vAlign w:val="center"/>
          </w:tcPr>
          <w:p w14:paraId="147BD9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4010" w:type="dxa"/>
            <w:tcBorders>
              <w:top w:val="single" w:color="000000" w:sz="4" w:space="0"/>
              <w:left w:val="single" w:color="000000" w:sz="4" w:space="0"/>
              <w:bottom w:val="nil"/>
              <w:right w:val="single" w:color="000000" w:sz="4" w:space="0"/>
            </w:tcBorders>
            <w:shd w:val="clear" w:color="auto" w:fill="auto"/>
            <w:vAlign w:val="center"/>
          </w:tcPr>
          <w:p w14:paraId="7F8963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规格、型号</w:t>
            </w:r>
          </w:p>
        </w:tc>
        <w:tc>
          <w:tcPr>
            <w:tcW w:w="900" w:type="dxa"/>
            <w:tcBorders>
              <w:top w:val="single" w:color="000000" w:sz="4" w:space="0"/>
              <w:left w:val="single" w:color="000000" w:sz="4" w:space="0"/>
              <w:bottom w:val="nil"/>
              <w:right w:val="single" w:color="000000" w:sz="4" w:space="0"/>
            </w:tcBorders>
            <w:shd w:val="clear" w:color="auto" w:fill="auto"/>
            <w:vAlign w:val="center"/>
          </w:tcPr>
          <w:p w14:paraId="68BC1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962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数量（暂定）</w:t>
            </w:r>
          </w:p>
        </w:tc>
      </w:tr>
      <w:tr w14:paraId="163C2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7676A">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5492">
            <w:pPr>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配电照明工程</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CF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8CC74">
            <w:pPr>
              <w:jc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85AC">
            <w:pPr>
              <w:jc w:val="center"/>
              <w:rPr>
                <w:rFonts w:hint="eastAsia" w:ascii="宋体" w:hAnsi="宋体" w:eastAsia="宋体" w:cs="宋体"/>
                <w:i w:val="0"/>
                <w:iCs w:val="0"/>
                <w:color w:val="000000"/>
                <w:sz w:val="18"/>
                <w:szCs w:val="18"/>
                <w:u w:val="none"/>
              </w:rPr>
            </w:pPr>
          </w:p>
        </w:tc>
      </w:tr>
      <w:tr w14:paraId="7F669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64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5E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草坪灯</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52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1.名称:草坪灯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2.规格:220V12wLED灯3000KIP65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D1E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D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39</w:t>
            </w:r>
          </w:p>
        </w:tc>
      </w:tr>
      <w:tr w14:paraId="6224F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BCE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A5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庭院灯</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43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1.名称:庭院灯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2.灯杆的材质及高度:4m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3.灯架的型号、规格:220v40wLED灯4000KIP65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6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0D2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79</w:t>
            </w:r>
          </w:p>
        </w:tc>
      </w:tr>
      <w:tr w14:paraId="78FD9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635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68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篮球场灯</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939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1.名称:篮球场灯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2.灯杆的材质及高度:10m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3.灯架的型号、规格:220V2*150wLED灯4000kIP65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9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01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24</w:t>
            </w:r>
          </w:p>
        </w:tc>
      </w:tr>
      <w:tr w14:paraId="2B450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0C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40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篮球场灯</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0E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1.名称:篮球场灯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2.灯杆的材质及高度:10m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3.灯架的型号、规格:220V4*150wLED灯4000kIP65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4B2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E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18</w:t>
            </w:r>
          </w:p>
        </w:tc>
      </w:tr>
      <w:tr w14:paraId="51AF7213">
        <w:tblPrEx>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20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9E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足球场灯</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31D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1.名称:足球场灯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2.灯杆的材质及高度:18m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3.灯架的型号、规格:220v10*200wLED灯5000KIP65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DD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00C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w:t>
            </w:r>
          </w:p>
        </w:tc>
      </w:tr>
      <w:tr w14:paraId="7C0EC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E24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BA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小电器</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AB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1.名称:变压器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2.规格:220V/24VIP68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47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05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34A50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DF6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DC0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9FC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1.型号:成套配电箱AL1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2.规格:非标,钢制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3.含混凝土基础</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74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BD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6ECED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0D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14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AFF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1.型号:成套配电箱AL2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2.规格:非标,钢制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59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4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4FD8F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89C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38E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C9F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1.型号:成套配电箱AL3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2.规格:非标,钢制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6B1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2E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37BB2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8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50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角钢</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CA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L50*50*5热镀锌角钢 L=2.5m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54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根</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B74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w:t>
            </w:r>
          </w:p>
        </w:tc>
      </w:tr>
      <w:tr w14:paraId="38E40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8DC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37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8C6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2.规格:YJV-3*2.5mm2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69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AD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2915</w:t>
            </w:r>
          </w:p>
        </w:tc>
      </w:tr>
      <w:tr w14:paraId="4691A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2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F58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B01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2.规格:YJV-3*4mm2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3C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C3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2868.96</w:t>
            </w:r>
          </w:p>
        </w:tc>
      </w:tr>
      <w:tr w14:paraId="457C5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D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78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F4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2.规格:YJV-3*6mm2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B6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8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1153.25</w:t>
            </w:r>
          </w:p>
        </w:tc>
      </w:tr>
      <w:tr w14:paraId="3D88B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0D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014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F3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2.规格:YJV-3*10mm2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13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BC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1469.27</w:t>
            </w:r>
          </w:p>
        </w:tc>
      </w:tr>
      <w:tr w14:paraId="07670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12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6D6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84D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2.规格:YZ-2*4mm2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74B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F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23.29</w:t>
            </w:r>
          </w:p>
        </w:tc>
      </w:tr>
      <w:tr w14:paraId="77DDC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E23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83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BB9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2.规格:YJV-5x6mm2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54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9FF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50</w:t>
            </w:r>
          </w:p>
        </w:tc>
      </w:tr>
      <w:tr w14:paraId="48DBE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6A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68D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6A8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2.规格:YJV-4x35+1x16mm2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649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E6C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50</w:t>
            </w:r>
          </w:p>
        </w:tc>
      </w:tr>
      <w:tr w14:paraId="1C370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B8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FAD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电力电缆头</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09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2.规格:35mm2以下</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12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58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r>
      <w:tr w14:paraId="53B81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50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BF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电力电缆头</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08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2.规格:16mm2以下</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10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A9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r>
      <w:tr w14:paraId="1EBF9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D0D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BB1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电气配管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24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1.材质:刚性难燃管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2.规格:PE50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3.配置形式:埋地敷设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61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31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r>
      <w:tr w14:paraId="4EBA1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6ED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EBE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电气配管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F6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1.材质:刚性难燃管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2.规格:PE40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3.配置形式:埋地敷设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1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6A8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1453.43</w:t>
            </w:r>
          </w:p>
        </w:tc>
      </w:tr>
      <w:tr w14:paraId="2BED8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CD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488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电气配管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E6B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1.材质:刚性难燃管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2.规格:PE32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3.配置形式:埋地敷设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EA9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6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3723.61</w:t>
            </w:r>
          </w:p>
        </w:tc>
      </w:tr>
      <w:tr w14:paraId="22F42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85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2D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电气配管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BF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1.材质:刚性难燃管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2.规格:PC32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3.配置形式:埋地敷设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47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BA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23.29</w:t>
            </w:r>
          </w:p>
        </w:tc>
      </w:tr>
      <w:tr w14:paraId="7E7F8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C9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433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送配电装置系统</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4E4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1.送配电装置系统调试(综合)1kV以下交流供电</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647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系统</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DC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w:t>
            </w:r>
          </w:p>
        </w:tc>
      </w:tr>
      <w:tr w14:paraId="6706A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5A6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9D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送配电装置系统</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CA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1.名称:送配电装置系统调试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2.电压等级(kV):1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E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系统</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A87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w:t>
            </w:r>
          </w:p>
        </w:tc>
      </w:tr>
      <w:bookmarkEnd w:id="2"/>
      <w:bookmarkEnd w:id="3"/>
      <w:bookmarkEnd w:id="4"/>
      <w:bookmarkEnd w:id="5"/>
    </w:tbl>
    <w:p w14:paraId="1EAA8143">
      <w:pPr>
        <w:pStyle w:val="7"/>
        <w:spacing w:before="0" w:beforeAutospacing="0" w:after="0" w:afterAutospacing="0" w:line="360" w:lineRule="auto"/>
        <w:ind w:firstLine="482" w:firstLineChars="200"/>
        <w:rPr>
          <w:rFonts w:hint="eastAsia" w:ascii="仿宋" w:hAnsi="仿宋" w:eastAsia="仿宋" w:cs="宋体"/>
          <w:b/>
          <w:bCs/>
          <w:color w:val="auto"/>
          <w:sz w:val="24"/>
          <w:lang w:eastAsia="zh-CN"/>
        </w:rPr>
      </w:pPr>
      <w:r>
        <w:rPr>
          <w:rStyle w:val="11"/>
          <w:rFonts w:hint="eastAsia" w:ascii="仿宋" w:hAnsi="仿宋" w:eastAsia="仿宋" w:cs="仿宋"/>
          <w:b/>
          <w:bCs/>
          <w:lang w:val="en-US" w:eastAsia="zh-CN"/>
        </w:rPr>
        <w:t>2、</w:t>
      </w:r>
      <w:r>
        <w:rPr>
          <w:rFonts w:hint="eastAsia" w:ascii="仿宋" w:hAnsi="仿宋" w:eastAsia="仿宋"/>
          <w:b/>
          <w:bCs/>
          <w:sz w:val="24"/>
          <w:lang w:val="en-US" w:eastAsia="zh-CN"/>
        </w:rPr>
        <w:t>东莞市生物技术产业园项目</w:t>
      </w:r>
      <w:r>
        <w:rPr>
          <w:rStyle w:val="11"/>
          <w:rFonts w:hint="eastAsia" w:ascii="仿宋" w:hAnsi="仿宋" w:eastAsia="仿宋" w:cs="仿宋"/>
          <w:lang w:val="en-US" w:eastAsia="zh-CN"/>
        </w:rPr>
        <w:t>材料供应工程地点</w:t>
      </w:r>
      <w:r>
        <w:rPr>
          <w:rFonts w:hint="eastAsia" w:ascii="仿宋" w:hAnsi="仿宋" w:eastAsia="仿宋" w:cs="仿宋"/>
          <w:b/>
          <w:bCs/>
        </w:rPr>
        <w:t>：</w:t>
      </w:r>
      <w:r>
        <w:rPr>
          <w:rFonts w:hint="eastAsia" w:ascii="仿宋_GB2312" w:hAnsi="仿宋_GB2312" w:eastAsia="仿宋_GB2312" w:cs="仿宋_GB2312"/>
          <w:bCs/>
          <w:sz w:val="24"/>
          <w:highlight w:val="none"/>
          <w:u w:val="none"/>
        </w:rPr>
        <w:t>东莞市松山湖台湾高科技园台中路西南侧</w:t>
      </w:r>
      <w:r>
        <w:rPr>
          <w:rFonts w:hint="eastAsia" w:ascii="仿宋" w:hAnsi="仿宋" w:eastAsia="仿宋" w:cs="宋体"/>
          <w:b/>
          <w:bCs/>
          <w:color w:val="auto"/>
          <w:sz w:val="24"/>
          <w:lang w:eastAsia="zh-CN"/>
        </w:rPr>
        <w:t>。</w:t>
      </w:r>
    </w:p>
    <w:p w14:paraId="21CB610C">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p>
    <w:tbl>
      <w:tblPr>
        <w:tblStyle w:val="8"/>
        <w:tblW w:w="8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0"/>
        <w:gridCol w:w="1680"/>
        <w:gridCol w:w="4260"/>
        <w:gridCol w:w="880"/>
        <w:gridCol w:w="1370"/>
      </w:tblGrid>
      <w:tr w14:paraId="140C8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10" w:type="dxa"/>
            <w:tcBorders>
              <w:top w:val="single" w:color="000000" w:sz="4" w:space="0"/>
              <w:left w:val="single" w:color="000000" w:sz="4" w:space="0"/>
              <w:bottom w:val="nil"/>
              <w:right w:val="single" w:color="000000" w:sz="4" w:space="0"/>
            </w:tcBorders>
            <w:shd w:val="clear" w:color="auto" w:fill="auto"/>
            <w:vAlign w:val="center"/>
          </w:tcPr>
          <w:p w14:paraId="03B56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680" w:type="dxa"/>
            <w:tcBorders>
              <w:top w:val="single" w:color="000000" w:sz="4" w:space="0"/>
              <w:left w:val="single" w:color="000000" w:sz="4" w:space="0"/>
              <w:bottom w:val="nil"/>
              <w:right w:val="single" w:color="000000" w:sz="4" w:space="0"/>
            </w:tcBorders>
            <w:shd w:val="clear" w:color="auto" w:fill="auto"/>
            <w:vAlign w:val="center"/>
          </w:tcPr>
          <w:p w14:paraId="4CDC7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4260" w:type="dxa"/>
            <w:tcBorders>
              <w:top w:val="single" w:color="000000" w:sz="4" w:space="0"/>
              <w:left w:val="single" w:color="000000" w:sz="4" w:space="0"/>
              <w:bottom w:val="nil"/>
              <w:right w:val="single" w:color="000000" w:sz="4" w:space="0"/>
            </w:tcBorders>
            <w:shd w:val="clear" w:color="auto" w:fill="auto"/>
            <w:vAlign w:val="center"/>
          </w:tcPr>
          <w:p w14:paraId="38F6B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规格、型号</w:t>
            </w:r>
          </w:p>
        </w:tc>
        <w:tc>
          <w:tcPr>
            <w:tcW w:w="880" w:type="dxa"/>
            <w:tcBorders>
              <w:top w:val="single" w:color="000000" w:sz="4" w:space="0"/>
              <w:left w:val="single" w:color="000000" w:sz="4" w:space="0"/>
              <w:bottom w:val="nil"/>
              <w:right w:val="single" w:color="000000" w:sz="4" w:space="0"/>
            </w:tcBorders>
            <w:shd w:val="clear" w:color="auto" w:fill="auto"/>
            <w:vAlign w:val="center"/>
          </w:tcPr>
          <w:p w14:paraId="6A94AE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8BF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数量（暂定）</w:t>
            </w:r>
          </w:p>
        </w:tc>
      </w:tr>
      <w:tr w14:paraId="76959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D2F5">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96AF5">
            <w:pPr>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配电照明工程</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1F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72CF3">
            <w:pPr>
              <w:jc w:val="center"/>
              <w:rPr>
                <w:rFonts w:hint="eastAsia" w:ascii="宋体" w:hAnsi="宋体" w:eastAsia="宋体" w:cs="宋体"/>
                <w:i w:val="0"/>
                <w:iCs w:val="0"/>
                <w:color w:val="000000"/>
                <w:sz w:val="18"/>
                <w:szCs w:val="18"/>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6A5B">
            <w:pPr>
              <w:jc w:val="center"/>
              <w:rPr>
                <w:rFonts w:hint="eastAsia" w:ascii="宋体" w:hAnsi="宋体" w:eastAsia="宋体" w:cs="宋体"/>
                <w:i w:val="0"/>
                <w:iCs w:val="0"/>
                <w:color w:val="000000"/>
                <w:sz w:val="18"/>
                <w:szCs w:val="18"/>
                <w:u w:val="none"/>
              </w:rPr>
            </w:pPr>
          </w:p>
        </w:tc>
      </w:tr>
      <w:tr w14:paraId="087A3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25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74A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90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1.名称:配电箱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2.型号:HJAL1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3.基础形式、材质、规格:含槽钢基础C10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4.安装方式:落地安装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EB3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6430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0E4B1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A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51B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配电箱混凝土基础</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326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1.名称:配电箱混凝土基础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2.规格:1040*840*800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3.基础:采用C25素混凝土现浇,上下均配∅16@200钢筋网,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配电箱四周抹M10.0防水沙浆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4.接地:50*50*5 L=2500mm 热镀锌型钢接地极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CA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4693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44E95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01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BB1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C9F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2.型号:WDZC-YJY-3*4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4.电压等级(kV):含接线端子、穿铁丝等一切所需工作内容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7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45B9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136.12</w:t>
            </w:r>
          </w:p>
        </w:tc>
      </w:tr>
      <w:tr w14:paraId="493C8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77A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BEB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10D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2.型号:YJV-3*4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B2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8351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9837.39</w:t>
            </w:r>
          </w:p>
        </w:tc>
      </w:tr>
      <w:tr w14:paraId="001FB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AD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5B0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0CE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1.名称:绝缘电线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2.规格:WDZC-BYJ2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E1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CFC0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485.97</w:t>
            </w:r>
          </w:p>
        </w:tc>
      </w:tr>
      <w:tr w14:paraId="1D8E0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B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906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DF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1.名称:绝缘电线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2.规格:RVV-2*4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BC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79F8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780.28</w:t>
            </w:r>
          </w:p>
        </w:tc>
      </w:tr>
      <w:tr w14:paraId="49CFE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69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ECE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A5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1.名称:电线配管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2.材质:PVC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4.配置形式:埋地敷设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ED3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E550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787.14</w:t>
            </w:r>
          </w:p>
        </w:tc>
      </w:tr>
      <w:tr w14:paraId="52F78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B7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B37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A2E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1.名称:电线配管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2.材质:PVC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4.配置形式:埋地敷设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72E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F4D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8537.27</w:t>
            </w:r>
          </w:p>
        </w:tc>
      </w:tr>
      <w:tr w14:paraId="76734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0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7A1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12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1.名称:过路保护管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2.材质:镀锌钢管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4.配置形式:埋地敷设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9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17A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96.23</w:t>
            </w:r>
          </w:p>
        </w:tc>
      </w:tr>
      <w:tr w14:paraId="462B4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9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79C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A0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1.名称:过路保护管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2.材质:镀锌钢管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4.配置形式:埋地敷设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C35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FAC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86.76</w:t>
            </w:r>
          </w:p>
        </w:tc>
      </w:tr>
      <w:tr w14:paraId="6DE94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0F1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BB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478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1.名称:过路保护管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2.材质:镀锌钢管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4.配置形式:埋地敷设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6D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C106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265.39</w:t>
            </w:r>
          </w:p>
        </w:tc>
      </w:tr>
      <w:tr w14:paraId="59FE5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8D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69D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凿(压)槽</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C5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1.名称:凿压槽及恢复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2.规格:70*70mm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4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137D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6.3</w:t>
            </w:r>
          </w:p>
        </w:tc>
      </w:tr>
      <w:tr w14:paraId="4842C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44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6E4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庭院灯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F4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1.名称:庭院灯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2.参数:灯具外壳材质;铝压铸成型,静电喷粉,浅灰色,耐高温钢化安全玻璃灯罩,色温:4000K,LED灯,功率50W,高3.5m,输入电压:220V 防护等级:IP65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A3A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221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129</w:t>
            </w:r>
          </w:p>
        </w:tc>
      </w:tr>
      <w:tr w14:paraId="74719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C9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B4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庭院灯混凝土基础</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78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1.名称:庭院灯混凝土基础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2.规格:上底450*450，下底600*600，高700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3.基础:采用C20钢筋砼钢筋砼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4.接地:50*50*5 L=2500mm 热镀锌型钢接地极，40x4镀锌扁钢接地线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DA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07D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129</w:t>
            </w:r>
          </w:p>
        </w:tc>
      </w:tr>
      <w:tr w14:paraId="636DF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AA4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2D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草坪灯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E5D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1.名称:草坪灯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2.型号:灯具外壳材质;铝压铸成型,静电喷粉,浅灰色,耐高温钢化安全玻璃灯罩,色温:3000K,LED,功率12W,高0.6m,输入电压:220V 防护等级:IP65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90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63A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61</w:t>
            </w:r>
          </w:p>
        </w:tc>
      </w:tr>
      <w:tr w14:paraId="43BD4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A57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7C4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草坪灯混凝土基础</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AE2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1.名称:草坪灯混凝土基础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2.规格:300*300*350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3.基础:采用C20混凝土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F62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9FD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61</w:t>
            </w:r>
          </w:p>
        </w:tc>
      </w:tr>
      <w:tr w14:paraId="00941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C7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89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射树灯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CB6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1.名称:射树灯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2.型号:灯具外壳材质;铝压铸成型,浅灰色,耐高温钢化安全玻璃灯罩,色温:3000K，LED灯,功率12W,Φ67mm*H210mm,输入电压:220V 防护等级:IP67</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DBF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C6AA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w:t>
            </w:r>
          </w:p>
        </w:tc>
      </w:tr>
      <w:tr w14:paraId="0975E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0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C3B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吸顶灯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6AF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1.名称:吸顶灯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2.型号:LED，20W，4000K暖白色，IP55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CF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E68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w:t>
            </w:r>
          </w:p>
        </w:tc>
      </w:tr>
      <w:tr w14:paraId="5FA7D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17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60F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壁灯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1C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1.名称:壁灯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2.型号:LED,20W,4000K暖白色,IP55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0D5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3B9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w:t>
            </w:r>
          </w:p>
        </w:tc>
      </w:tr>
      <w:tr w14:paraId="2EC8D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1BC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8F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装饰灯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55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1.名称:LED灯带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2.型号:灯具外壳材质;PVC塑料经机压成型,色温:3000K,LED灯,功率6W/m,∅10mm,输入电压:220V 防护等级:IP68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14D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5C74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424</w:t>
            </w:r>
          </w:p>
        </w:tc>
      </w:tr>
      <w:tr w14:paraId="24B8E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77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45F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芦苇灯</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0A0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1.名称:芦苇灯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2.型号:灯具外壳材质; 不锈钢+光纤,色温:3000K,LED灯,功率5W/支,高度110cm,光纤长度25cm,输入电压:12V 防护等级:IP68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8D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DF5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143</w:t>
            </w:r>
          </w:p>
        </w:tc>
      </w:tr>
      <w:tr w14:paraId="6C0A2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1FA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0D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照明开关</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44F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1.名称:声控延时开关(红外线感应)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31C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0B9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w:t>
            </w:r>
          </w:p>
        </w:tc>
      </w:tr>
      <w:tr w14:paraId="045C4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AA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C6A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350W开关电源</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007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1.名称:350W开关电源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2.规格:UHP-350(R)-24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3.符合设计图纸以及施工规范要求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ED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98DA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19</w:t>
            </w:r>
          </w:p>
        </w:tc>
      </w:tr>
      <w:tr w14:paraId="20449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66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D93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电缆手孔井（铺砖）</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7F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1.名称:电缆手孔井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2.规格:0.6m*0.6m*0.96m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3.其他:150厚级配砂石垫层，100厚C15混凝土，180厚M7.5水泥砂浆MU10非粘土砖砌体，20厚1:2.5水泥砂浆找平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0D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座</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3B9E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17</w:t>
            </w:r>
          </w:p>
        </w:tc>
      </w:tr>
      <w:tr w14:paraId="0927F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54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328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电缆手孔井（绿化）</w:t>
            </w:r>
          </w:p>
        </w:tc>
        <w:tc>
          <w:tcPr>
            <w:tcW w:w="4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6FB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1.名称:电缆手孔井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2.规格:0.6m*0.6m*0.96m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3.其他:150厚级配砂石垫层，100厚C15混凝土，180厚M7.5水泥砂浆MU10非粘土砖砌体，20厚1:2.5水泥砂浆找平，100厚C20混凝土压顶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4.符合设计图纸及施工规范要求</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4C2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座</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423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21</w:t>
            </w:r>
          </w:p>
        </w:tc>
      </w:tr>
    </w:tbl>
    <w:p w14:paraId="1AA717E1">
      <w:pPr>
        <w:pStyle w:val="7"/>
        <w:spacing w:before="0" w:beforeAutospacing="0" w:after="0" w:afterAutospacing="0" w:line="360" w:lineRule="auto"/>
        <w:ind w:firstLine="482" w:firstLineChars="200"/>
        <w:rPr>
          <w:rFonts w:hint="eastAsia" w:ascii="仿宋" w:hAnsi="仿宋" w:eastAsia="仿宋" w:cs="宋体"/>
          <w:b w:val="0"/>
          <w:bCs w:val="0"/>
          <w:color w:val="auto"/>
          <w:sz w:val="24"/>
          <w:lang w:eastAsia="zh-CN"/>
        </w:rPr>
      </w:pPr>
      <w:r>
        <w:rPr>
          <w:rStyle w:val="11"/>
          <w:rFonts w:hint="eastAsia" w:ascii="仿宋" w:hAnsi="仿宋" w:eastAsia="仿宋" w:cs="仿宋"/>
          <w:lang w:val="en-US" w:eastAsia="zh-CN"/>
        </w:rPr>
        <w:t>3、东莞市应急消防救援训练基地材料供应工程地点</w:t>
      </w:r>
      <w:r>
        <w:rPr>
          <w:rFonts w:hint="eastAsia" w:ascii="仿宋" w:hAnsi="仿宋" w:eastAsia="仿宋" w:cs="仿宋"/>
        </w:rPr>
        <w:t>：</w:t>
      </w:r>
      <w:r>
        <w:rPr>
          <w:rFonts w:hint="eastAsia" w:ascii="宋体" w:hAnsi="宋体" w:eastAsia="宋体" w:cs="宋体"/>
          <w:color w:val="000000"/>
          <w:kern w:val="0"/>
          <w:szCs w:val="21"/>
          <w:u w:val="none"/>
          <w:lang w:val="en-US" w:eastAsia="zh-CN"/>
        </w:rPr>
        <w:t>东莞市万江街道严屋社区西园坊环城路旁(城区水泥制品厂地块)</w:t>
      </w:r>
    </w:p>
    <w:p w14:paraId="0B9AED98">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p>
    <w:tbl>
      <w:tblPr>
        <w:tblStyle w:val="8"/>
        <w:tblW w:w="8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0"/>
        <w:gridCol w:w="1680"/>
        <w:gridCol w:w="4010"/>
        <w:gridCol w:w="900"/>
        <w:gridCol w:w="1600"/>
      </w:tblGrid>
      <w:tr w14:paraId="5CAEC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10" w:type="dxa"/>
            <w:tcBorders>
              <w:top w:val="single" w:color="000000" w:sz="4" w:space="0"/>
              <w:left w:val="single" w:color="000000" w:sz="4" w:space="0"/>
              <w:bottom w:val="nil"/>
              <w:right w:val="single" w:color="000000" w:sz="4" w:space="0"/>
            </w:tcBorders>
            <w:shd w:val="clear" w:color="auto" w:fill="auto"/>
            <w:vAlign w:val="center"/>
          </w:tcPr>
          <w:p w14:paraId="5F38A6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680" w:type="dxa"/>
            <w:tcBorders>
              <w:top w:val="single" w:color="000000" w:sz="4" w:space="0"/>
              <w:left w:val="single" w:color="000000" w:sz="4" w:space="0"/>
              <w:bottom w:val="nil"/>
              <w:right w:val="single" w:color="000000" w:sz="4" w:space="0"/>
            </w:tcBorders>
            <w:shd w:val="clear" w:color="auto" w:fill="auto"/>
            <w:vAlign w:val="center"/>
          </w:tcPr>
          <w:p w14:paraId="3CBF3E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4010" w:type="dxa"/>
            <w:tcBorders>
              <w:top w:val="single" w:color="000000" w:sz="4" w:space="0"/>
              <w:left w:val="single" w:color="000000" w:sz="4" w:space="0"/>
              <w:bottom w:val="nil"/>
              <w:right w:val="single" w:color="000000" w:sz="4" w:space="0"/>
            </w:tcBorders>
            <w:shd w:val="clear" w:color="auto" w:fill="auto"/>
            <w:vAlign w:val="center"/>
          </w:tcPr>
          <w:p w14:paraId="6A91D5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规格、型号</w:t>
            </w:r>
          </w:p>
        </w:tc>
        <w:tc>
          <w:tcPr>
            <w:tcW w:w="900" w:type="dxa"/>
            <w:tcBorders>
              <w:top w:val="single" w:color="000000" w:sz="4" w:space="0"/>
              <w:left w:val="single" w:color="000000" w:sz="4" w:space="0"/>
              <w:bottom w:val="nil"/>
              <w:right w:val="single" w:color="000000" w:sz="4" w:space="0"/>
            </w:tcBorders>
            <w:shd w:val="clear" w:color="auto" w:fill="auto"/>
            <w:vAlign w:val="center"/>
          </w:tcPr>
          <w:p w14:paraId="02BAAE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D3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数量（暂定）</w:t>
            </w:r>
          </w:p>
        </w:tc>
      </w:tr>
      <w:tr w14:paraId="1C053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1C70E">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2315E">
            <w:pPr>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1#特勤消防站泛光照明工程</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B5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4A67">
            <w:pPr>
              <w:jc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B79BB">
            <w:pPr>
              <w:jc w:val="center"/>
              <w:rPr>
                <w:rFonts w:hint="eastAsia" w:ascii="宋体" w:hAnsi="宋体" w:eastAsia="宋体" w:cs="宋体"/>
                <w:i w:val="0"/>
                <w:iCs w:val="0"/>
                <w:color w:val="000000"/>
                <w:sz w:val="18"/>
                <w:szCs w:val="18"/>
                <w:u w:val="none"/>
              </w:rPr>
            </w:pPr>
          </w:p>
        </w:tc>
      </w:tr>
      <w:tr w14:paraId="62827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ED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692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DE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1.名称:1#特勤消防站泛光照明配电箱AL1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2.型号:成套型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3.安装方式:悬挂式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4.含箱体内元器件、接地等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15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12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145FE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9A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A1B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接地极</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9F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1.名称:配电箱接地极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2.材质:热镀锌角钢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3.规格:L50*5,L=2500mm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8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根</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26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25F93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B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A2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开关电源</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13D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1.名称:开关电源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2.规格:AC220V~DC24V,350W，配套镀锌防雨外壳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50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D09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43</w:t>
            </w:r>
          </w:p>
        </w:tc>
      </w:tr>
      <w:tr w14:paraId="4636C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E4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498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A66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3.规格:JDG20*1.35mm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2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DC0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706.36</w:t>
            </w:r>
          </w:p>
        </w:tc>
      </w:tr>
      <w:tr w14:paraId="3B4A6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39D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2F9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F9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3.规格:JDG25*1.35mm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001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CC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485.02</w:t>
            </w:r>
          </w:p>
        </w:tc>
      </w:tr>
      <w:tr w14:paraId="433AB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4E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2E3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E42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2.规格:WDZ-YJY-3*4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4.敷设方式、部位:管内敷设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EA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97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507.91</w:t>
            </w:r>
          </w:p>
        </w:tc>
      </w:tr>
      <w:tr w14:paraId="774B1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9E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D04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8E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2.配线形式:管内穿线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3.规格:ZR-RVV-2*4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5.配线部位:管内敷设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E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0E1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734.78</w:t>
            </w:r>
          </w:p>
        </w:tc>
      </w:tr>
      <w:tr w14:paraId="3FA97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DA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AD6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CD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2.规格:DC24V,24W,3000K,1000mm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5E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15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107</w:t>
            </w:r>
          </w:p>
        </w:tc>
      </w:tr>
      <w:tr w14:paraId="230D5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B4D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28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76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A86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9B7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r>
      <w:tr w14:paraId="4BCF2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F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4A3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6D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2.规格:DC24V,7W,3000K,300mm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2B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7C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36</w:t>
            </w:r>
          </w:p>
        </w:tc>
      </w:tr>
      <w:tr w14:paraId="5C2FD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0A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7B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11C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39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E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110</w:t>
            </w:r>
          </w:p>
        </w:tc>
      </w:tr>
      <w:tr w14:paraId="3519C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71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7E3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C5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2.规格:DC24V,6W,3000K,500mm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409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92F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1D6A0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9C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3F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896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2.规格:DC24V,3.6W,3000K,300mm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B4D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55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360DB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65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1E4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L2a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B3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1.名称:LED线条灯L2a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4AC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88D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418</w:t>
            </w:r>
          </w:p>
        </w:tc>
      </w:tr>
      <w:tr w14:paraId="22B1E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6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F7A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L2c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80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1.名称:LED线条灯L2c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2.规格:DC24V,3.6W,3000K,300mm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F67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7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54</w:t>
            </w:r>
          </w:p>
        </w:tc>
      </w:tr>
      <w:tr w14:paraId="4B09A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263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C2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接线盒</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11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1.名称:灯具接线盒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3.安装形式:暗装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767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F3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731</w:t>
            </w:r>
          </w:p>
        </w:tc>
      </w:tr>
      <w:tr w14:paraId="701DD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3F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091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C2D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2.规格:WDZ-YJY-3*4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4.敷设方式、部位:管内敷设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ADE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025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507.91</w:t>
            </w:r>
          </w:p>
        </w:tc>
      </w:tr>
      <w:tr w14:paraId="4E010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1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FD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4C4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2.配线形式:管内穿线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3.规格:ZR-RVV-2*4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5.配线部位:管内敷设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DC6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A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734.78</w:t>
            </w:r>
          </w:p>
        </w:tc>
      </w:tr>
      <w:tr w14:paraId="49E32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28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505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2#综合楼体能训练馆泛光照明工程</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0E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6E4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DA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14:paraId="4B0F7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2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D85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23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1.名称:2#综合楼体能训练馆泛光照明配电箱AL2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2.型号:成套型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3.安装方式:悬挂式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4.含箱体内元器件、接地等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FB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DE4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45785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57C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84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接地极</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F95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1.名称:配电箱接地极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2.材质:热镀锌角钢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3.规格:L50*5,L=2500mm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F6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根</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97C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613C7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D0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ED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开关电源</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86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1.名称:开关电源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2.规格:AC220V~DC24V,350W，配套镀锌防雨外壳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8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E4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103</w:t>
            </w:r>
          </w:p>
        </w:tc>
      </w:tr>
      <w:tr w14:paraId="139FC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A3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FEB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18B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3.规格:JDG20*1.35mm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D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19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2000.27</w:t>
            </w:r>
          </w:p>
        </w:tc>
      </w:tr>
      <w:tr w14:paraId="19894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FB0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768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25E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3.规格:JDG25*1.35mm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9E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A0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930.18</w:t>
            </w:r>
          </w:p>
        </w:tc>
      </w:tr>
      <w:tr w14:paraId="0A910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E6F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D05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6E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2.规格:WDZ-YJY-3*4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4.敷设方式、部位:管内敷设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3E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EB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979.64</w:t>
            </w:r>
          </w:p>
        </w:tc>
      </w:tr>
      <w:tr w14:paraId="3ACF3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7D2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9F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11B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2.配线形式:管内穿线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3.规格:ZR-RVV-2*4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5.配线部位:管内敷设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4DD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3BE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2076.41</w:t>
            </w:r>
          </w:p>
        </w:tc>
      </w:tr>
      <w:tr w14:paraId="164E6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A0A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A1F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B0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2.规:DC24V,24W,3000K,1000mm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59C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54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89</w:t>
            </w:r>
          </w:p>
        </w:tc>
      </w:tr>
      <w:tr w14:paraId="1C91A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7E2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E6A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6FA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B5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A4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22</w:t>
            </w:r>
          </w:p>
        </w:tc>
      </w:tr>
      <w:tr w14:paraId="34262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A5E3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308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78A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2.规格:DC24V,7W,3000K,300mm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232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D4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64</w:t>
            </w:r>
          </w:p>
        </w:tc>
      </w:tr>
      <w:tr w14:paraId="74D0F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FCC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6F7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01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3F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C1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217</w:t>
            </w:r>
          </w:p>
        </w:tc>
      </w:tr>
      <w:tr w14:paraId="29DB5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D62E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649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214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2.规格:DC24V,6W,3000K,500mm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CF3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E2C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r>
      <w:tr w14:paraId="26EFD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D10E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B5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954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2.规格:DC24V,3.6W,3000K,300mm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7A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928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13</w:t>
            </w:r>
          </w:p>
        </w:tc>
      </w:tr>
      <w:tr w14:paraId="2DB9E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74C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CA2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L2a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607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1.名称:LED线条灯L2a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F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1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1064</w:t>
            </w:r>
          </w:p>
        </w:tc>
      </w:tr>
      <w:tr w14:paraId="1D335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31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BC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L2b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DF7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1.名称:LED线条灯L2b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2.规格:DC24V,6W,3000K,500mm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1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D5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w:t>
            </w:r>
          </w:p>
        </w:tc>
      </w:tr>
      <w:tr w14:paraId="183F9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0AC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B6C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L2c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EDB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1.名称:LED线条灯L2c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2.规格:DC24V,3.6W,3000K,300mm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2CC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54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52</w:t>
            </w:r>
          </w:p>
        </w:tc>
      </w:tr>
      <w:tr w14:paraId="566FD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19D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5F3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接线盒</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39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1.名称:灯具接线盒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3.安装形式:暗装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5CF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35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1535</w:t>
            </w:r>
          </w:p>
        </w:tc>
      </w:tr>
      <w:tr w14:paraId="138BF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D54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DF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3#市民应急安全体验中心泛光照明工程</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479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3F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E24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14:paraId="2FBC0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C166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8DC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配电箱</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07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1.名称:3#市民应急安全体验中心泛光照明配电箱AL3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2.型号:成套型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3.安装方式:悬挂式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4.含箱体内元器件、接地等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60F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7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2AD5E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C535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1BD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接地极</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E2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1.名称:配电箱接地极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2.材质:热镀锌角钢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3.规格:L50*5,L=2500mm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92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根</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D34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r>
      <w:tr w14:paraId="296CC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95B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C3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开关电源</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E07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1.名称:开关电源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2.规格:AC220V~DC24V,350W，配套镀锌防雨外壳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16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81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38</w:t>
            </w:r>
          </w:p>
        </w:tc>
      </w:tr>
      <w:tr w14:paraId="510D1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4297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C7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3F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3.规格:JDG20*1.35mm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7D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22F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377.6</w:t>
            </w:r>
          </w:p>
        </w:tc>
      </w:tr>
      <w:tr w14:paraId="046E4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6EC4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0A6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配管</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0D7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2.材质:紧定式镀锌电线管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3.规格:JDG25*1.35mm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4.配置形式:明配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7D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5F6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989.09</w:t>
            </w:r>
          </w:p>
        </w:tc>
      </w:tr>
      <w:tr w14:paraId="1B81A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D6D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C5C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电力电缆</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AED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1.名称:电力电缆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2.规格:WDZ-YJY-3*4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4.敷设方式、部位:管内敷设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278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B1F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1027.1</w:t>
            </w:r>
          </w:p>
        </w:tc>
      </w:tr>
      <w:tr w14:paraId="345E6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59D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70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配线</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724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2.配线形式:管内穿线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3.规格:ZR-RVV-2*4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4.材质:铜芯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5.配线部位:管内敷设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945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m</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972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387.04</w:t>
            </w:r>
          </w:p>
        </w:tc>
      </w:tr>
      <w:tr w14:paraId="68360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7D5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231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LED投光灯 TG01</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C6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1.名称:LED投光灯TG01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2.规格:AC220V,72W,3000K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F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8AD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w:t>
            </w:r>
          </w:p>
        </w:tc>
      </w:tr>
      <w:tr w14:paraId="1E9CD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CB8C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EA4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33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2.规格:DC24V,24W,3000K,1000mm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06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247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337</w:t>
            </w:r>
          </w:p>
        </w:tc>
      </w:tr>
      <w:tr w14:paraId="535C0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553B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0A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L3b</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990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1B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56F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25</w:t>
            </w:r>
          </w:p>
        </w:tc>
      </w:tr>
      <w:tr w14:paraId="0A5D5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FD6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B0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LED洗墙灯 L3c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4E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1.名称:LED洗墙灯L3c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2.规格:DC24V,7W,3000K,300mm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E89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FC4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12</w:t>
            </w:r>
          </w:p>
        </w:tc>
      </w:tr>
      <w:tr w14:paraId="3A6C6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22BE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59C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L1a</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7EA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2.规格:DC24V,12W,3000K,1000mm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E33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0E2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18</w:t>
            </w:r>
          </w:p>
        </w:tc>
      </w:tr>
      <w:tr w14:paraId="3EDD4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9CE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6E4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LED线条灯 L1c</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BE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1.名称:LED线条灯L1c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2.规格:DC24V,3.6W,3000K,300mm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FFB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套</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F44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r>
      <w:tr w14:paraId="09C55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7972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49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接线盒</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93A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1.名称:灯具接线盒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3.安装形式:暗装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4.符合设计图纸及施工规范要求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CC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个</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C2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404</w:t>
            </w:r>
          </w:p>
        </w:tc>
      </w:tr>
    </w:tbl>
    <w:p w14:paraId="6D3061A8">
      <w:pPr>
        <w:pStyle w:val="7"/>
        <w:spacing w:before="0" w:beforeAutospacing="0" w:after="0" w:afterAutospacing="0" w:line="360" w:lineRule="auto"/>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p w14:paraId="282C5D72">
      <w:pPr>
        <w:pStyle w:val="7"/>
        <w:spacing w:before="0" w:beforeAutospacing="0" w:after="60" w:afterAutospacing="0" w:line="360" w:lineRule="auto"/>
        <w:rPr>
          <w:rFonts w:hint="eastAsia" w:ascii="仿宋" w:hAnsi="仿宋" w:eastAsia="仿宋" w:cs="仿宋"/>
        </w:rPr>
      </w:pPr>
      <w:r>
        <w:rPr>
          <w:rStyle w:val="11"/>
          <w:rFonts w:hint="eastAsia" w:ascii="仿宋" w:hAnsi="仿宋" w:eastAsia="仿宋" w:cs="仿宋"/>
          <w:lang w:val="en-US" w:eastAsia="zh-CN"/>
        </w:rPr>
        <w:t>供货周期</w:t>
      </w:r>
      <w:r>
        <w:rPr>
          <w:rFonts w:hint="eastAsia" w:ascii="仿宋" w:hAnsi="仿宋" w:eastAsia="仿宋" w:cs="仿宋"/>
        </w:rPr>
        <w:t>：</w:t>
      </w:r>
      <w:r>
        <w:rPr>
          <w:rFonts w:hint="eastAsia" w:ascii="宋体" w:hAnsi="宋体" w:eastAsia="宋体" w:cs="宋体"/>
          <w:color w:val="auto"/>
          <w:kern w:val="0"/>
          <w:sz w:val="21"/>
          <w:szCs w:val="21"/>
          <w:lang w:val="en-US" w:eastAsia="zh-CN"/>
        </w:rPr>
        <w:t>具体送货、备货时间以项目部正式通知为准，乙方承诺无条件配合甲方根据施工进度安排对产品供货期的调整</w:t>
      </w:r>
      <w:r>
        <w:rPr>
          <w:rFonts w:hint="eastAsia" w:ascii="宋体" w:hAnsi="宋体" w:eastAsia="宋体" w:cs="宋体"/>
          <w:color w:val="auto"/>
          <w:kern w:val="0"/>
          <w:sz w:val="21"/>
          <w:szCs w:val="21"/>
        </w:rPr>
        <w:t>。</w:t>
      </w:r>
    </w:p>
    <w:p w14:paraId="3C0E9666">
      <w:pPr>
        <w:pStyle w:val="3"/>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w:t>
      </w:r>
      <w:r>
        <w:rPr>
          <w:rFonts w:hint="eastAsia" w:ascii="仿宋" w:hAnsi="仿宋" w:eastAsia="仿宋"/>
          <w:b/>
          <w:sz w:val="28"/>
          <w:szCs w:val="28"/>
        </w:rPr>
        <w:t>材料</w:t>
      </w:r>
      <w:r>
        <w:rPr>
          <w:rFonts w:hint="eastAsia" w:ascii="仿宋" w:hAnsi="仿宋" w:eastAsia="仿宋"/>
          <w:b/>
          <w:sz w:val="28"/>
          <w:szCs w:val="28"/>
          <w:lang w:val="en-US" w:eastAsia="zh-CN"/>
        </w:rPr>
        <w:t>技术</w:t>
      </w:r>
      <w:r>
        <w:rPr>
          <w:rFonts w:hint="eastAsia" w:ascii="仿宋" w:hAnsi="仿宋" w:eastAsia="仿宋"/>
          <w:b/>
          <w:sz w:val="28"/>
          <w:szCs w:val="28"/>
        </w:rPr>
        <w:t>要求</w:t>
      </w:r>
    </w:p>
    <w:p w14:paraId="0F1FA731">
      <w:pPr>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符合设计图纸及合同要求‌</w:t>
      </w:r>
    </w:p>
    <w:p w14:paraId="30B07446">
      <w:pPr>
        <w:pStyle w:val="7"/>
        <w:spacing w:before="0" w:beforeAutospacing="0" w:after="0" w:afterAutospacing="0" w:line="360" w:lineRule="auto"/>
        <w:rPr>
          <w:rStyle w:val="11"/>
          <w:rFonts w:hint="eastAsia" w:ascii="仿宋" w:hAnsi="仿宋" w:eastAsia="仿宋" w:cs="仿宋"/>
          <w:b/>
          <w:bCs/>
          <w:sz w:val="28"/>
          <w:szCs w:val="28"/>
        </w:rPr>
      </w:pPr>
      <w:r>
        <w:rPr>
          <w:rStyle w:val="11"/>
          <w:rFonts w:hint="eastAsia" w:ascii="仿宋" w:hAnsi="仿宋" w:eastAsia="仿宋" w:cs="仿宋"/>
          <w:b/>
          <w:bCs/>
          <w:sz w:val="28"/>
          <w:szCs w:val="28"/>
          <w:lang w:val="en-US" w:eastAsia="zh-CN"/>
        </w:rPr>
        <w:t>三</w:t>
      </w:r>
      <w:r>
        <w:rPr>
          <w:rStyle w:val="11"/>
          <w:rFonts w:hint="eastAsia" w:ascii="仿宋" w:hAnsi="仿宋" w:eastAsia="仿宋" w:cs="仿宋"/>
          <w:b/>
          <w:bCs/>
          <w:sz w:val="28"/>
          <w:szCs w:val="28"/>
        </w:rPr>
        <w:t>、</w:t>
      </w:r>
      <w:r>
        <w:rPr>
          <w:rStyle w:val="11"/>
          <w:rFonts w:hint="eastAsia" w:ascii="仿宋" w:hAnsi="仿宋" w:eastAsia="仿宋" w:cs="仿宋"/>
          <w:b/>
          <w:bCs/>
          <w:sz w:val="28"/>
          <w:szCs w:val="28"/>
          <w:lang w:val="en-US" w:eastAsia="zh-CN"/>
        </w:rPr>
        <w:t>质量文件</w:t>
      </w:r>
      <w:r>
        <w:rPr>
          <w:rStyle w:val="11"/>
          <w:rFonts w:hint="eastAsia" w:ascii="仿宋" w:hAnsi="仿宋" w:eastAsia="仿宋" w:cs="仿宋"/>
          <w:b/>
          <w:bCs/>
          <w:sz w:val="28"/>
          <w:szCs w:val="28"/>
        </w:rPr>
        <w:t>与验收标准</w:t>
      </w:r>
    </w:p>
    <w:p w14:paraId="7B44A383">
      <w:pPr>
        <w:pStyle w:val="7"/>
        <w:spacing w:before="0" w:beforeAutospacing="0" w:after="0" w:afterAutospacing="0" w:line="360" w:lineRule="auto"/>
        <w:rPr>
          <w:rStyle w:val="11"/>
          <w:rFonts w:hint="eastAsia" w:ascii="仿宋" w:hAnsi="仿宋" w:eastAsia="仿宋" w:cs="仿宋"/>
          <w:b w:val="0"/>
          <w:bCs w:val="0"/>
          <w:lang w:val="en-US" w:eastAsia="zh-CN"/>
        </w:rPr>
      </w:pPr>
      <w:r>
        <w:rPr>
          <w:rStyle w:val="11"/>
          <w:rFonts w:hint="eastAsia" w:ascii="仿宋" w:hAnsi="仿宋" w:eastAsia="仿宋" w:cs="仿宋"/>
          <w:b/>
          <w:bCs/>
          <w:lang w:val="en-US" w:eastAsia="zh-CN"/>
        </w:rPr>
        <w:t>1、‌出厂检验报告 / 出厂质量证明书：</w:t>
      </w:r>
      <w:r>
        <w:rPr>
          <w:rStyle w:val="11"/>
          <w:rFonts w:hint="eastAsia" w:ascii="仿宋" w:hAnsi="仿宋" w:eastAsia="仿宋" w:cs="仿宋"/>
          <w:b w:val="0"/>
          <w:bCs w:val="0"/>
          <w:lang w:val="en-US" w:eastAsia="zh-CN"/>
        </w:rPr>
        <w:t>‌</w:t>
      </w:r>
    </w:p>
    <w:p w14:paraId="715756F8">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供应商/生产厂家名称、地址、联系方式</w:t>
      </w:r>
    </w:p>
    <w:p w14:paraId="722742C4">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产品名称、规格型号生</w:t>
      </w:r>
    </w:p>
    <w:p w14:paraId="7313B343">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产日期/批号</w:t>
      </w:r>
    </w:p>
    <w:p w14:paraId="2620DA53">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代表数量（该报告所代表的货物数量）</w:t>
      </w:r>
    </w:p>
    <w:p w14:paraId="4EAF09EB">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‌主要的材料性能指标检测结果</w:t>
      </w:r>
    </w:p>
    <w:p w14:paraId="6877AD3D">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结论（如“符合XX标准XX等级要求”或“合格”）</w:t>
      </w:r>
    </w:p>
    <w:p w14:paraId="15F4B1C2">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签发日期</w:t>
      </w:r>
    </w:p>
    <w:p w14:paraId="6D551DF7">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加盖生产厂家‌质检章‌或‌公章‌。</w:t>
      </w:r>
    </w:p>
    <w:p w14:paraId="1A1D803B">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bCs/>
          <w:lang w:val="en-US" w:eastAsia="zh-CN"/>
        </w:rPr>
        <w:t>2、送货单/发货单/：</w:t>
      </w:r>
      <w:r>
        <w:rPr>
          <w:rStyle w:val="11"/>
          <w:rFonts w:hint="eastAsia" w:ascii="仿宋" w:hAnsi="仿宋" w:eastAsia="仿宋" w:cs="仿宋"/>
          <w:b w:val="0"/>
          <w:bCs w:val="0"/>
          <w:lang w:val="en-US" w:eastAsia="zh-CN"/>
        </w:rPr>
        <w:t>‌</w:t>
      </w:r>
    </w:p>
    <w:p w14:paraId="7842747B">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lang w:val="en-US" w:eastAsia="zh-CN"/>
        </w:rPr>
        <w:t>信息内容：供应商名称、产品名称、规格、批号（必须与检验报告上的批号一致）、车号、毛重/皮重/净重、收货单位、发货日期、收货人等。</w:t>
      </w:r>
      <w:r>
        <w:rPr>
          <w:rStyle w:val="11"/>
          <w:rFonts w:hint="eastAsia" w:ascii="仿宋" w:hAnsi="仿宋" w:eastAsia="仿宋" w:cs="仿宋"/>
          <w:b w:val="0"/>
          <w:bCs w:val="0"/>
        </w:rPr>
        <w:t>‌</w:t>
      </w:r>
    </w:p>
    <w:p w14:paraId="2F5D7B78">
      <w:pPr>
        <w:pStyle w:val="7"/>
        <w:spacing w:before="0" w:beforeAutospacing="0" w:after="0" w:afterAutospacing="0" w:line="360" w:lineRule="auto"/>
        <w:rPr>
          <w:rStyle w:val="11"/>
          <w:rFonts w:hint="eastAsia" w:ascii="仿宋" w:hAnsi="仿宋" w:eastAsia="仿宋" w:cs="仿宋"/>
          <w:b/>
          <w:bCs/>
        </w:rPr>
      </w:pPr>
      <w:r>
        <w:rPr>
          <w:rStyle w:val="11"/>
          <w:rFonts w:hint="eastAsia" w:ascii="仿宋" w:hAnsi="仿宋" w:eastAsia="仿宋" w:cs="仿宋"/>
          <w:b/>
          <w:bCs/>
          <w:lang w:val="en-US" w:eastAsia="zh-CN"/>
        </w:rPr>
        <w:t>3</w:t>
      </w:r>
      <w:r>
        <w:rPr>
          <w:rStyle w:val="11"/>
          <w:rFonts w:hint="eastAsia" w:ascii="仿宋" w:hAnsi="仿宋" w:eastAsia="仿宋" w:cs="仿宋"/>
          <w:b/>
          <w:bCs/>
        </w:rPr>
        <w:t>、常见不合格项处理</w:t>
      </w:r>
    </w:p>
    <w:p w14:paraId="430AC958">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材料到场现场验收不合格，拒收退货处理</w:t>
      </w:r>
      <w:r>
        <w:rPr>
          <w:rStyle w:val="11"/>
          <w:rFonts w:hint="eastAsia" w:ascii="仿宋" w:hAnsi="仿宋" w:eastAsia="仿宋" w:cs="仿宋"/>
          <w:b w:val="0"/>
          <w:bCs w:val="0"/>
        </w:rPr>
        <w:t>；</w:t>
      </w:r>
    </w:p>
    <w:p w14:paraId="76DEA089">
      <w:pPr>
        <w:pStyle w:val="7"/>
        <w:spacing w:before="0" w:beforeAutospacing="0" w:after="0" w:afterAutospacing="0" w:line="360" w:lineRule="auto"/>
        <w:rPr>
          <w:rStyle w:val="11"/>
          <w:rFonts w:hint="eastAsia" w:ascii="仿宋" w:hAnsi="仿宋" w:eastAsia="仿宋" w:cs="仿宋"/>
          <w:b/>
          <w:bCs/>
          <w:highlight w:val="none"/>
        </w:rPr>
      </w:pPr>
      <w:r>
        <w:rPr>
          <w:rStyle w:val="11"/>
          <w:rFonts w:hint="eastAsia" w:ascii="仿宋" w:hAnsi="仿宋" w:eastAsia="仿宋" w:cs="仿宋"/>
          <w:b/>
          <w:bCs/>
          <w:highlight w:val="none"/>
          <w:lang w:val="en-US" w:eastAsia="zh-CN"/>
        </w:rPr>
        <w:t>4</w:t>
      </w:r>
      <w:r>
        <w:rPr>
          <w:rStyle w:val="11"/>
          <w:rFonts w:hint="eastAsia" w:ascii="仿宋" w:hAnsi="仿宋" w:eastAsia="仿宋" w:cs="仿宋"/>
          <w:b/>
          <w:bCs/>
          <w:highlight w:val="none"/>
        </w:rPr>
        <w:t>、国家、行业和地方标准</w:t>
      </w:r>
      <w:r>
        <w:rPr>
          <w:rStyle w:val="11"/>
          <w:rFonts w:hint="eastAsia" w:ascii="仿宋" w:hAnsi="仿宋" w:eastAsia="仿宋" w:cs="仿宋"/>
          <w:b/>
          <w:bCs/>
          <w:highlight w:val="none"/>
          <w:lang w:val="en-US" w:eastAsia="zh-CN"/>
        </w:rPr>
        <w:t>和规范要求</w:t>
      </w:r>
      <w:r>
        <w:rPr>
          <w:rStyle w:val="11"/>
          <w:rFonts w:hint="eastAsia" w:ascii="仿宋" w:hAnsi="仿宋" w:eastAsia="仿宋" w:cs="仿宋"/>
          <w:b/>
          <w:bCs/>
          <w:highlight w:val="none"/>
        </w:rPr>
        <w:t>：</w:t>
      </w:r>
    </w:p>
    <w:p w14:paraId="0050312A">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《建筑电气工程施工质量验收标准》GB 50303-20</w:t>
      </w:r>
      <w:r>
        <w:rPr>
          <w:rStyle w:val="11"/>
          <w:rFonts w:hint="eastAsia" w:ascii="仿宋" w:hAnsi="仿宋" w:eastAsia="仿宋" w:cs="仿宋"/>
          <w:b w:val="0"/>
          <w:bCs w:val="0"/>
          <w:lang w:val="en-US" w:eastAsia="zh-CN"/>
        </w:rPr>
        <w:t>23</w:t>
      </w:r>
      <w:r>
        <w:rPr>
          <w:rStyle w:val="11"/>
          <w:rFonts w:hint="eastAsia" w:ascii="仿宋" w:hAnsi="仿宋" w:eastAsia="仿宋" w:cs="仿宋"/>
          <w:b w:val="0"/>
          <w:bCs w:val="0"/>
        </w:rPr>
        <w:t>‌</w:t>
      </w:r>
    </w:p>
    <w:p w14:paraId="769EE9DE">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《电气装置安装工程 电缆线路施工及验收规范》GB 50168-2018</w:t>
      </w:r>
    </w:p>
    <w:p w14:paraId="63FE97DD">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《电缆防火涂料通用技术条件》GB 28374-2012</w:t>
      </w:r>
    </w:p>
    <w:p w14:paraId="74F4983C">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《LED城市照明应用技术要求》GB/T 35269-2017</w:t>
      </w:r>
    </w:p>
    <w:p w14:paraId="25FD8F59">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‌其他</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本项目特定的设计</w:t>
      </w:r>
      <w:r>
        <w:rPr>
          <w:rStyle w:val="11"/>
          <w:rFonts w:hint="eastAsia" w:ascii="仿宋" w:hAnsi="仿宋" w:eastAsia="仿宋" w:cs="仿宋"/>
          <w:b w:val="0"/>
          <w:bCs w:val="0"/>
          <w:lang w:val="en-US" w:eastAsia="zh-CN"/>
        </w:rPr>
        <w:t>图纸和合同</w:t>
      </w:r>
      <w:r>
        <w:rPr>
          <w:rStyle w:val="11"/>
          <w:rFonts w:hint="eastAsia" w:ascii="仿宋" w:hAnsi="仿宋" w:eastAsia="仿宋" w:cs="仿宋"/>
          <w:b w:val="0"/>
          <w:bCs w:val="0"/>
        </w:rPr>
        <w:t>文件</w:t>
      </w:r>
      <w:r>
        <w:rPr>
          <w:rStyle w:val="11"/>
          <w:rFonts w:hint="eastAsia" w:ascii="仿宋" w:hAnsi="仿宋" w:eastAsia="仿宋" w:cs="仿宋"/>
          <w:b w:val="0"/>
          <w:bCs w:val="0"/>
          <w:lang w:eastAsia="zh-CN"/>
        </w:rPr>
        <w:t>。</w:t>
      </w:r>
    </w:p>
    <w:p w14:paraId="03536C54">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四</w:t>
      </w:r>
      <w:r>
        <w:rPr>
          <w:rStyle w:val="11"/>
          <w:rFonts w:ascii="仿宋" w:hAnsi="仿宋" w:eastAsia="仿宋" w:cs="仿宋"/>
          <w:b/>
          <w:bCs/>
          <w:sz w:val="28"/>
          <w:szCs w:val="28"/>
        </w:rPr>
        <w:t>、安全文明施工要求</w:t>
      </w:r>
    </w:p>
    <w:p w14:paraId="66E7E99C">
      <w:pPr>
        <w:pStyle w:val="7"/>
        <w:spacing w:line="360" w:lineRule="auto"/>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、起重机等设备操作人员）必须持有效证件，人证合一。机械操作人员必须身体健康，无妨碍安全操作的疾病（如心脏病、癫痫、色盲等）。严禁疲劳驾驶、酒后驾驶。安排专职现场调度/协调员，</w:t>
      </w:r>
      <w:r>
        <w:rPr>
          <w:rStyle w:val="11"/>
          <w:rFonts w:hint="eastAsia" w:ascii="仿宋" w:hAnsi="仿宋" w:eastAsia="仿宋" w:cs="仿宋"/>
          <w:b w:val="0"/>
          <w:bCs w:val="0"/>
          <w:lang w:val="en-US" w:eastAsia="zh-CN"/>
        </w:rPr>
        <w:t>且</w:t>
      </w:r>
      <w:r>
        <w:rPr>
          <w:rStyle w:val="11"/>
          <w:rFonts w:hint="eastAsia" w:ascii="仿宋" w:hAnsi="仿宋" w:eastAsia="仿宋" w:cs="仿宋"/>
          <w:b w:val="0"/>
          <w:bCs w:val="0"/>
        </w:rPr>
        <w:t>必须严格遵守甲方安全管理要求</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运输车辆工作时交通安全，过程中如因乙方违反安全驾驶、机械设备违规操作等原因产生的事故损失完全由乙方承担。</w:t>
      </w:r>
    </w:p>
    <w:p w14:paraId="4AC66838">
      <w:pPr>
        <w:pStyle w:val="7"/>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2BC79D">
      <w:pPr>
        <w:pStyle w:val="7"/>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532D1DDE">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79510D70">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五</w:t>
      </w:r>
      <w:r>
        <w:rPr>
          <w:rStyle w:val="11"/>
          <w:rFonts w:ascii="仿宋" w:hAnsi="仿宋" w:eastAsia="仿宋" w:cs="仿宋"/>
          <w:b/>
          <w:bCs/>
          <w:sz w:val="28"/>
          <w:szCs w:val="28"/>
        </w:rPr>
        <w:t>、施工配合要求</w:t>
      </w:r>
    </w:p>
    <w:bookmarkEnd w:id="0"/>
    <w:bookmarkEnd w:id="1"/>
    <w:p w14:paraId="1C5C7BC3">
      <w:pPr>
        <w:pStyle w:val="7"/>
        <w:spacing w:before="0" w:beforeAutospacing="0" w:after="0" w:afterAutospacing="0" w:line="360" w:lineRule="auto"/>
        <w:rPr>
          <w:rFonts w:hint="eastAsia" w:ascii="仿宋" w:hAnsi="仿宋" w:eastAsia="仿宋"/>
          <w:lang w:eastAsia="zh-CN"/>
        </w:rPr>
      </w:pPr>
      <w:r>
        <w:rPr>
          <w:rFonts w:hint="eastAsia" w:ascii="仿宋" w:hAnsi="仿宋" w:eastAsia="仿宋"/>
        </w:rPr>
        <w:t>1、</w:t>
      </w:r>
      <w:r>
        <w:rPr>
          <w:rFonts w:hint="eastAsia" w:ascii="仿宋" w:hAnsi="仿宋" w:eastAsia="仿宋"/>
          <w:lang w:val="en-US" w:eastAsia="zh-CN"/>
        </w:rPr>
        <w:t>供货周期：甲方</w:t>
      </w:r>
      <w:r>
        <w:rPr>
          <w:rFonts w:hint="eastAsia" w:ascii="仿宋" w:hAnsi="仿宋" w:eastAsia="仿宋"/>
        </w:rPr>
        <w:t>下单</w:t>
      </w:r>
      <w:r>
        <w:rPr>
          <w:rFonts w:hint="eastAsia" w:ascii="仿宋" w:hAnsi="仿宋" w:eastAsia="仿宋"/>
          <w:lang w:val="en-US" w:eastAsia="zh-CN"/>
        </w:rPr>
        <w:t>后，需根据具体材料排产时间以及甲方要求时间尽快进场</w:t>
      </w:r>
      <w:r>
        <w:rPr>
          <w:rFonts w:hint="eastAsia" w:ascii="仿宋" w:hAnsi="仿宋" w:eastAsia="仿宋"/>
          <w:lang w:eastAsia="zh-CN"/>
        </w:rPr>
        <w:t>。</w:t>
      </w:r>
    </w:p>
    <w:p w14:paraId="7E20FCAF">
      <w:pPr>
        <w:pStyle w:val="7"/>
        <w:spacing w:before="0" w:beforeAutospacing="0" w:after="0" w:afterAutospacing="0" w:line="360" w:lineRule="auto"/>
        <w:rPr>
          <w:rFonts w:hint="eastAsia" w:ascii="仿宋" w:hAnsi="仿宋" w:eastAsia="仿宋"/>
        </w:rPr>
      </w:pPr>
      <w:r>
        <w:rPr>
          <w:rFonts w:hint="eastAsia" w:ascii="仿宋" w:hAnsi="仿宋" w:eastAsia="仿宋"/>
        </w:rPr>
        <w:t>2、</w:t>
      </w:r>
      <w:r>
        <w:rPr>
          <w:rFonts w:hint="eastAsia" w:ascii="仿宋" w:hAnsi="仿宋" w:eastAsia="仿宋"/>
          <w:lang w:val="en-US" w:eastAsia="zh-CN"/>
        </w:rPr>
        <w:t>现场配合：</w:t>
      </w:r>
      <w:r>
        <w:rPr>
          <w:rFonts w:hint="eastAsia" w:ascii="仿宋" w:hAnsi="仿宋" w:eastAsia="仿宋"/>
        </w:rPr>
        <w:t>供应商</w:t>
      </w:r>
      <w:bookmarkStart w:id="6" w:name="_GoBack"/>
      <w:bookmarkEnd w:id="6"/>
      <w:r>
        <w:rPr>
          <w:rFonts w:hint="eastAsia" w:ascii="仿宋" w:hAnsi="仿宋" w:eastAsia="仿宋"/>
        </w:rPr>
        <w:t>无条件配合现场施工进度要求；</w:t>
      </w:r>
    </w:p>
    <w:p w14:paraId="66FBC86E">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3</w:t>
      </w:r>
      <w:r>
        <w:rPr>
          <w:rFonts w:hint="eastAsia" w:ascii="仿宋" w:hAnsi="仿宋" w:eastAsia="仿宋"/>
        </w:rPr>
        <w:t>、</w:t>
      </w:r>
      <w:r>
        <w:rPr>
          <w:rFonts w:hint="eastAsia" w:ascii="仿宋" w:hAnsi="仿宋" w:eastAsia="仿宋"/>
          <w:lang w:val="en-US" w:eastAsia="zh-CN"/>
        </w:rPr>
        <w:t>材料验收</w:t>
      </w:r>
      <w:r>
        <w:rPr>
          <w:rFonts w:ascii="仿宋" w:hAnsi="仿宋" w:eastAsia="仿宋"/>
        </w:rPr>
        <w:t>：</w:t>
      </w:r>
      <w:r>
        <w:rPr>
          <w:rFonts w:hint="eastAsia" w:ascii="仿宋" w:hAnsi="仿宋" w:eastAsia="仿宋"/>
          <w:lang w:val="en-US" w:eastAsia="zh-CN"/>
        </w:rPr>
        <w:t>材料</w:t>
      </w:r>
      <w:r>
        <w:rPr>
          <w:rFonts w:ascii="仿宋" w:hAnsi="仿宋" w:eastAsia="仿宋"/>
        </w:rPr>
        <w:t>到场</w:t>
      </w:r>
      <w:r>
        <w:rPr>
          <w:rFonts w:hint="eastAsia" w:ascii="仿宋" w:hAnsi="仿宋" w:eastAsia="仿宋"/>
          <w:lang w:val="en-US" w:eastAsia="zh-CN"/>
        </w:rPr>
        <w:t>后</w:t>
      </w:r>
      <w:r>
        <w:rPr>
          <w:rFonts w:ascii="仿宋" w:hAnsi="仿宋" w:eastAsia="仿宋"/>
        </w:rPr>
        <w:t>发现</w:t>
      </w:r>
      <w:r>
        <w:rPr>
          <w:rFonts w:hint="eastAsia" w:ascii="仿宋" w:hAnsi="仿宋" w:eastAsia="仿宋"/>
          <w:lang w:val="en-US" w:eastAsia="zh-CN"/>
        </w:rPr>
        <w:t>存在明显质量问题例如外观质量和尺寸偏差等问题</w:t>
      </w:r>
      <w:r>
        <w:rPr>
          <w:rFonts w:ascii="仿宋" w:hAnsi="仿宋" w:eastAsia="仿宋"/>
        </w:rPr>
        <w:t>，</w:t>
      </w:r>
      <w:r>
        <w:rPr>
          <w:rFonts w:hint="eastAsia" w:ascii="仿宋" w:hAnsi="仿宋" w:eastAsia="仿宋"/>
          <w:lang w:val="en-US" w:eastAsia="zh-CN"/>
        </w:rPr>
        <w:t>24</w:t>
      </w:r>
      <w:r>
        <w:rPr>
          <w:rFonts w:ascii="仿宋" w:hAnsi="仿宋" w:eastAsia="仿宋"/>
        </w:rPr>
        <w:t>小时内完成退换货；</w:t>
      </w:r>
    </w:p>
    <w:p w14:paraId="70EE9635">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4</w:t>
      </w:r>
      <w:r>
        <w:rPr>
          <w:rFonts w:hint="eastAsia" w:ascii="仿宋" w:hAnsi="仿宋" w:eastAsia="仿宋"/>
        </w:rPr>
        <w:t>、</w:t>
      </w:r>
      <w:r>
        <w:rPr>
          <w:rFonts w:ascii="仿宋" w:hAnsi="仿宋" w:eastAsia="仿宋"/>
        </w:rPr>
        <w:t>供应商延迟到货：按合同价0.1%/天扣款，超3天启动应急采购；</w:t>
      </w:r>
    </w:p>
    <w:p w14:paraId="39FEF54D">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5</w:t>
      </w:r>
      <w:r>
        <w:rPr>
          <w:rFonts w:hint="eastAsia" w:ascii="仿宋" w:hAnsi="仿宋" w:eastAsia="仿宋"/>
        </w:rPr>
        <w:t>、</w:t>
      </w:r>
      <w:r>
        <w:rPr>
          <w:rFonts w:ascii="仿宋" w:hAnsi="仿宋" w:eastAsia="仿宋"/>
        </w:rPr>
        <w:t>到货通知：</w:t>
      </w:r>
      <w:r>
        <w:rPr>
          <w:rFonts w:hint="eastAsia" w:ascii="仿宋" w:hAnsi="仿宋" w:eastAsia="仿宋"/>
          <w:lang w:val="en-US" w:eastAsia="zh-CN"/>
        </w:rPr>
        <w:t>出发前</w:t>
      </w:r>
      <w:r>
        <w:rPr>
          <w:rFonts w:ascii="仿宋" w:hAnsi="仿宋" w:eastAsia="仿宋"/>
        </w:rPr>
        <w:t>发送货车车牌号、司机电话、预计抵达时间、货物清单及发货照片。</w:t>
      </w:r>
    </w:p>
    <w:p w14:paraId="6470DABB">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6、材料照管：在货物移交给采购人并经采购人验收合格前，货物的损耗、毁损、灭失的风险和责任均由供应商自行承担。</w:t>
      </w:r>
    </w:p>
    <w:p w14:paraId="6EFDE7A8">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7、材料运输及卸货：</w:t>
      </w:r>
      <w:r>
        <w:rPr>
          <w:rFonts w:ascii="仿宋" w:hAnsi="仿宋" w:eastAsia="仿宋"/>
        </w:rPr>
        <w:t>提前勘察道路限高/限宽，夜间运输避开市区高峰</w:t>
      </w:r>
      <w:r>
        <w:rPr>
          <w:rFonts w:hint="eastAsia" w:ascii="仿宋" w:hAnsi="仿宋" w:eastAsia="仿宋"/>
          <w:lang w:eastAsia="zh-CN"/>
        </w:rPr>
        <w:t>。</w:t>
      </w:r>
      <w:r>
        <w:rPr>
          <w:rFonts w:hint="eastAsia" w:ascii="仿宋" w:hAnsi="仿宋" w:eastAsia="仿宋"/>
          <w:lang w:val="en-US" w:eastAsia="zh-CN"/>
        </w:rPr>
        <w:t>材料运输及卸货过程中供应商需做好必要的材料的成品保护，材料到场后司机必须提供完整、清晰、签章齐全的出厂单据（发货单/运输单）及时通知采购人进行材料验收，</w:t>
      </w:r>
      <w:r>
        <w:rPr>
          <w:rFonts w:ascii="仿宋" w:hAnsi="仿宋" w:eastAsia="仿宋"/>
        </w:rPr>
        <w:t>不符合要求有权拒收</w:t>
      </w:r>
      <w:r>
        <w:rPr>
          <w:rFonts w:hint="eastAsia" w:ascii="仿宋" w:hAnsi="仿宋" w:eastAsia="仿宋"/>
          <w:lang w:eastAsia="zh-CN"/>
        </w:rPr>
        <w:t>。</w:t>
      </w:r>
      <w:r>
        <w:rPr>
          <w:rFonts w:hint="eastAsia" w:ascii="仿宋" w:hAnsi="仿宋" w:eastAsia="仿宋"/>
          <w:lang w:val="en-US" w:eastAsia="zh-CN"/>
        </w:rPr>
        <w:t>验收合格后安排人员、机械将材料进行卸货转运至指定地点。</w:t>
      </w:r>
    </w:p>
    <w:p w14:paraId="3E2DAE88">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8、材料检测：合同执行过程中供应商必须根据项目的检测方案无条件配合材料送检并保证合格。</w:t>
      </w:r>
    </w:p>
    <w:p w14:paraId="1BE8C50F">
      <w:pPr>
        <w:pStyle w:val="7"/>
        <w:spacing w:before="0" w:beforeAutospacing="0" w:after="0" w:afterAutospacing="0" w:line="360" w:lineRule="auto"/>
        <w:rPr>
          <w:rFonts w:hint="eastAsia" w:ascii="仿宋" w:hAnsi="仿宋" w:eastAsia="仿宋"/>
          <w:lang w:val="en-US" w:eastAsia="zh-CN"/>
        </w:rPr>
      </w:pPr>
    </w:p>
    <w:p w14:paraId="44EEB6CB">
      <w:pPr>
        <w:pStyle w:val="7"/>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E6F348"/>
    <w:multiLevelType w:val="singleLevel"/>
    <w:tmpl w:val="0FE6F348"/>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086275"/>
    <w:rsid w:val="000E4CB1"/>
    <w:rsid w:val="000F2BB9"/>
    <w:rsid w:val="000F369B"/>
    <w:rsid w:val="00124AF1"/>
    <w:rsid w:val="0012534E"/>
    <w:rsid w:val="00136D61"/>
    <w:rsid w:val="001378AF"/>
    <w:rsid w:val="00185134"/>
    <w:rsid w:val="00191122"/>
    <w:rsid w:val="001B0CF8"/>
    <w:rsid w:val="001D6D5C"/>
    <w:rsid w:val="001F2A1C"/>
    <w:rsid w:val="00216324"/>
    <w:rsid w:val="00235C18"/>
    <w:rsid w:val="002425CE"/>
    <w:rsid w:val="002D10A6"/>
    <w:rsid w:val="00326FF9"/>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30DA8"/>
    <w:rsid w:val="00654478"/>
    <w:rsid w:val="00672139"/>
    <w:rsid w:val="006A7F96"/>
    <w:rsid w:val="006B204B"/>
    <w:rsid w:val="006B6E0A"/>
    <w:rsid w:val="006C762D"/>
    <w:rsid w:val="006D4FB8"/>
    <w:rsid w:val="006E131A"/>
    <w:rsid w:val="006F5757"/>
    <w:rsid w:val="006F67C2"/>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33B37"/>
    <w:rsid w:val="00B44603"/>
    <w:rsid w:val="00B87DF7"/>
    <w:rsid w:val="00BB52D1"/>
    <w:rsid w:val="00BE54E2"/>
    <w:rsid w:val="00C136B6"/>
    <w:rsid w:val="00C13A0D"/>
    <w:rsid w:val="00C15281"/>
    <w:rsid w:val="00C21EFF"/>
    <w:rsid w:val="00C27C37"/>
    <w:rsid w:val="00C52062"/>
    <w:rsid w:val="00C5307E"/>
    <w:rsid w:val="00CB1153"/>
    <w:rsid w:val="00CE60E4"/>
    <w:rsid w:val="00D13746"/>
    <w:rsid w:val="00D3242E"/>
    <w:rsid w:val="00D41D5B"/>
    <w:rsid w:val="00D60186"/>
    <w:rsid w:val="00DF04C7"/>
    <w:rsid w:val="00DF1C21"/>
    <w:rsid w:val="00E1166C"/>
    <w:rsid w:val="00E6585F"/>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1F8780B"/>
    <w:rsid w:val="07286571"/>
    <w:rsid w:val="07F70BD6"/>
    <w:rsid w:val="09AC0DF5"/>
    <w:rsid w:val="0C290216"/>
    <w:rsid w:val="0CF76846"/>
    <w:rsid w:val="0DF239EF"/>
    <w:rsid w:val="0FD72852"/>
    <w:rsid w:val="10584795"/>
    <w:rsid w:val="14A22215"/>
    <w:rsid w:val="15003A82"/>
    <w:rsid w:val="17A271CD"/>
    <w:rsid w:val="1A7E3FD6"/>
    <w:rsid w:val="1B696DAE"/>
    <w:rsid w:val="20114F60"/>
    <w:rsid w:val="2D855015"/>
    <w:rsid w:val="2EA20D1C"/>
    <w:rsid w:val="33947ACA"/>
    <w:rsid w:val="34933EDF"/>
    <w:rsid w:val="367577AE"/>
    <w:rsid w:val="38446690"/>
    <w:rsid w:val="3C5A1F80"/>
    <w:rsid w:val="3E75078E"/>
    <w:rsid w:val="3F663E5C"/>
    <w:rsid w:val="43EE7BA4"/>
    <w:rsid w:val="454750F0"/>
    <w:rsid w:val="47356D0C"/>
    <w:rsid w:val="488F6E02"/>
    <w:rsid w:val="5295297C"/>
    <w:rsid w:val="542B638E"/>
    <w:rsid w:val="59AD7A0C"/>
    <w:rsid w:val="5C2F5FC8"/>
    <w:rsid w:val="5CEB1EEF"/>
    <w:rsid w:val="63404CE1"/>
    <w:rsid w:val="63D76E38"/>
    <w:rsid w:val="666E2176"/>
    <w:rsid w:val="70C0247E"/>
    <w:rsid w:val="73ED4347"/>
    <w:rsid w:val="75E10B8E"/>
    <w:rsid w:val="785950E5"/>
    <w:rsid w:val="790C72A8"/>
    <w:rsid w:val="7B413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5"/>
    <w:qFormat/>
    <w:uiPriority w:val="9"/>
    <w:rPr>
      <w:rFonts w:ascii="宋体" w:hAnsi="宋体" w:eastAsia="宋体" w:cs="宋体"/>
      <w:b/>
      <w:bCs/>
      <w:kern w:val="0"/>
      <w:sz w:val="24"/>
      <w:szCs w:val="24"/>
    </w:rPr>
  </w:style>
  <w:style w:type="character" w:customStyle="1" w:styleId="14">
    <w:name w:val="标题 3 Char"/>
    <w:basedOn w:val="10"/>
    <w:link w:val="4"/>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9A05A1-2D50-4C0B-8057-398231BEE3AD}">
  <ds:schemaRefs/>
</ds:datastoreItem>
</file>

<file path=docProps/app.xml><?xml version="1.0" encoding="utf-8"?>
<Properties xmlns="http://schemas.openxmlformats.org/officeDocument/2006/extended-properties" xmlns:vt="http://schemas.openxmlformats.org/officeDocument/2006/docPropsVTypes">
  <Template>Normal</Template>
  <Pages>12</Pages>
  <Words>6047</Words>
  <Characters>8358</Characters>
  <Lines>37</Lines>
  <Paragraphs>10</Paragraphs>
  <TotalTime>21</TotalTime>
  <ScaleCrop>false</ScaleCrop>
  <LinksUpToDate>false</LinksUpToDate>
  <CharactersWithSpaces>8399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我不是我</cp:lastModifiedBy>
  <cp:lastPrinted>2025-07-11T09:29:00Z</cp:lastPrinted>
  <dcterms:modified xsi:type="dcterms:W3CDTF">2025-10-30T03:24:50Z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eyJoZGlkIjoiYWU4OGFiNDk1N2RiYmRiZThlMDAxYmQ1Y2Q3OGUxMmEiLCJ1c2VySWQiOiI1MTY5Mjg4NjIifQ==</vt:lpwstr>
  </property>
  <property fmtid="{D5CDD505-2E9C-101B-9397-08002B2CF9AE}" pid="3" name="KSOProductBuildVer">
    <vt:lpwstr>2052-12.1.0.23125</vt:lpwstr>
  </property>
  <property fmtid="{D5CDD505-2E9C-101B-9397-08002B2CF9AE}" pid="4" name="ICV">
    <vt:lpwstr>223044759C234BF092BD077D4EC20647_13</vt:lpwstr>
  </property>
</Properties>
</file>