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0BA3F">
      <w:pPr>
        <w:jc w:val="center"/>
        <w:rPr>
          <w:rFonts w:ascii="仿宋" w:hAnsi="仿宋" w:eastAsia="仿宋" w:cs="仿宋"/>
          <w:b/>
          <w:sz w:val="36"/>
          <w:szCs w:val="36"/>
        </w:rPr>
      </w:pPr>
      <w:bookmarkStart w:id="0" w:name="OLE_LINK2"/>
      <w:bookmarkStart w:id="1" w:name="OLE_LINK1"/>
      <w:r>
        <w:rPr>
          <w:rFonts w:hint="eastAsia" w:ascii="仿宋" w:hAnsi="仿宋" w:eastAsia="仿宋" w:cs="仿宋"/>
          <w:b/>
          <w:sz w:val="36"/>
          <w:szCs w:val="36"/>
          <w:lang w:val="en-US" w:eastAsia="zh-CN"/>
        </w:rPr>
        <w:t>栏杆材料</w:t>
      </w:r>
      <w:r>
        <w:rPr>
          <w:rFonts w:hint="eastAsia" w:ascii="仿宋" w:hAnsi="仿宋" w:eastAsia="仿宋" w:cs="仿宋"/>
          <w:b/>
          <w:sz w:val="36"/>
          <w:szCs w:val="36"/>
        </w:rPr>
        <w:t>采购用户需求书</w:t>
      </w:r>
    </w:p>
    <w:p w14:paraId="54F00727">
      <w:pPr>
        <w:pStyle w:val="3"/>
        <w:widowControl/>
        <w:spacing w:beforeAutospacing="0"/>
        <w:rPr>
          <w:rFonts w:hint="default" w:ascii="仿宋" w:hAnsi="仿宋" w:eastAsia="仿宋" w:cs="仿宋"/>
          <w:sz w:val="28"/>
          <w:szCs w:val="28"/>
        </w:rPr>
      </w:pPr>
      <w:r>
        <w:rPr>
          <w:rStyle w:val="11"/>
          <w:rFonts w:ascii="仿宋" w:hAnsi="仿宋" w:eastAsia="仿宋" w:cs="仿宋"/>
          <w:b/>
          <w:bCs/>
          <w:sz w:val="28"/>
          <w:szCs w:val="28"/>
        </w:rPr>
        <w:t>一、工程概况</w:t>
      </w:r>
    </w:p>
    <w:p w14:paraId="48CF91FD">
      <w:pPr>
        <w:pStyle w:val="7"/>
        <w:spacing w:before="0" w:beforeAutospacing="0" w:after="0" w:afterAutospacing="0" w:line="360" w:lineRule="auto"/>
        <w:ind w:firstLine="482" w:firstLineChars="200"/>
        <w:rPr>
          <w:rFonts w:ascii="仿宋" w:hAnsi="仿宋" w:eastAsia="仿宋" w:cs="仿宋"/>
        </w:rPr>
      </w:pPr>
      <w:r>
        <w:rPr>
          <w:rStyle w:val="11"/>
          <w:rFonts w:hint="eastAsia" w:ascii="仿宋" w:hAnsi="仿宋" w:eastAsia="仿宋" w:cs="仿宋"/>
          <w:lang w:val="en-US" w:eastAsia="zh-CN"/>
        </w:rPr>
        <w:t>材料供应工程地点</w:t>
      </w:r>
      <w:r>
        <w:rPr>
          <w:rFonts w:hint="eastAsia" w:ascii="仿宋" w:hAnsi="仿宋" w:eastAsia="仿宋" w:cs="仿宋"/>
        </w:rPr>
        <w:t>：东莞市石龙镇产业基地配套路网交通综合整治项目-外环连接线工程</w:t>
      </w:r>
      <w:r>
        <w:rPr>
          <w:rFonts w:hint="eastAsia" w:ascii="仿宋" w:hAnsi="仿宋" w:eastAsia="仿宋" w:cs="仿宋"/>
          <w:lang w:val="en-US" w:eastAsia="zh-CN"/>
        </w:rPr>
        <w:t>项目</w:t>
      </w:r>
      <w:r>
        <w:rPr>
          <w:rFonts w:hint="eastAsia" w:ascii="仿宋" w:hAnsi="仿宋" w:eastAsia="仿宋" w:cs="仿宋"/>
          <w:lang w:eastAsia="zh-CN"/>
        </w:rPr>
        <w:t>（</w:t>
      </w:r>
      <w:r>
        <w:rPr>
          <w:rFonts w:hint="eastAsia" w:ascii="仿宋" w:hAnsi="仿宋" w:eastAsia="仿宋" w:cs="仿宋"/>
          <w:lang w:val="en-US" w:eastAsia="zh-CN"/>
        </w:rPr>
        <w:t>东莞市石龙镇</w:t>
      </w:r>
      <w:r>
        <w:rPr>
          <w:rFonts w:hint="eastAsia" w:ascii="仿宋" w:hAnsi="仿宋" w:eastAsia="仿宋" w:cs="仿宋"/>
          <w:lang w:eastAsia="zh-CN"/>
        </w:rPr>
        <w:t>）</w:t>
      </w:r>
      <w:r>
        <w:rPr>
          <w:rFonts w:hint="eastAsia" w:ascii="仿宋" w:hAnsi="仿宋" w:eastAsia="仿宋" w:cs="仿宋"/>
        </w:rPr>
        <w:t>。</w:t>
      </w:r>
    </w:p>
    <w:p w14:paraId="6D4FE416">
      <w:pPr>
        <w:pStyle w:val="7"/>
        <w:spacing w:before="0" w:beforeAutospacing="0" w:after="0" w:afterAutospacing="0" w:line="360" w:lineRule="auto"/>
        <w:ind w:firstLine="482" w:firstLineChars="200"/>
        <w:rPr>
          <w:rFonts w:hint="eastAsia" w:ascii="仿宋" w:hAnsi="仿宋" w:eastAsia="仿宋" w:cs="仿宋"/>
        </w:rPr>
      </w:pPr>
      <w:r>
        <w:rPr>
          <w:rStyle w:val="11"/>
          <w:rFonts w:hint="eastAsia" w:ascii="仿宋" w:hAnsi="仿宋" w:eastAsia="仿宋" w:cs="仿宋"/>
          <w:lang w:val="en-US" w:eastAsia="zh-CN"/>
        </w:rPr>
        <w:t>材料供应</w:t>
      </w:r>
      <w:r>
        <w:rPr>
          <w:rStyle w:val="11"/>
          <w:rFonts w:hint="eastAsia" w:ascii="仿宋" w:hAnsi="仿宋" w:eastAsia="仿宋" w:cs="仿宋"/>
        </w:rPr>
        <w:t>内容</w:t>
      </w:r>
      <w:r>
        <w:rPr>
          <w:rFonts w:hint="eastAsia" w:ascii="仿宋" w:hAnsi="仿宋" w:eastAsia="仿宋" w:cs="仿宋"/>
        </w:rPr>
        <w:t>：</w:t>
      </w:r>
      <w:bookmarkStart w:id="2" w:name="OLE_LINK24"/>
      <w:bookmarkStart w:id="3" w:name="OLE_LINK23"/>
      <w:bookmarkStart w:id="4" w:name="OLE_LINK14"/>
      <w:bookmarkStart w:id="5" w:name="OLE_LINK13"/>
    </w:p>
    <w:tbl>
      <w:tblPr>
        <w:tblStyle w:val="8"/>
        <w:tblW w:w="790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2"/>
        <w:gridCol w:w="1306"/>
        <w:gridCol w:w="3491"/>
        <w:gridCol w:w="604"/>
        <w:gridCol w:w="2040"/>
      </w:tblGrid>
      <w:tr w14:paraId="5F617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62" w:type="dxa"/>
            <w:tcBorders>
              <w:top w:val="single" w:color="000000" w:sz="4" w:space="0"/>
              <w:left w:val="single" w:color="000000" w:sz="4" w:space="0"/>
              <w:bottom w:val="nil"/>
              <w:right w:val="single" w:color="000000" w:sz="4" w:space="0"/>
            </w:tcBorders>
            <w:shd w:val="clear" w:color="auto" w:fill="auto"/>
            <w:vAlign w:val="center"/>
          </w:tcPr>
          <w:p w14:paraId="7583403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序号</w:t>
            </w:r>
          </w:p>
        </w:tc>
        <w:tc>
          <w:tcPr>
            <w:tcW w:w="1306" w:type="dxa"/>
            <w:tcBorders>
              <w:top w:val="single" w:color="000000" w:sz="4" w:space="0"/>
              <w:left w:val="single" w:color="000000" w:sz="4" w:space="0"/>
              <w:bottom w:val="nil"/>
              <w:right w:val="single" w:color="000000" w:sz="4" w:space="0"/>
            </w:tcBorders>
            <w:shd w:val="clear" w:color="auto" w:fill="auto"/>
            <w:vAlign w:val="center"/>
          </w:tcPr>
          <w:p w14:paraId="3C72CF7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名称</w:t>
            </w:r>
          </w:p>
        </w:tc>
        <w:tc>
          <w:tcPr>
            <w:tcW w:w="3491" w:type="dxa"/>
            <w:tcBorders>
              <w:top w:val="single" w:color="000000" w:sz="4" w:space="0"/>
              <w:left w:val="single" w:color="000000" w:sz="4" w:space="0"/>
              <w:bottom w:val="nil"/>
              <w:right w:val="single" w:color="000000" w:sz="4" w:space="0"/>
            </w:tcBorders>
            <w:shd w:val="clear" w:color="auto" w:fill="auto"/>
            <w:vAlign w:val="center"/>
          </w:tcPr>
          <w:p w14:paraId="692C1C9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规格、型号</w:t>
            </w:r>
          </w:p>
        </w:tc>
        <w:tc>
          <w:tcPr>
            <w:tcW w:w="604" w:type="dxa"/>
            <w:tcBorders>
              <w:top w:val="single" w:color="000000" w:sz="4" w:space="0"/>
              <w:left w:val="single" w:color="000000" w:sz="4" w:space="0"/>
              <w:bottom w:val="nil"/>
              <w:right w:val="single" w:color="000000" w:sz="4" w:space="0"/>
            </w:tcBorders>
            <w:shd w:val="clear" w:color="auto" w:fill="auto"/>
            <w:vAlign w:val="center"/>
          </w:tcPr>
          <w:p w14:paraId="22208C6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单位</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6973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数量（暂定）</w:t>
            </w:r>
          </w:p>
        </w:tc>
      </w:tr>
      <w:tr w14:paraId="4E7CA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BDDA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B3312">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标准栏杆</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ED7FE">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1.高度:1.15m</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2.立柱材料种类、规格:Lx80x12厚SUS304#拉丝面不锈钢板</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3.扶手材料种类、规格:80x50x3 镀锌矩形钢</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4.下横杆材料种类、规格:Lx80x15厚SUS304#拉丝面不锈钢板</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5.栏杆材料种类、规格:Lx60x10厚SUS304#拉丝面不锈钢板</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6.固定配件种类:150x150x8 镀锌钢板、L=100,Φ12锚筋预埋</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7.防护材料种类:面饰深灰色烤漆</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8.详见:LT-5.01</w:t>
            </w:r>
          </w:p>
        </w:tc>
        <w:tc>
          <w:tcPr>
            <w:tcW w:w="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BED2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m</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66C7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xml:space="preserve">453.73 </w:t>
            </w:r>
          </w:p>
        </w:tc>
      </w:tr>
      <w:tr w14:paraId="6095F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C2E7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CC0ED">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台阶栏杆</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68C5E">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1.扶手材料种类、规格:Φ51*3 304#防指纹拉丝面不锈钢管</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2.固定配件种类:110X110X6厚镀锌钢板，4Φ10，L=100（另计）</w:t>
            </w:r>
          </w:p>
        </w:tc>
        <w:tc>
          <w:tcPr>
            <w:tcW w:w="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EDB7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m</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209C0">
            <w:pPr>
              <w:keepNext w:val="0"/>
              <w:keepLines w:val="0"/>
              <w:widowControl/>
              <w:suppressLineNumbers w:val="0"/>
              <w:jc w:val="center"/>
              <w:textAlignment w:val="center"/>
              <w:rPr>
                <w:rFonts w:hint="default" w:ascii="宋体" w:hAnsi="宋体" w:eastAsia="宋体" w:cs="宋体"/>
                <w:i w:val="0"/>
                <w:iCs w:val="0"/>
                <w:color w:val="000000"/>
                <w:sz w:val="12"/>
                <w:szCs w:val="12"/>
                <w:u w:val="none"/>
                <w:lang w:val="en-US"/>
              </w:rPr>
            </w:pPr>
            <w:r>
              <w:rPr>
                <w:rFonts w:hint="eastAsia" w:ascii="宋体" w:hAnsi="宋体" w:eastAsia="宋体" w:cs="宋体"/>
                <w:i w:val="0"/>
                <w:iCs w:val="0"/>
                <w:color w:val="000000"/>
                <w:kern w:val="0"/>
                <w:sz w:val="12"/>
                <w:szCs w:val="12"/>
                <w:u w:val="none"/>
                <w:lang w:val="en-US" w:eastAsia="zh-CN" w:bidi="ar"/>
              </w:rPr>
              <w:t>71.81</w:t>
            </w:r>
          </w:p>
        </w:tc>
      </w:tr>
      <w:tr w14:paraId="5CF95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B872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DFA64">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无障碍栏杆</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0DC66">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1.高度:1.15m</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2.立柱材料种类、规格:80x10厚304#黑钛不锈钢拉丝面扁钢</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3.无障碍扶手材料种类、规格:60x40x3厚304#黑钛不锈钢拉丝面椭圆钢管，端头封口，圆角</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4.固定配件种类:200*200*10厚镀锌钢板、4M10膨胀螺栓</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5.详见:LT-11.01</w:t>
            </w:r>
          </w:p>
        </w:tc>
        <w:tc>
          <w:tcPr>
            <w:tcW w:w="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42DF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m</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5E28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49.11</w:t>
            </w:r>
          </w:p>
        </w:tc>
      </w:tr>
      <w:tr w14:paraId="54304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8348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5337C">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坡道栏杆</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B2429">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1.高度:0.55m</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2.扶手材料种类、规格:Φ40x4原色防指纹拉丝面304#不锈钢钢管</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3.栏杆材料种类、规格:Φ40x4原色防指纹拉丝面304#不锈钢钢管</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4.固定配件种类:180x180x8厚镀锌钢板、M10膨胀螺栓</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5.详见:LT-4.01</w:t>
            </w:r>
          </w:p>
        </w:tc>
        <w:tc>
          <w:tcPr>
            <w:tcW w:w="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4AA9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m</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B836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199.62</w:t>
            </w:r>
          </w:p>
        </w:tc>
      </w:tr>
      <w:tr w14:paraId="11AC7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F345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C97E9">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机非隔离栏</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9763A">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1.高度:H=600mm</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2.立柱材料种类、规格:1.2*80*80镀锌管</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3.栏杆材料种类、规格:0.8*20*20镀锌管</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4.外框材料种类、规格:1.0*50*25镀锌管</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5.固定配件种类:150*150*5mm碳钢板、M10*120螺杆配套螺母</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6.详见:LT-9.01</w:t>
            </w:r>
          </w:p>
        </w:tc>
        <w:tc>
          <w:tcPr>
            <w:tcW w:w="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91E9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m</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FCD9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2199.3</w:t>
            </w:r>
          </w:p>
        </w:tc>
      </w:tr>
      <w:tr w14:paraId="05B5B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7648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F4207">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机动车隔离栏</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BCE80">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1.高度:1.2m</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2.立柱材料种类、规格:80X80X2.5厚镀锌方通，立柱（预留长圆孔，内插M8型六角头螺栓）</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3.栏杆材料种类、规格:20x20x1.5热镀锌方通</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4.外框材料种类、规格:40X20厚镀锌扁钢，按型折弯</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5.固定配件种类:300X300X100 铸铁法兰盘、不锈钢六角头螺栓，M8X120</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6.防护材料种类:灰色烤漆饰面</w:t>
            </w:r>
            <w:r>
              <w:rPr>
                <w:rFonts w:hint="eastAsia" w:ascii="宋体" w:hAnsi="宋体" w:eastAsia="宋体" w:cs="宋体"/>
                <w:i w:val="0"/>
                <w:iCs w:val="0"/>
                <w:color w:val="000000"/>
                <w:kern w:val="0"/>
                <w:sz w:val="12"/>
                <w:szCs w:val="12"/>
                <w:u w:val="none"/>
                <w:lang w:val="en-US" w:eastAsia="zh-CN" w:bidi="ar"/>
              </w:rPr>
              <w:br w:type="textWrapping"/>
            </w:r>
            <w:r>
              <w:rPr>
                <w:rFonts w:hint="eastAsia" w:ascii="宋体" w:hAnsi="宋体" w:eastAsia="宋体" w:cs="宋体"/>
                <w:i w:val="0"/>
                <w:iCs w:val="0"/>
                <w:color w:val="000000"/>
                <w:kern w:val="0"/>
                <w:sz w:val="12"/>
                <w:szCs w:val="12"/>
                <w:u w:val="none"/>
                <w:lang w:val="en-US" w:eastAsia="zh-CN" w:bidi="ar"/>
              </w:rPr>
              <w:t>7.详见:LT-10.01</w:t>
            </w:r>
            <w:bookmarkStart w:id="6" w:name="_GoBack"/>
            <w:bookmarkEnd w:id="6"/>
          </w:p>
        </w:tc>
        <w:tc>
          <w:tcPr>
            <w:tcW w:w="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A533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m</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12DD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1848.01</w:t>
            </w:r>
          </w:p>
        </w:tc>
      </w:tr>
    </w:tbl>
    <w:p w14:paraId="16EA8CD0">
      <w:pPr>
        <w:pStyle w:val="7"/>
        <w:spacing w:before="0" w:beforeAutospacing="0" w:after="0" w:afterAutospacing="0" w:line="360" w:lineRule="auto"/>
        <w:ind w:firstLine="480" w:firstLineChars="200"/>
        <w:rPr>
          <w:rFonts w:hint="eastAsia" w:ascii="仿宋" w:hAnsi="仿宋" w:eastAsia="仿宋" w:cs="仿宋"/>
        </w:rPr>
      </w:pPr>
    </w:p>
    <w:bookmarkEnd w:id="2"/>
    <w:bookmarkEnd w:id="3"/>
    <w:p w14:paraId="0065C89D">
      <w:pPr>
        <w:pStyle w:val="7"/>
        <w:spacing w:before="0" w:beforeAutospacing="0" w:after="0" w:afterAutospacing="0" w:line="360" w:lineRule="auto"/>
        <w:ind w:firstLine="482" w:firstLineChars="200"/>
        <w:rPr>
          <w:rFonts w:ascii="仿宋" w:hAnsi="仿宋" w:eastAsia="仿宋" w:cs="仿宋"/>
        </w:rPr>
      </w:pPr>
      <w:r>
        <w:rPr>
          <w:rFonts w:hint="eastAsia" w:ascii="仿宋" w:hAnsi="仿宋" w:eastAsia="仿宋" w:cs="仿宋"/>
          <w:b/>
        </w:rPr>
        <w:t>完整具体工程量和施工内容以招标清单和项目进场后</w:t>
      </w:r>
      <w:r>
        <w:rPr>
          <w:rFonts w:hint="eastAsia" w:ascii="仿宋" w:hAnsi="仿宋" w:eastAsia="仿宋" w:cs="仿宋"/>
          <w:b/>
          <w:lang w:val="en-US" w:eastAsia="zh-CN"/>
        </w:rPr>
        <w:t>下发的采购单</w:t>
      </w:r>
      <w:r>
        <w:rPr>
          <w:rFonts w:hint="eastAsia" w:ascii="仿宋" w:hAnsi="仿宋" w:eastAsia="仿宋" w:cs="仿宋"/>
          <w:b/>
        </w:rPr>
        <w:t>为准。</w:t>
      </w:r>
    </w:p>
    <w:bookmarkEnd w:id="4"/>
    <w:bookmarkEnd w:id="5"/>
    <w:p w14:paraId="3BB2476F">
      <w:pPr>
        <w:pStyle w:val="7"/>
        <w:spacing w:before="0" w:beforeAutospacing="0" w:after="60" w:afterAutospacing="0" w:line="360" w:lineRule="auto"/>
        <w:ind w:firstLine="482" w:firstLineChars="200"/>
        <w:rPr>
          <w:rFonts w:hint="eastAsia" w:ascii="仿宋" w:hAnsi="仿宋" w:eastAsia="仿宋" w:cs="仿宋"/>
        </w:rPr>
      </w:pPr>
      <w:r>
        <w:rPr>
          <w:rStyle w:val="11"/>
          <w:rFonts w:hint="eastAsia" w:ascii="仿宋" w:hAnsi="仿宋" w:eastAsia="仿宋" w:cs="仿宋"/>
          <w:lang w:val="en-US" w:eastAsia="zh-CN"/>
        </w:rPr>
        <w:t>供货周期</w:t>
      </w:r>
      <w:r>
        <w:rPr>
          <w:rFonts w:hint="eastAsia" w:ascii="仿宋" w:hAnsi="仿宋" w:eastAsia="仿宋" w:cs="仿宋"/>
        </w:rPr>
        <w:t>：</w:t>
      </w:r>
      <w:r>
        <w:rPr>
          <w:rFonts w:hint="eastAsia" w:ascii="宋体" w:hAnsi="宋体" w:eastAsia="宋体" w:cs="宋体"/>
          <w:color w:val="auto"/>
          <w:kern w:val="0"/>
          <w:sz w:val="21"/>
          <w:szCs w:val="21"/>
          <w:highlight w:val="none"/>
          <w:lang w:val="en-US" w:eastAsia="zh-CN"/>
        </w:rPr>
        <w:t>送货时间及数量</w:t>
      </w:r>
      <w:r>
        <w:rPr>
          <w:rFonts w:hint="eastAsia" w:ascii="宋体" w:hAnsi="宋体" w:eastAsia="宋体" w:cs="宋体"/>
          <w:color w:val="auto"/>
          <w:kern w:val="0"/>
          <w:sz w:val="21"/>
          <w:szCs w:val="21"/>
          <w:highlight w:val="none"/>
        </w:rPr>
        <w:t>：所有产品供货期为</w:t>
      </w:r>
      <w:r>
        <w:rPr>
          <w:rFonts w:hint="eastAsia" w:ascii="宋体" w:hAnsi="宋体" w:eastAsia="宋体" w:cs="宋体"/>
          <w:color w:val="auto"/>
          <w:kern w:val="0"/>
          <w:sz w:val="21"/>
          <w:szCs w:val="21"/>
          <w:highlight w:val="none"/>
          <w:u w:val="single"/>
          <w:lang w:val="en-US" w:eastAsia="zh-CN"/>
        </w:rPr>
        <w:t>151</w:t>
      </w:r>
      <w:r>
        <w:rPr>
          <w:rFonts w:hint="eastAsia" w:ascii="宋体" w:hAnsi="宋体" w:eastAsia="宋体" w:cs="宋体"/>
          <w:color w:val="auto"/>
          <w:kern w:val="0"/>
          <w:sz w:val="21"/>
          <w:szCs w:val="21"/>
          <w:highlight w:val="none"/>
        </w:rPr>
        <w:t>个日历天</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lang w:val="en-US" w:eastAsia="zh-CN"/>
        </w:rPr>
        <w:t>具体送货、备货时间以项目部正式通知为准，乙方承诺无条件配合甲方项目部根据施工进度安排对产品供货期的调整</w:t>
      </w:r>
      <w:r>
        <w:rPr>
          <w:rFonts w:hint="eastAsia" w:ascii="宋体" w:hAnsi="宋体" w:eastAsia="宋体" w:cs="宋体"/>
          <w:color w:val="auto"/>
          <w:kern w:val="0"/>
          <w:sz w:val="21"/>
          <w:szCs w:val="21"/>
        </w:rPr>
        <w:t>。</w:t>
      </w:r>
    </w:p>
    <w:p w14:paraId="151EDB96">
      <w:pPr>
        <w:pStyle w:val="3"/>
        <w:widowControl/>
        <w:spacing w:beforeAutospacing="0" w:afterAutospacing="0" w:line="360" w:lineRule="auto"/>
        <w:rPr>
          <w:rFonts w:ascii="仿宋" w:hAnsi="仿宋" w:eastAsia="仿宋"/>
          <w:sz w:val="24"/>
        </w:rPr>
      </w:pPr>
      <w:r>
        <w:rPr>
          <w:rStyle w:val="11"/>
          <w:rFonts w:ascii="仿宋" w:hAnsi="仿宋" w:eastAsia="仿宋" w:cs="仿宋"/>
          <w:b/>
          <w:bCs/>
          <w:sz w:val="28"/>
          <w:szCs w:val="28"/>
        </w:rPr>
        <w:t>二、</w:t>
      </w:r>
      <w:r>
        <w:rPr>
          <w:rFonts w:hint="eastAsia" w:ascii="仿宋" w:hAnsi="仿宋" w:eastAsia="仿宋"/>
          <w:b/>
          <w:sz w:val="28"/>
          <w:szCs w:val="28"/>
        </w:rPr>
        <w:t>材料</w:t>
      </w:r>
      <w:r>
        <w:rPr>
          <w:rFonts w:hint="eastAsia" w:ascii="仿宋" w:hAnsi="仿宋" w:eastAsia="仿宋"/>
          <w:b/>
          <w:sz w:val="28"/>
          <w:szCs w:val="28"/>
          <w:lang w:val="en-US" w:eastAsia="zh-CN"/>
        </w:rPr>
        <w:t>技术</w:t>
      </w:r>
      <w:r>
        <w:rPr>
          <w:rFonts w:hint="eastAsia" w:ascii="仿宋" w:hAnsi="仿宋" w:eastAsia="仿宋"/>
          <w:b/>
          <w:sz w:val="28"/>
          <w:szCs w:val="28"/>
        </w:rPr>
        <w:t>要求</w:t>
      </w:r>
    </w:p>
    <w:p w14:paraId="6FF298F4">
      <w:pPr>
        <w:rPr>
          <w:rFonts w:ascii="仿宋" w:hAnsi="仿宋" w:eastAsia="仿宋"/>
          <w:sz w:val="24"/>
          <w:szCs w:val="24"/>
        </w:rPr>
      </w:pPr>
      <w:r>
        <w:rPr>
          <w:rFonts w:ascii="仿宋" w:hAnsi="仿宋" w:eastAsia="仿宋"/>
          <w:b/>
          <w:bCs/>
          <w:sz w:val="24"/>
          <w:szCs w:val="24"/>
        </w:rPr>
        <w:t>1.</w:t>
      </w:r>
      <w:r>
        <w:rPr>
          <w:rFonts w:hint="default" w:ascii="仿宋" w:hAnsi="仿宋" w:eastAsia="仿宋"/>
          <w:b/>
          <w:bCs/>
          <w:sz w:val="24"/>
          <w:szCs w:val="24"/>
        </w:rPr>
        <w:t>拉丝不锈钢材质</w:t>
      </w:r>
      <w:r>
        <w:rPr>
          <w:rFonts w:hint="default" w:ascii="仿宋" w:hAnsi="仿宋" w:eastAsia="仿宋"/>
          <w:sz w:val="24"/>
          <w:szCs w:val="24"/>
        </w:rPr>
        <w:t>​​</w:t>
      </w:r>
    </w:p>
    <w:p w14:paraId="4F3AB31A">
      <w:pPr>
        <w:rPr>
          <w:rFonts w:ascii="仿宋" w:hAnsi="仿宋" w:eastAsia="仿宋"/>
          <w:sz w:val="24"/>
          <w:szCs w:val="24"/>
        </w:rPr>
      </w:pPr>
    </w:p>
    <w:p w14:paraId="62F85937">
      <w:pPr>
        <w:numPr>
          <w:ilvl w:val="0"/>
          <w:numId w:val="1"/>
        </w:numPr>
        <w:ind w:left="420" w:leftChars="0" w:hanging="420" w:firstLineChars="0"/>
        <w:rPr>
          <w:rFonts w:ascii="仿宋" w:hAnsi="仿宋" w:eastAsia="仿宋"/>
          <w:sz w:val="24"/>
          <w:szCs w:val="24"/>
        </w:rPr>
      </w:pPr>
      <w:r>
        <w:rPr>
          <w:rFonts w:hint="default" w:ascii="仿宋" w:hAnsi="仿宋" w:eastAsia="仿宋"/>
          <w:sz w:val="24"/>
          <w:szCs w:val="24"/>
        </w:rPr>
        <w:t>牌号：必须采用S304 (06Cr19Ni10) 等级的不锈钢。</w:t>
      </w:r>
    </w:p>
    <w:p w14:paraId="6D623707">
      <w:pPr>
        <w:numPr>
          <w:ilvl w:val="0"/>
          <w:numId w:val="1"/>
        </w:numPr>
        <w:ind w:left="420" w:leftChars="0" w:hanging="420" w:firstLineChars="0"/>
        <w:rPr>
          <w:rFonts w:ascii="仿宋" w:hAnsi="仿宋" w:eastAsia="仿宋"/>
          <w:sz w:val="24"/>
          <w:szCs w:val="24"/>
        </w:rPr>
      </w:pPr>
      <w:r>
        <w:rPr>
          <w:rFonts w:hint="default" w:ascii="仿宋" w:hAnsi="仿宋" w:eastAsia="仿宋"/>
          <w:sz w:val="24"/>
          <w:szCs w:val="24"/>
        </w:rPr>
        <w:t>表面处理：表面须进行机械拉丝处理（也称磨砂处理），纹路应均匀、细腻、连续，方向一致，无明显瑕疵、划痕、指纹印。光泽度应符合设计要求（通常为亚光或半亚光效果）。</w:t>
      </w:r>
    </w:p>
    <w:p w14:paraId="250F8780">
      <w:pPr>
        <w:rPr>
          <w:rFonts w:ascii="仿宋" w:hAnsi="仿宋" w:eastAsia="仿宋"/>
          <w:sz w:val="24"/>
          <w:szCs w:val="24"/>
        </w:rPr>
      </w:pPr>
    </w:p>
    <w:p w14:paraId="4FAE3943">
      <w:pPr>
        <w:numPr>
          <w:ilvl w:val="0"/>
          <w:numId w:val="1"/>
        </w:numPr>
        <w:ind w:left="420" w:leftChars="0" w:hanging="420" w:firstLineChars="0"/>
        <w:rPr>
          <w:rFonts w:ascii="仿宋" w:hAnsi="仿宋" w:eastAsia="仿宋"/>
          <w:sz w:val="24"/>
          <w:szCs w:val="24"/>
        </w:rPr>
      </w:pPr>
      <w:r>
        <w:rPr>
          <w:rFonts w:hint="default" w:ascii="仿宋" w:hAnsi="仿宋" w:eastAsia="仿宋"/>
          <w:sz w:val="24"/>
          <w:szCs w:val="24"/>
        </w:rPr>
        <w:t>壁厚</w:t>
      </w:r>
      <w:r>
        <w:rPr>
          <w:rFonts w:hint="eastAsia" w:ascii="仿宋" w:hAnsi="仿宋" w:eastAsia="仿宋"/>
          <w:sz w:val="24"/>
          <w:szCs w:val="24"/>
          <w:lang w:eastAsia="zh-CN"/>
        </w:rPr>
        <w:t>：</w:t>
      </w:r>
      <w:r>
        <w:rPr>
          <w:rFonts w:hint="default" w:ascii="仿宋" w:hAnsi="仿宋" w:eastAsia="仿宋"/>
          <w:sz w:val="24"/>
          <w:szCs w:val="24"/>
        </w:rPr>
        <w:t>主要受力立杆、扶手等主型材的壁厚</w:t>
      </w:r>
      <w:r>
        <w:rPr>
          <w:rFonts w:hint="eastAsia" w:ascii="仿宋" w:hAnsi="仿宋" w:eastAsia="仿宋"/>
          <w:sz w:val="24"/>
          <w:szCs w:val="24"/>
          <w:lang w:val="en-US" w:eastAsia="zh-CN"/>
        </w:rPr>
        <w:t>等尺寸规格</w:t>
      </w:r>
      <w:r>
        <w:rPr>
          <w:rFonts w:hint="default" w:ascii="仿宋" w:hAnsi="仿宋" w:eastAsia="仿宋"/>
          <w:sz w:val="24"/>
          <w:szCs w:val="24"/>
        </w:rPr>
        <w:t>应根据设计</w:t>
      </w:r>
      <w:r>
        <w:rPr>
          <w:rFonts w:hint="eastAsia" w:ascii="仿宋" w:hAnsi="仿宋" w:eastAsia="仿宋"/>
          <w:sz w:val="24"/>
          <w:szCs w:val="24"/>
          <w:lang w:val="en-US" w:eastAsia="zh-CN"/>
        </w:rPr>
        <w:t>图纸要求进行生产加工</w:t>
      </w:r>
      <w:r>
        <w:rPr>
          <w:rFonts w:hint="default" w:ascii="仿宋" w:hAnsi="仿宋" w:eastAsia="仿宋"/>
          <w:sz w:val="24"/>
          <w:szCs w:val="24"/>
        </w:rPr>
        <w:t>并符合国家相关规范要求。</w:t>
      </w:r>
    </w:p>
    <w:p w14:paraId="2EDD511F">
      <w:pPr>
        <w:rPr>
          <w:rFonts w:ascii="仿宋" w:hAnsi="仿宋" w:eastAsia="仿宋"/>
          <w:b/>
          <w:bCs/>
          <w:sz w:val="24"/>
          <w:szCs w:val="24"/>
        </w:rPr>
      </w:pPr>
    </w:p>
    <w:p w14:paraId="2C214C4A">
      <w:pPr>
        <w:rPr>
          <w:rFonts w:ascii="仿宋" w:hAnsi="仿宋" w:eastAsia="仿宋"/>
          <w:sz w:val="24"/>
          <w:szCs w:val="24"/>
        </w:rPr>
      </w:pPr>
      <w:r>
        <w:rPr>
          <w:rFonts w:hint="default" w:ascii="仿宋" w:hAnsi="仿宋" w:eastAsia="仿宋"/>
          <w:b/>
          <w:bCs/>
          <w:sz w:val="24"/>
          <w:szCs w:val="24"/>
        </w:rPr>
        <w:t>2.镀锌钢管材质</w:t>
      </w:r>
      <w:r>
        <w:rPr>
          <w:rFonts w:hint="default" w:ascii="仿宋" w:hAnsi="仿宋" w:eastAsia="仿宋"/>
          <w:sz w:val="24"/>
          <w:szCs w:val="24"/>
        </w:rPr>
        <w:t>​​</w:t>
      </w:r>
    </w:p>
    <w:p w14:paraId="12E25BD0">
      <w:pPr>
        <w:rPr>
          <w:rFonts w:ascii="仿宋" w:hAnsi="仿宋" w:eastAsia="仿宋"/>
          <w:sz w:val="24"/>
          <w:szCs w:val="24"/>
        </w:rPr>
      </w:pPr>
    </w:p>
    <w:p w14:paraId="766F64B5">
      <w:pPr>
        <w:numPr>
          <w:ilvl w:val="0"/>
          <w:numId w:val="1"/>
        </w:numPr>
        <w:ind w:left="420" w:leftChars="0" w:hanging="420" w:firstLineChars="0"/>
        <w:rPr>
          <w:rFonts w:ascii="仿宋" w:hAnsi="仿宋" w:eastAsia="仿宋"/>
          <w:sz w:val="24"/>
          <w:szCs w:val="24"/>
        </w:rPr>
      </w:pPr>
      <w:r>
        <w:rPr>
          <w:rFonts w:hint="default" w:ascii="仿宋" w:hAnsi="仿宋" w:eastAsia="仿宋"/>
          <w:sz w:val="24"/>
          <w:szCs w:val="24"/>
        </w:rPr>
        <w:t>牌号与标准：应采用符合《GB/T 3091-2015 低压流体输送用焊接钢管》或《GB/T 13793-2016 直缝电焊钢管》规定的Q235B及以上牌号的钢管。</w:t>
      </w:r>
    </w:p>
    <w:p w14:paraId="44FA08F9">
      <w:pPr>
        <w:rPr>
          <w:rFonts w:ascii="仿宋" w:hAnsi="仿宋" w:eastAsia="仿宋"/>
          <w:sz w:val="24"/>
          <w:szCs w:val="24"/>
        </w:rPr>
      </w:pPr>
    </w:p>
    <w:p w14:paraId="5DC5DF0B">
      <w:pPr>
        <w:numPr>
          <w:ilvl w:val="0"/>
          <w:numId w:val="1"/>
        </w:numPr>
        <w:ind w:left="420" w:leftChars="0" w:hanging="420" w:firstLineChars="0"/>
        <w:rPr>
          <w:rFonts w:ascii="仿宋" w:hAnsi="仿宋" w:eastAsia="仿宋"/>
          <w:sz w:val="24"/>
          <w:szCs w:val="24"/>
        </w:rPr>
      </w:pPr>
      <w:r>
        <w:rPr>
          <w:rFonts w:hint="default" w:ascii="仿宋" w:hAnsi="仿宋" w:eastAsia="仿宋"/>
          <w:sz w:val="24"/>
          <w:szCs w:val="24"/>
        </w:rPr>
        <w:t>镀锌层要求：•镀锌方式：必须采用热浸镀锌。•镀锌层标准：镀锌层重量（镀锌量）平均值不应低于600g/㎡（相当于镀锌层厚度不低于85μm）。•镀锌层质量</w:t>
      </w:r>
      <w:r>
        <w:rPr>
          <w:rFonts w:hint="eastAsia" w:ascii="仿宋" w:hAnsi="仿宋" w:eastAsia="仿宋"/>
          <w:sz w:val="24"/>
          <w:szCs w:val="24"/>
          <w:lang w:eastAsia="zh-CN"/>
        </w:rPr>
        <w:t>：</w:t>
      </w:r>
      <w:r>
        <w:rPr>
          <w:rFonts w:hint="default" w:ascii="仿宋" w:hAnsi="仿宋" w:eastAsia="仿宋"/>
          <w:sz w:val="24"/>
          <w:szCs w:val="24"/>
        </w:rPr>
        <w:t>镀锌层应均匀、连续、附着牢固，无漏镀、滴瘤、粗糙和锌刺（如有应清除）、起皮、白锈等缺陷。颜色应为正常的银灰色或暗灰色。</w:t>
      </w:r>
    </w:p>
    <w:p w14:paraId="54FBD0F4">
      <w:pPr>
        <w:rPr>
          <w:rFonts w:ascii="仿宋" w:hAnsi="仿宋" w:eastAsia="仿宋"/>
          <w:sz w:val="24"/>
          <w:szCs w:val="24"/>
        </w:rPr>
      </w:pPr>
    </w:p>
    <w:p w14:paraId="128C7BA1">
      <w:pPr>
        <w:rPr>
          <w:rFonts w:ascii="仿宋" w:hAnsi="仿宋" w:eastAsia="仿宋"/>
          <w:sz w:val="24"/>
          <w:szCs w:val="24"/>
        </w:rPr>
      </w:pPr>
      <w:r>
        <w:rPr>
          <w:rFonts w:hint="default" w:ascii="仿宋" w:hAnsi="仿宋" w:eastAsia="仿宋"/>
          <w:b/>
          <w:bCs/>
          <w:sz w:val="24"/>
          <w:szCs w:val="24"/>
        </w:rPr>
        <w:t>3.通用要求​</w:t>
      </w:r>
      <w:r>
        <w:rPr>
          <w:rFonts w:hint="default" w:ascii="仿宋" w:hAnsi="仿宋" w:eastAsia="仿宋"/>
          <w:sz w:val="24"/>
          <w:szCs w:val="24"/>
        </w:rPr>
        <w:t>​</w:t>
      </w:r>
    </w:p>
    <w:p w14:paraId="02DC49B0">
      <w:pPr>
        <w:rPr>
          <w:rFonts w:ascii="仿宋" w:hAnsi="仿宋" w:eastAsia="仿宋"/>
          <w:sz w:val="24"/>
          <w:szCs w:val="24"/>
        </w:rPr>
      </w:pPr>
    </w:p>
    <w:p w14:paraId="3FAB92AA">
      <w:pPr>
        <w:numPr>
          <w:ilvl w:val="0"/>
          <w:numId w:val="1"/>
        </w:numPr>
        <w:ind w:left="420" w:leftChars="0" w:hanging="420" w:firstLineChars="0"/>
        <w:rPr>
          <w:rFonts w:ascii="仿宋" w:hAnsi="仿宋" w:eastAsia="仿宋"/>
          <w:sz w:val="24"/>
          <w:szCs w:val="24"/>
        </w:rPr>
      </w:pPr>
      <w:r>
        <w:rPr>
          <w:rFonts w:hint="default" w:ascii="仿宋" w:hAnsi="仿宋" w:eastAsia="仿宋"/>
          <w:sz w:val="24"/>
          <w:szCs w:val="24"/>
        </w:rPr>
        <w:t>材质证明：供应商必须提供每批材料的材质证明书（MTC）和出厂合格证，其中需明确标注钢号、规格、壁厚、镀锌量（镀锌管）、执行标准等信息。</w:t>
      </w:r>
    </w:p>
    <w:p w14:paraId="27CD3E2F">
      <w:pPr>
        <w:rPr>
          <w:rFonts w:ascii="仿宋" w:hAnsi="仿宋" w:eastAsia="仿宋"/>
          <w:sz w:val="24"/>
          <w:szCs w:val="24"/>
        </w:rPr>
      </w:pPr>
    </w:p>
    <w:p w14:paraId="51940998">
      <w:pPr>
        <w:numPr>
          <w:ilvl w:val="0"/>
          <w:numId w:val="1"/>
        </w:numPr>
        <w:ind w:left="420" w:leftChars="0" w:hanging="420" w:firstLineChars="0"/>
        <w:rPr>
          <w:rFonts w:ascii="仿宋" w:hAnsi="仿宋" w:eastAsia="仿宋"/>
          <w:sz w:val="24"/>
          <w:szCs w:val="24"/>
        </w:rPr>
      </w:pPr>
      <w:r>
        <w:rPr>
          <w:rFonts w:hint="default" w:ascii="仿宋" w:hAnsi="仿宋" w:eastAsia="仿宋"/>
          <w:sz w:val="24"/>
          <w:szCs w:val="24"/>
        </w:rPr>
        <w:t>焊接材料：所有焊接部位的焊条、焊丝材质应与母材相匹配，确保焊接强度及耐腐蚀性。</w:t>
      </w:r>
    </w:p>
    <w:p w14:paraId="22842C48">
      <w:pPr>
        <w:rPr>
          <w:rFonts w:ascii="仿宋" w:hAnsi="仿宋" w:eastAsia="仿宋"/>
          <w:sz w:val="24"/>
          <w:szCs w:val="24"/>
        </w:rPr>
      </w:pPr>
    </w:p>
    <w:p w14:paraId="453C370E">
      <w:pPr>
        <w:ind w:firstLine="480" w:firstLineChars="200"/>
        <w:rPr>
          <w:rFonts w:ascii="仿宋" w:hAnsi="仿宋" w:eastAsia="仿宋"/>
          <w:sz w:val="24"/>
          <w:szCs w:val="24"/>
        </w:rPr>
      </w:pPr>
    </w:p>
    <w:p w14:paraId="30B07446">
      <w:pPr>
        <w:pStyle w:val="7"/>
        <w:spacing w:before="0" w:beforeAutospacing="0" w:after="0" w:afterAutospacing="0" w:line="360" w:lineRule="auto"/>
        <w:rPr>
          <w:rStyle w:val="11"/>
          <w:rFonts w:hint="eastAsia" w:ascii="仿宋" w:hAnsi="仿宋" w:eastAsia="仿宋" w:cs="仿宋"/>
          <w:b/>
          <w:bCs/>
          <w:sz w:val="28"/>
          <w:szCs w:val="28"/>
        </w:rPr>
      </w:pPr>
      <w:r>
        <w:rPr>
          <w:rStyle w:val="11"/>
          <w:rFonts w:hint="eastAsia" w:ascii="仿宋" w:hAnsi="仿宋" w:eastAsia="仿宋" w:cs="仿宋"/>
          <w:b/>
          <w:bCs/>
          <w:sz w:val="28"/>
          <w:szCs w:val="28"/>
          <w:lang w:val="en-US" w:eastAsia="zh-CN"/>
        </w:rPr>
        <w:t>三</w:t>
      </w:r>
      <w:r>
        <w:rPr>
          <w:rStyle w:val="11"/>
          <w:rFonts w:hint="eastAsia" w:ascii="仿宋" w:hAnsi="仿宋" w:eastAsia="仿宋" w:cs="仿宋"/>
          <w:b/>
          <w:bCs/>
          <w:sz w:val="28"/>
          <w:szCs w:val="28"/>
        </w:rPr>
        <w:t>、工程质量与验收标准</w:t>
      </w:r>
    </w:p>
    <w:p w14:paraId="0FA1016A">
      <w:pPr>
        <w:pStyle w:val="7"/>
        <w:spacing w:before="0" w:beforeAutospacing="0" w:after="0" w:afterAutospacing="0" w:line="360" w:lineRule="auto"/>
        <w:rPr>
          <w:rStyle w:val="11"/>
          <w:rFonts w:hint="eastAsia" w:ascii="仿宋" w:hAnsi="仿宋" w:eastAsia="仿宋" w:cs="仿宋"/>
          <w:b/>
          <w:bCs/>
        </w:rPr>
      </w:pPr>
      <w:r>
        <w:rPr>
          <w:rStyle w:val="11"/>
          <w:rFonts w:hint="eastAsia" w:ascii="仿宋" w:hAnsi="仿宋" w:eastAsia="仿宋" w:cs="仿宋"/>
          <w:b/>
          <w:bCs/>
        </w:rPr>
        <w:t>1、尺寸与</w:t>
      </w:r>
      <w:r>
        <w:rPr>
          <w:rStyle w:val="11"/>
          <w:rFonts w:hint="eastAsia" w:ascii="仿宋" w:hAnsi="仿宋" w:eastAsia="仿宋" w:cs="仿宋"/>
          <w:b/>
          <w:bCs/>
          <w:lang w:val="en-US" w:eastAsia="zh-CN"/>
        </w:rPr>
        <w:t>规格</w:t>
      </w:r>
      <w:r>
        <w:rPr>
          <w:rStyle w:val="11"/>
          <w:rFonts w:hint="eastAsia" w:ascii="仿宋" w:hAnsi="仿宋" w:eastAsia="仿宋" w:cs="仿宋"/>
          <w:b/>
          <w:bCs/>
        </w:rPr>
        <w:t>：</w:t>
      </w:r>
    </w:p>
    <w:p w14:paraId="63A41E5A">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lang w:eastAsia="zh-CN"/>
        </w:rPr>
      </w:pPr>
      <w:r>
        <w:rPr>
          <w:rStyle w:val="11"/>
          <w:rFonts w:hint="eastAsia" w:ascii="仿宋" w:hAnsi="仿宋" w:eastAsia="仿宋" w:cs="仿宋"/>
          <w:b w:val="0"/>
          <w:bCs w:val="0"/>
        </w:rPr>
        <w:t>所有构件的长度、直径、壁厚、截面形状等实际尺寸必须与设计图纸和采购清单完全相符</w:t>
      </w:r>
      <w:r>
        <w:rPr>
          <w:rStyle w:val="11"/>
          <w:rFonts w:hint="eastAsia" w:ascii="仿宋" w:hAnsi="仿宋" w:eastAsia="仿宋" w:cs="仿宋"/>
          <w:b w:val="0"/>
          <w:bCs w:val="0"/>
          <w:lang w:eastAsia="zh-CN"/>
        </w:rPr>
        <w:t>。</w:t>
      </w:r>
    </w:p>
    <w:p w14:paraId="1F43D3AB">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lang w:eastAsia="zh-CN"/>
        </w:rPr>
      </w:pPr>
      <w:r>
        <w:rPr>
          <w:rStyle w:val="11"/>
          <w:rFonts w:hint="eastAsia" w:ascii="仿宋" w:hAnsi="仿宋" w:eastAsia="仿宋" w:cs="仿宋"/>
          <w:b w:val="0"/>
          <w:bCs w:val="0"/>
          <w:lang w:eastAsia="zh-CN"/>
        </w:rPr>
        <w:t>允许偏差：长度：±5mm；外径/外形尺寸：±1.0mm（对于Φ50mm以下），±1.5mm（对于Φ50mm以上）；壁厚：符合国家钢管标准正负公差要求，且不允许出现负公差超标；立柱垂直度：≤3mm/2m；扶手直线度：≤4mm/全长。</w:t>
      </w:r>
    </w:p>
    <w:p w14:paraId="6E5495BE">
      <w:pPr>
        <w:pStyle w:val="7"/>
        <w:numPr>
          <w:ilvl w:val="0"/>
          <w:numId w:val="0"/>
        </w:numPr>
        <w:spacing w:before="0" w:beforeAutospacing="0" w:after="0" w:afterAutospacing="0" w:line="360" w:lineRule="auto"/>
        <w:rPr>
          <w:rStyle w:val="11"/>
          <w:rFonts w:hint="eastAsia" w:ascii="仿宋" w:hAnsi="仿宋" w:eastAsia="仿宋" w:cs="仿宋"/>
          <w:b/>
          <w:bCs/>
        </w:rPr>
      </w:pPr>
      <w:r>
        <w:rPr>
          <w:rFonts w:hint="eastAsia" w:ascii="仿宋" w:hAnsi="仿宋" w:eastAsia="仿宋" w:cs="仿宋"/>
          <w:b/>
          <w:bCs/>
          <w:kern w:val="0"/>
          <w:sz w:val="24"/>
          <w:szCs w:val="24"/>
          <w:lang w:val="en-US" w:eastAsia="zh-CN" w:bidi="ar-SA"/>
        </w:rPr>
        <w:t>2、</w:t>
      </w:r>
      <w:r>
        <w:rPr>
          <w:rStyle w:val="11"/>
          <w:rFonts w:hint="eastAsia" w:ascii="仿宋" w:hAnsi="仿宋" w:eastAsia="仿宋" w:cs="仿宋"/>
          <w:b/>
          <w:bCs/>
        </w:rPr>
        <w:t>表面质量：</w:t>
      </w:r>
    </w:p>
    <w:p w14:paraId="4E18CBCD">
      <w:pPr>
        <w:pStyle w:val="7"/>
        <w:numPr>
          <w:ilvl w:val="0"/>
          <w:numId w:val="2"/>
        </w:numPr>
        <w:spacing w:before="0" w:beforeAutospacing="0" w:after="0" w:afterAutospacing="0" w:line="360" w:lineRule="auto"/>
        <w:ind w:left="420" w:leftChars="0" w:hanging="420" w:firstLineChars="0"/>
        <w:rPr>
          <w:rFonts w:hint="eastAsia" w:ascii="仿宋" w:hAnsi="仿宋" w:eastAsia="仿宋"/>
          <w:sz w:val="24"/>
          <w:szCs w:val="24"/>
          <w:lang w:eastAsia="zh-CN"/>
        </w:rPr>
      </w:pPr>
      <w:r>
        <w:rPr>
          <w:rFonts w:hint="eastAsia" w:ascii="仿宋" w:hAnsi="仿宋" w:eastAsia="仿宋"/>
          <w:sz w:val="24"/>
          <w:szCs w:val="24"/>
          <w:lang w:eastAsia="zh-CN"/>
        </w:rPr>
        <w:t>拉丝不锈钢：目视检查，表面应色泽均匀，无明显的色差、抛光痕、磨头花、灼伤、划痕、凹坑、锈点、指纹污染等缺陷。拉丝纹路应清晰流畅，无断线、乱纹现象。</w:t>
      </w:r>
    </w:p>
    <w:p w14:paraId="0AC904C9">
      <w:pPr>
        <w:pStyle w:val="7"/>
        <w:numPr>
          <w:ilvl w:val="0"/>
          <w:numId w:val="2"/>
        </w:numPr>
        <w:spacing w:before="0" w:beforeAutospacing="0" w:after="0" w:afterAutospacing="0" w:line="360" w:lineRule="auto"/>
        <w:ind w:left="420" w:leftChars="0" w:hanging="420" w:firstLineChars="0"/>
        <w:rPr>
          <w:rFonts w:hint="eastAsia" w:ascii="仿宋" w:hAnsi="仿宋" w:eastAsia="仿宋"/>
          <w:sz w:val="24"/>
          <w:szCs w:val="24"/>
          <w:lang w:eastAsia="zh-CN"/>
        </w:rPr>
      </w:pPr>
      <w:r>
        <w:rPr>
          <w:rFonts w:hint="eastAsia" w:ascii="仿宋" w:hAnsi="仿宋" w:eastAsia="仿宋"/>
          <w:sz w:val="24"/>
          <w:szCs w:val="24"/>
          <w:lang w:eastAsia="zh-CN"/>
        </w:rPr>
        <w:t>热浸镀锌钢管：目视检查，镀锌层应完整光滑，无漏镀（露铁）、毛刺、结块、锌瘤、积锌、锐点等妨碍使用的缺陷。允许存在轻微的不均匀颜色和水纹，但不影响整体美观和防腐性能。</w:t>
      </w:r>
    </w:p>
    <w:p w14:paraId="11485F0A">
      <w:pPr>
        <w:pStyle w:val="7"/>
        <w:numPr>
          <w:ilvl w:val="0"/>
          <w:numId w:val="2"/>
        </w:numPr>
        <w:spacing w:before="0" w:beforeAutospacing="0" w:after="0" w:afterAutospacing="0" w:line="360" w:lineRule="auto"/>
        <w:ind w:left="420" w:leftChars="0" w:hanging="420" w:firstLineChars="0"/>
        <w:rPr>
          <w:rFonts w:hint="eastAsia" w:ascii="仿宋" w:hAnsi="仿宋" w:eastAsia="仿宋"/>
          <w:sz w:val="24"/>
          <w:szCs w:val="24"/>
          <w:lang w:eastAsia="zh-CN"/>
        </w:rPr>
      </w:pPr>
      <w:r>
        <w:rPr>
          <w:rFonts w:hint="eastAsia" w:ascii="仿宋" w:hAnsi="仿宋" w:eastAsia="仿宋"/>
          <w:sz w:val="24"/>
          <w:szCs w:val="24"/>
          <w:lang w:eastAsia="zh-CN"/>
        </w:rPr>
        <w:t>通用：所有材料边角应打磨圆滑，无毛刺、尖角，防止划伤。</w:t>
      </w:r>
    </w:p>
    <w:p w14:paraId="4CCDCBBE">
      <w:pPr>
        <w:pStyle w:val="7"/>
        <w:numPr>
          <w:ilvl w:val="0"/>
          <w:numId w:val="0"/>
        </w:numPr>
        <w:spacing w:before="0" w:beforeAutospacing="0" w:after="0" w:afterAutospacing="0" w:line="360" w:lineRule="auto"/>
        <w:rPr>
          <w:rStyle w:val="11"/>
          <w:rFonts w:hint="eastAsia" w:ascii="仿宋" w:hAnsi="仿宋" w:eastAsia="仿宋" w:cs="仿宋"/>
          <w:b/>
          <w:bCs/>
        </w:rPr>
      </w:pPr>
      <w:r>
        <w:rPr>
          <w:rFonts w:hint="eastAsia" w:ascii="仿宋" w:hAnsi="仿宋" w:eastAsia="仿宋"/>
          <w:b/>
          <w:bCs/>
          <w:sz w:val="24"/>
          <w:szCs w:val="24"/>
          <w:lang w:eastAsia="zh-CN"/>
        </w:rPr>
        <w:t>‌</w:t>
      </w:r>
      <w:r>
        <w:rPr>
          <w:rStyle w:val="11"/>
          <w:rFonts w:hint="eastAsia" w:ascii="仿宋" w:hAnsi="仿宋" w:eastAsia="仿宋" w:cs="仿宋"/>
          <w:b/>
          <w:bCs/>
        </w:rPr>
        <w:t>3、物理性能测试：</w:t>
      </w:r>
    </w:p>
    <w:p w14:paraId="532823B4">
      <w:pPr>
        <w:pStyle w:val="7"/>
        <w:numPr>
          <w:ilvl w:val="0"/>
          <w:numId w:val="2"/>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镀锌层附着性测试（镀锌管必检）：采用锤击试验法（参照GB/T 13912）。用锤子以适当的力敲击镀锌件，镀锌层不得出现起皮、剥落现象。</w:t>
      </w:r>
    </w:p>
    <w:p w14:paraId="11385BD6">
      <w:pPr>
        <w:pStyle w:val="7"/>
        <w:numPr>
          <w:ilvl w:val="0"/>
          <w:numId w:val="2"/>
        </w:numPr>
        <w:spacing w:before="0" w:beforeAutospacing="0" w:after="0" w:afterAutospacing="0" w:line="360" w:lineRule="auto"/>
        <w:ind w:left="420" w:leftChars="0" w:hanging="420" w:firstLineChars="0"/>
        <w:rPr>
          <w:rStyle w:val="11"/>
          <w:rFonts w:hint="eastAsia" w:ascii="仿宋" w:hAnsi="仿宋" w:eastAsia="仿宋" w:cs="仿宋"/>
          <w:b/>
          <w:bCs/>
        </w:rPr>
      </w:pPr>
      <w:r>
        <w:rPr>
          <w:rStyle w:val="11"/>
          <w:rFonts w:hint="eastAsia" w:ascii="仿宋" w:hAnsi="仿宋" w:eastAsia="仿宋" w:cs="仿宋"/>
          <w:b w:val="0"/>
          <w:bCs w:val="0"/>
        </w:rPr>
        <w:t>焊缝强度：对现场焊接或工厂焊接的焊缝进行抽样检查，焊缝应饱满、无虚焊、漏焊、裂纹、夹渣、气孔等缺陷。</w:t>
      </w:r>
    </w:p>
    <w:p w14:paraId="5404DDF6">
      <w:pPr>
        <w:pStyle w:val="7"/>
        <w:numPr>
          <w:ilvl w:val="0"/>
          <w:numId w:val="3"/>
        </w:numPr>
        <w:spacing w:before="0" w:beforeAutospacing="0" w:after="0" w:afterAutospacing="0" w:line="360" w:lineRule="auto"/>
        <w:ind w:left="0" w:leftChars="0" w:firstLine="0" w:firstLineChars="0"/>
        <w:rPr>
          <w:rStyle w:val="11"/>
          <w:rFonts w:hint="eastAsia" w:ascii="仿宋" w:hAnsi="仿宋" w:eastAsia="仿宋" w:cs="仿宋"/>
          <w:b/>
          <w:bCs/>
          <w:lang w:val="en-US" w:eastAsia="zh-CN"/>
        </w:rPr>
      </w:pPr>
      <w:r>
        <w:rPr>
          <w:rStyle w:val="11"/>
          <w:rFonts w:hint="eastAsia" w:ascii="仿宋" w:hAnsi="仿宋" w:eastAsia="仿宋" w:cs="仿宋"/>
          <w:b/>
          <w:bCs/>
        </w:rPr>
        <w:t>抽样方法</w:t>
      </w:r>
      <w:r>
        <w:rPr>
          <w:rStyle w:val="11"/>
          <w:rFonts w:hint="eastAsia" w:ascii="仿宋" w:hAnsi="仿宋" w:eastAsia="仿宋" w:cs="仿宋"/>
          <w:b/>
          <w:bCs/>
          <w:lang w:val="en-US" w:eastAsia="zh-CN"/>
        </w:rPr>
        <w:t>:</w:t>
      </w:r>
    </w:p>
    <w:p w14:paraId="6E6D3809">
      <w:pPr>
        <w:pStyle w:val="7"/>
        <w:numPr>
          <w:ilvl w:val="0"/>
          <w:numId w:val="4"/>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按同一厂家、同一材质、同一规格、同一批次的产品为一个检验批。</w:t>
      </w:r>
    </w:p>
    <w:p w14:paraId="581E7EDA">
      <w:pPr>
        <w:pStyle w:val="7"/>
        <w:numPr>
          <w:ilvl w:val="0"/>
          <w:numId w:val="4"/>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外观和尺寸检查：每批随机抽样 3%~5%，且不少于10件（根）。</w:t>
      </w:r>
    </w:p>
    <w:p w14:paraId="6731DD12">
      <w:pPr>
        <w:pStyle w:val="7"/>
        <w:numPr>
          <w:ilvl w:val="0"/>
          <w:numId w:val="4"/>
        </w:numPr>
        <w:spacing w:before="0" w:beforeAutospacing="0" w:after="0" w:afterAutospacing="0" w:line="360" w:lineRule="auto"/>
        <w:ind w:left="420" w:leftChars="0" w:hanging="420" w:firstLineChars="0"/>
        <w:rPr>
          <w:rStyle w:val="11"/>
          <w:rFonts w:hint="default" w:ascii="仿宋" w:hAnsi="仿宋" w:eastAsia="仿宋" w:cs="仿宋"/>
          <w:b w:val="0"/>
          <w:bCs w:val="0"/>
          <w:lang w:val="en-US" w:eastAsia="zh-CN"/>
        </w:rPr>
      </w:pPr>
      <w:r>
        <w:rPr>
          <w:rStyle w:val="11"/>
          <w:rFonts w:hint="eastAsia" w:ascii="仿宋" w:hAnsi="仿宋" w:eastAsia="仿宋" w:cs="仿宋"/>
          <w:b w:val="0"/>
          <w:bCs w:val="0"/>
          <w:lang w:val="en-US" w:eastAsia="zh-CN"/>
        </w:rPr>
        <w:t>镀锌层测试：每批（或每50吨）随机抽取 2根1米长的试样进行测试。</w:t>
      </w:r>
    </w:p>
    <w:p w14:paraId="5867D833">
      <w:pPr>
        <w:pStyle w:val="7"/>
        <w:numPr>
          <w:ilvl w:val="0"/>
          <w:numId w:val="3"/>
        </w:numPr>
        <w:spacing w:before="0" w:beforeAutospacing="0" w:after="0" w:afterAutospacing="0" w:line="360" w:lineRule="auto"/>
        <w:ind w:left="0" w:leftChars="0" w:firstLine="0" w:firstLineChars="0"/>
        <w:rPr>
          <w:rStyle w:val="11"/>
          <w:rFonts w:hint="eastAsia" w:ascii="仿宋" w:hAnsi="仿宋" w:eastAsia="仿宋" w:cs="仿宋"/>
          <w:b/>
          <w:bCs/>
        </w:rPr>
      </w:pPr>
      <w:r>
        <w:rPr>
          <w:rStyle w:val="11"/>
          <w:rFonts w:hint="eastAsia" w:ascii="仿宋" w:hAnsi="仿宋" w:eastAsia="仿宋" w:cs="仿宋"/>
          <w:b/>
          <w:bCs/>
        </w:rPr>
        <w:t>检测工具</w:t>
      </w:r>
      <w:r>
        <w:rPr>
          <w:rStyle w:val="11"/>
          <w:rFonts w:hint="eastAsia" w:ascii="仿宋" w:hAnsi="仿宋" w:eastAsia="仿宋" w:cs="仿宋"/>
          <w:b/>
          <w:bCs/>
          <w:lang w:eastAsia="zh-CN"/>
        </w:rPr>
        <w:t>：</w:t>
      </w:r>
    </w:p>
    <w:p w14:paraId="7D9E761A">
      <w:pPr>
        <w:pStyle w:val="7"/>
        <w:numPr>
          <w:ilvl w:val="0"/>
          <w:numId w:val="5"/>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游标卡尺、千分尺、超声波测厚仪（用于测量壁厚和镀锌层厚度）</w:t>
      </w:r>
    </w:p>
    <w:p w14:paraId="29B088EC">
      <w:pPr>
        <w:pStyle w:val="7"/>
        <w:numPr>
          <w:ilvl w:val="0"/>
          <w:numId w:val="5"/>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钢卷尺、水平尺、线坠、激光测距仪</w:t>
      </w:r>
    </w:p>
    <w:p w14:paraId="2447838A">
      <w:pPr>
        <w:pStyle w:val="7"/>
        <w:numPr>
          <w:ilvl w:val="0"/>
          <w:numId w:val="5"/>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镀锌层测厚仪（磁性法）</w:t>
      </w:r>
    </w:p>
    <w:p w14:paraId="65ED5CCD">
      <w:pPr>
        <w:pStyle w:val="7"/>
        <w:numPr>
          <w:ilvl w:val="0"/>
          <w:numId w:val="5"/>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锤击试验工具</w:t>
      </w:r>
    </w:p>
    <w:p w14:paraId="47978C71">
      <w:pPr>
        <w:pStyle w:val="7"/>
        <w:numPr>
          <w:ilvl w:val="0"/>
          <w:numId w:val="3"/>
        </w:numPr>
        <w:spacing w:before="0" w:beforeAutospacing="0" w:after="0" w:afterAutospacing="0" w:line="360" w:lineRule="auto"/>
        <w:ind w:left="0" w:leftChars="0" w:firstLine="0" w:firstLineChars="0"/>
        <w:rPr>
          <w:rStyle w:val="11"/>
          <w:rFonts w:hint="eastAsia" w:ascii="仿宋" w:hAnsi="仿宋" w:eastAsia="仿宋" w:cs="仿宋"/>
          <w:b/>
          <w:bCs/>
          <w:lang w:eastAsia="zh-CN"/>
        </w:rPr>
      </w:pPr>
      <w:r>
        <w:rPr>
          <w:rStyle w:val="11"/>
          <w:rFonts w:hint="eastAsia" w:ascii="仿宋" w:hAnsi="仿宋" w:eastAsia="仿宋" w:cs="仿宋"/>
          <w:b/>
          <w:bCs/>
        </w:rPr>
        <w:t>判定规则</w:t>
      </w:r>
      <w:r>
        <w:rPr>
          <w:rStyle w:val="11"/>
          <w:rFonts w:hint="eastAsia" w:ascii="仿宋" w:hAnsi="仿宋" w:eastAsia="仿宋" w:cs="仿宋"/>
          <w:b/>
          <w:bCs/>
          <w:lang w:eastAsia="zh-CN"/>
        </w:rPr>
        <w:t>：</w:t>
      </w:r>
    </w:p>
    <w:p w14:paraId="2954AF84">
      <w:pPr>
        <w:pStyle w:val="7"/>
        <w:numPr>
          <w:ilvl w:val="0"/>
          <w:numId w:val="6"/>
        </w:numPr>
        <w:spacing w:before="0" w:beforeAutospacing="0" w:after="0" w:afterAutospacing="0" w:line="360" w:lineRule="auto"/>
        <w:ind w:left="420" w:leftChars="0" w:hanging="420" w:firstLineChars="0"/>
        <w:rPr>
          <w:rStyle w:val="11"/>
          <w:rFonts w:hint="eastAsia" w:ascii="仿宋" w:hAnsi="仿宋" w:eastAsia="仿宋" w:cs="仿宋"/>
          <w:b w:val="0"/>
          <w:bCs w:val="0"/>
          <w:lang w:eastAsia="zh-CN"/>
        </w:rPr>
      </w:pPr>
      <w:r>
        <w:rPr>
          <w:rStyle w:val="11"/>
          <w:rFonts w:hint="eastAsia" w:ascii="仿宋" w:hAnsi="仿宋" w:eastAsia="仿宋" w:cs="仿宋"/>
          <w:b w:val="0"/>
          <w:bCs w:val="0"/>
          <w:lang w:eastAsia="zh-CN"/>
        </w:rPr>
        <w:t>单项判定：单个样品的一项检测指标不符合本标准要求，则判定该样品此项不合格。</w:t>
      </w:r>
    </w:p>
    <w:p w14:paraId="35AE22A6">
      <w:pPr>
        <w:pStyle w:val="7"/>
        <w:numPr>
          <w:ilvl w:val="0"/>
          <w:numId w:val="6"/>
        </w:numPr>
        <w:spacing w:before="0" w:beforeAutospacing="0" w:after="0" w:afterAutospacing="0" w:line="360" w:lineRule="auto"/>
        <w:ind w:left="420" w:leftChars="0" w:hanging="420" w:firstLineChars="0"/>
        <w:rPr>
          <w:rStyle w:val="11"/>
          <w:rFonts w:hint="eastAsia" w:ascii="仿宋" w:hAnsi="仿宋" w:eastAsia="仿宋" w:cs="仿宋"/>
          <w:b w:val="0"/>
          <w:bCs w:val="0"/>
          <w:lang w:eastAsia="zh-CN"/>
        </w:rPr>
      </w:pPr>
      <w:r>
        <w:rPr>
          <w:rStyle w:val="11"/>
          <w:rFonts w:hint="eastAsia" w:ascii="仿宋" w:hAnsi="仿宋" w:eastAsia="仿宋" w:cs="仿宋"/>
          <w:b w:val="0"/>
          <w:bCs w:val="0"/>
          <w:lang w:eastAsia="zh-CN"/>
        </w:rPr>
        <w:t>批次判定：对于外观和尺寸项目，若抽样不合格率≤5%，则该批次合格；若 &gt;5%，则加倍抽样复检，复检后不合格率仍 &gt;5%，则判定该批次不合格。对于镀锌层附着性、均匀性等关键性能指标，只要有一个试样不合格，即判定该批次不合格。</w:t>
      </w:r>
    </w:p>
    <w:p w14:paraId="2F5D7B78">
      <w:pPr>
        <w:pStyle w:val="7"/>
        <w:numPr>
          <w:ilvl w:val="0"/>
          <w:numId w:val="3"/>
        </w:numPr>
        <w:spacing w:before="0" w:beforeAutospacing="0" w:after="0" w:afterAutospacing="0" w:line="360" w:lineRule="auto"/>
        <w:ind w:left="0" w:leftChars="0" w:firstLine="0" w:firstLineChars="0"/>
        <w:rPr>
          <w:rStyle w:val="11"/>
          <w:rFonts w:hint="eastAsia" w:ascii="仿宋" w:hAnsi="仿宋" w:eastAsia="仿宋" w:cs="仿宋"/>
          <w:b/>
          <w:bCs/>
        </w:rPr>
      </w:pPr>
      <w:r>
        <w:rPr>
          <w:rStyle w:val="11"/>
          <w:rFonts w:hint="eastAsia" w:ascii="仿宋" w:hAnsi="仿宋" w:eastAsia="仿宋" w:cs="仿宋"/>
          <w:b/>
          <w:bCs/>
        </w:rPr>
        <w:t>常见不合格项处理</w:t>
      </w:r>
      <w:r>
        <w:rPr>
          <w:rStyle w:val="11"/>
          <w:rFonts w:hint="eastAsia" w:ascii="仿宋" w:hAnsi="仿宋" w:eastAsia="仿宋" w:cs="仿宋"/>
          <w:b/>
          <w:bCs/>
          <w:lang w:eastAsia="zh-CN"/>
        </w:rPr>
        <w:t>：</w:t>
      </w:r>
    </w:p>
    <w:p w14:paraId="123ED92B">
      <w:pPr>
        <w:pStyle w:val="7"/>
        <w:numPr>
          <w:ilvl w:val="0"/>
          <w:numId w:val="7"/>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尺寸不符/壁厚不足：整批退货，不予接收。</w:t>
      </w:r>
    </w:p>
    <w:p w14:paraId="26B41EFE">
      <w:pPr>
        <w:pStyle w:val="7"/>
        <w:numPr>
          <w:ilvl w:val="0"/>
          <w:numId w:val="7"/>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表面轻微缺陷（如少量划痕、颜色不均）：由供应商现场进行技术处理（如局部修复、更换），处理后方可验收。无法处理的，对缺陷部件予以更换。</w:t>
      </w:r>
    </w:p>
    <w:p w14:paraId="630795A0">
      <w:pPr>
        <w:pStyle w:val="7"/>
        <w:numPr>
          <w:ilvl w:val="0"/>
          <w:numId w:val="7"/>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严重表面缺陷（如大面积漏镀、锈蚀、拉丝纹路严重不一致）：整批或缺陷部分退货。</w:t>
      </w:r>
    </w:p>
    <w:p w14:paraId="2D1F151A">
      <w:pPr>
        <w:pStyle w:val="7"/>
        <w:numPr>
          <w:ilvl w:val="0"/>
          <w:numId w:val="7"/>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镀锌层测试不合格：整批退货。</w:t>
      </w:r>
    </w:p>
    <w:p w14:paraId="5CE1F7E7">
      <w:pPr>
        <w:pStyle w:val="7"/>
        <w:numPr>
          <w:ilvl w:val="0"/>
          <w:numId w:val="0"/>
        </w:numPr>
        <w:spacing w:before="0" w:beforeAutospacing="0" w:after="0" w:afterAutospacing="0" w:line="360" w:lineRule="auto"/>
        <w:ind w:leftChars="0"/>
        <w:rPr>
          <w:rStyle w:val="11"/>
          <w:rFonts w:hint="eastAsia" w:ascii="仿宋" w:hAnsi="仿宋" w:eastAsia="仿宋" w:cs="仿宋"/>
          <w:b w:val="0"/>
          <w:bCs w:val="0"/>
        </w:rPr>
      </w:pPr>
    </w:p>
    <w:p w14:paraId="76DEA089">
      <w:pPr>
        <w:pStyle w:val="7"/>
        <w:numPr>
          <w:ilvl w:val="0"/>
          <w:numId w:val="3"/>
        </w:numPr>
        <w:spacing w:before="0" w:beforeAutospacing="0" w:after="0" w:afterAutospacing="0" w:line="360" w:lineRule="auto"/>
        <w:ind w:left="0" w:leftChars="0" w:firstLine="0" w:firstLineChars="0"/>
        <w:rPr>
          <w:rStyle w:val="11"/>
          <w:rFonts w:hint="eastAsia" w:ascii="仿宋" w:hAnsi="仿宋" w:eastAsia="仿宋" w:cs="仿宋"/>
          <w:b/>
          <w:bCs/>
        </w:rPr>
      </w:pPr>
      <w:r>
        <w:rPr>
          <w:rStyle w:val="11"/>
          <w:rFonts w:hint="eastAsia" w:ascii="仿宋" w:hAnsi="仿宋" w:eastAsia="仿宋" w:cs="仿宋"/>
          <w:b/>
          <w:bCs/>
        </w:rPr>
        <w:t>国家标准：</w:t>
      </w:r>
    </w:p>
    <w:p w14:paraId="493ACCEA">
      <w:pPr>
        <w:pStyle w:val="7"/>
        <w:numPr>
          <w:ilvl w:val="0"/>
          <w:numId w:val="0"/>
        </w:numPr>
        <w:spacing w:before="0" w:beforeAutospacing="0" w:after="0" w:afterAutospacing="0" w:line="360" w:lineRule="auto"/>
        <w:ind w:leftChars="0"/>
        <w:rPr>
          <w:rStyle w:val="11"/>
          <w:rFonts w:hint="eastAsia" w:ascii="仿宋" w:hAnsi="仿宋" w:eastAsia="仿宋" w:cs="仿宋"/>
          <w:b w:val="0"/>
          <w:bCs w:val="0"/>
        </w:rPr>
      </w:pPr>
      <w:r>
        <w:rPr>
          <w:rStyle w:val="11"/>
          <w:rFonts w:hint="eastAsia" w:ascii="仿宋" w:hAnsi="仿宋" w:eastAsia="仿宋" w:cs="仿宋"/>
          <w:b w:val="0"/>
          <w:bCs w:val="0"/>
        </w:rPr>
        <w:t>《GB 50755-2012 钢结构工程施工规范》</w:t>
      </w:r>
    </w:p>
    <w:p w14:paraId="58D6087D">
      <w:pPr>
        <w:pStyle w:val="7"/>
        <w:numPr>
          <w:ilvl w:val="0"/>
          <w:numId w:val="0"/>
        </w:numPr>
        <w:spacing w:before="0" w:beforeAutospacing="0" w:after="0" w:afterAutospacing="0" w:line="360" w:lineRule="auto"/>
        <w:ind w:leftChars="0"/>
        <w:rPr>
          <w:rStyle w:val="11"/>
          <w:rFonts w:hint="eastAsia" w:ascii="仿宋" w:hAnsi="仿宋" w:eastAsia="仿宋" w:cs="仿宋"/>
          <w:b w:val="0"/>
          <w:bCs w:val="0"/>
        </w:rPr>
      </w:pPr>
      <w:r>
        <w:rPr>
          <w:rStyle w:val="11"/>
          <w:rFonts w:hint="eastAsia" w:ascii="仿宋" w:hAnsi="仿宋" w:eastAsia="仿宋" w:cs="仿宋"/>
          <w:b w:val="0"/>
          <w:bCs w:val="0"/>
        </w:rPr>
        <w:t>《GB 50205-2020 钢结构工程施工质量验收标准》</w:t>
      </w:r>
    </w:p>
    <w:p w14:paraId="680502FA">
      <w:pPr>
        <w:pStyle w:val="7"/>
        <w:numPr>
          <w:ilvl w:val="0"/>
          <w:numId w:val="0"/>
        </w:numPr>
        <w:spacing w:before="0" w:beforeAutospacing="0" w:after="0" w:afterAutospacing="0" w:line="360" w:lineRule="auto"/>
        <w:ind w:leftChars="0"/>
        <w:rPr>
          <w:rStyle w:val="11"/>
          <w:rFonts w:hint="eastAsia" w:ascii="仿宋" w:hAnsi="仿宋" w:eastAsia="仿宋" w:cs="仿宋"/>
          <w:b w:val="0"/>
          <w:bCs w:val="0"/>
        </w:rPr>
      </w:pPr>
      <w:r>
        <w:rPr>
          <w:rStyle w:val="11"/>
          <w:rFonts w:hint="eastAsia" w:ascii="仿宋" w:hAnsi="仿宋" w:eastAsia="仿宋" w:cs="仿宋"/>
          <w:b w:val="0"/>
          <w:bCs w:val="0"/>
        </w:rPr>
        <w:t>《GB/T 13912-2020 金属覆盖层 钢铁制件热浸镀锌层 技术要求及试验方法》</w:t>
      </w:r>
    </w:p>
    <w:p w14:paraId="177E65B6">
      <w:pPr>
        <w:pStyle w:val="7"/>
        <w:numPr>
          <w:ilvl w:val="0"/>
          <w:numId w:val="0"/>
        </w:numPr>
        <w:spacing w:before="0" w:beforeAutospacing="0" w:after="0" w:afterAutospacing="0" w:line="360" w:lineRule="auto"/>
        <w:ind w:leftChars="0"/>
        <w:rPr>
          <w:rStyle w:val="11"/>
          <w:rFonts w:hint="eastAsia" w:ascii="仿宋" w:hAnsi="仿宋" w:eastAsia="仿宋" w:cs="仿宋"/>
          <w:b w:val="0"/>
          <w:bCs w:val="0"/>
        </w:rPr>
      </w:pPr>
      <w:r>
        <w:rPr>
          <w:rStyle w:val="11"/>
          <w:rFonts w:hint="eastAsia" w:ascii="仿宋" w:hAnsi="仿宋" w:eastAsia="仿宋" w:cs="仿宋"/>
          <w:b w:val="0"/>
          <w:bCs w:val="0"/>
        </w:rPr>
        <w:t>《GB/T 3091-2015 低压流体输送用焊接钢管》</w:t>
      </w:r>
    </w:p>
    <w:p w14:paraId="7D6EF530">
      <w:pPr>
        <w:pStyle w:val="7"/>
        <w:numPr>
          <w:ilvl w:val="0"/>
          <w:numId w:val="0"/>
        </w:numPr>
        <w:spacing w:before="0" w:beforeAutospacing="0" w:after="0" w:afterAutospacing="0" w:line="360" w:lineRule="auto"/>
        <w:ind w:leftChars="0"/>
        <w:rPr>
          <w:rStyle w:val="11"/>
          <w:rFonts w:hint="eastAsia" w:ascii="仿宋" w:hAnsi="仿宋" w:eastAsia="仿宋" w:cs="仿宋"/>
          <w:b w:val="0"/>
          <w:bCs w:val="0"/>
        </w:rPr>
      </w:pPr>
      <w:r>
        <w:rPr>
          <w:rStyle w:val="11"/>
          <w:rFonts w:hint="eastAsia" w:ascii="仿宋" w:hAnsi="仿宋" w:eastAsia="仿宋" w:cs="仿宋"/>
          <w:b w:val="0"/>
          <w:bCs w:val="0"/>
        </w:rPr>
        <w:t>《GB/T 20878-2007 不锈钢和耐热钢 牌号及化学成分》</w:t>
      </w:r>
    </w:p>
    <w:p w14:paraId="392348AD">
      <w:pPr>
        <w:pStyle w:val="7"/>
        <w:numPr>
          <w:ilvl w:val="0"/>
          <w:numId w:val="0"/>
        </w:numPr>
        <w:spacing w:before="0" w:beforeAutospacing="0" w:after="0" w:afterAutospacing="0" w:line="360" w:lineRule="auto"/>
        <w:ind w:leftChars="0"/>
        <w:rPr>
          <w:rStyle w:val="11"/>
          <w:rFonts w:hint="eastAsia" w:ascii="仿宋" w:hAnsi="仿宋" w:eastAsia="仿宋" w:cs="仿宋"/>
          <w:b w:val="0"/>
          <w:bCs w:val="0"/>
        </w:rPr>
      </w:pPr>
      <w:r>
        <w:rPr>
          <w:rStyle w:val="11"/>
          <w:rFonts w:hint="eastAsia" w:ascii="仿宋" w:hAnsi="仿宋" w:eastAsia="仿宋" w:cs="仿宋"/>
          <w:b w:val="0"/>
          <w:bCs w:val="0"/>
        </w:rPr>
        <w:t>《GB/T 3280-2015 不锈钢冷轧钢板和钢带》</w:t>
      </w:r>
    </w:p>
    <w:p w14:paraId="07234128">
      <w:pPr>
        <w:pStyle w:val="7"/>
        <w:numPr>
          <w:ilvl w:val="0"/>
          <w:numId w:val="0"/>
        </w:numPr>
        <w:spacing w:before="0" w:beforeAutospacing="0" w:after="0" w:afterAutospacing="0" w:line="360" w:lineRule="auto"/>
        <w:ind w:leftChars="0"/>
        <w:rPr>
          <w:rStyle w:val="11"/>
          <w:rFonts w:hint="eastAsia" w:ascii="仿宋" w:hAnsi="仿宋" w:eastAsia="仿宋" w:cs="仿宋"/>
          <w:b w:val="0"/>
          <w:bCs w:val="0"/>
        </w:rPr>
      </w:pPr>
      <w:r>
        <w:rPr>
          <w:rStyle w:val="11"/>
          <w:rFonts w:hint="eastAsia" w:ascii="仿宋" w:hAnsi="仿宋" w:eastAsia="仿宋" w:cs="仿宋"/>
          <w:b w:val="0"/>
          <w:bCs w:val="0"/>
        </w:rPr>
        <w:t>《GB 50009-2012 建筑结构荷载规范》（用于荷载计算）</w:t>
      </w:r>
    </w:p>
    <w:p w14:paraId="341671F4">
      <w:pPr>
        <w:pStyle w:val="7"/>
        <w:numPr>
          <w:ilvl w:val="0"/>
          <w:numId w:val="0"/>
        </w:numPr>
        <w:spacing w:before="0" w:beforeAutospacing="0" w:after="0" w:afterAutospacing="0" w:line="360" w:lineRule="auto"/>
        <w:ind w:leftChars="0"/>
        <w:rPr>
          <w:rStyle w:val="11"/>
          <w:rFonts w:hint="eastAsia" w:ascii="仿宋" w:hAnsi="仿宋" w:eastAsia="仿宋" w:cs="仿宋"/>
          <w:b w:val="0"/>
          <w:bCs w:val="0"/>
        </w:rPr>
      </w:pPr>
      <w:r>
        <w:rPr>
          <w:rStyle w:val="11"/>
          <w:rFonts w:hint="eastAsia" w:ascii="仿宋" w:hAnsi="仿宋" w:eastAsia="仿宋" w:cs="仿宋"/>
          <w:b w:val="0"/>
          <w:bCs w:val="0"/>
        </w:rPr>
        <w:t>《GB 50858-2013 园林绿化工程工程量计算规范》</w:t>
      </w:r>
    </w:p>
    <w:p w14:paraId="3DC09CFE">
      <w:pPr>
        <w:pStyle w:val="7"/>
        <w:numPr>
          <w:ilvl w:val="0"/>
          <w:numId w:val="3"/>
        </w:numPr>
        <w:spacing w:before="0" w:beforeAutospacing="0" w:after="0" w:afterAutospacing="0" w:line="360" w:lineRule="auto"/>
        <w:ind w:left="0" w:leftChars="0" w:firstLine="0" w:firstLineChars="0"/>
        <w:rPr>
          <w:rStyle w:val="11"/>
          <w:rFonts w:hint="eastAsia" w:ascii="仿宋" w:hAnsi="仿宋" w:eastAsia="仿宋" w:cs="仿宋"/>
          <w:b/>
          <w:bCs/>
        </w:rPr>
      </w:pPr>
      <w:r>
        <w:rPr>
          <w:rStyle w:val="11"/>
          <w:rFonts w:hint="eastAsia" w:ascii="仿宋" w:hAnsi="仿宋" w:eastAsia="仿宋" w:cs="仿宋"/>
          <w:b/>
          <w:bCs/>
        </w:rPr>
        <w:t>行业规范：</w:t>
      </w:r>
    </w:p>
    <w:p w14:paraId="626111F0">
      <w:pPr>
        <w:pStyle w:val="7"/>
        <w:numPr>
          <w:ilvl w:val="0"/>
          <w:numId w:val="0"/>
        </w:numPr>
        <w:spacing w:before="0" w:beforeAutospacing="0" w:after="0" w:afterAutospacing="0" w:line="360" w:lineRule="auto"/>
        <w:ind w:leftChars="0"/>
        <w:rPr>
          <w:rStyle w:val="11"/>
          <w:rFonts w:hint="eastAsia" w:ascii="仿宋" w:hAnsi="仿宋" w:eastAsia="仿宋" w:cs="仿宋"/>
          <w:b w:val="0"/>
          <w:bCs w:val="0"/>
        </w:rPr>
      </w:pPr>
      <w:r>
        <w:rPr>
          <w:rStyle w:val="11"/>
          <w:rFonts w:hint="eastAsia" w:ascii="仿宋" w:hAnsi="仿宋" w:eastAsia="仿宋" w:cs="仿宋"/>
          <w:b w:val="0"/>
          <w:bCs w:val="0"/>
        </w:rPr>
        <w:t>《CJJ 82-2012 园林绿化工程施工及验收规范》</w:t>
      </w:r>
    </w:p>
    <w:p w14:paraId="523D326A">
      <w:pPr>
        <w:pStyle w:val="7"/>
        <w:numPr>
          <w:ilvl w:val="0"/>
          <w:numId w:val="0"/>
        </w:numPr>
        <w:spacing w:before="0" w:beforeAutospacing="0" w:after="0" w:afterAutospacing="0" w:line="360" w:lineRule="auto"/>
        <w:ind w:leftChars="0"/>
        <w:rPr>
          <w:rStyle w:val="11"/>
          <w:rFonts w:hint="eastAsia" w:ascii="仿宋" w:hAnsi="仿宋" w:eastAsia="仿宋" w:cs="仿宋"/>
          <w:b w:val="0"/>
          <w:bCs w:val="0"/>
        </w:rPr>
      </w:pPr>
      <w:r>
        <w:rPr>
          <w:rStyle w:val="11"/>
          <w:rFonts w:hint="eastAsia" w:ascii="仿宋" w:hAnsi="仿宋" w:eastAsia="仿宋" w:cs="仿宋"/>
          <w:b w:val="0"/>
          <w:bCs w:val="0"/>
        </w:rPr>
        <w:t>《JGJ 81-2002 建筑钢结构焊接技术规程》（现多参考GB 50661）</w:t>
      </w:r>
    </w:p>
    <w:p w14:paraId="103B8169">
      <w:pPr>
        <w:pStyle w:val="7"/>
        <w:numPr>
          <w:ilvl w:val="0"/>
          <w:numId w:val="0"/>
        </w:numPr>
        <w:spacing w:before="0" w:beforeAutospacing="0" w:after="0" w:afterAutospacing="0" w:line="360" w:lineRule="auto"/>
        <w:ind w:leftChars="0"/>
        <w:rPr>
          <w:rStyle w:val="11"/>
          <w:rFonts w:hint="eastAsia" w:ascii="仿宋" w:hAnsi="仿宋" w:eastAsia="仿宋" w:cs="仿宋"/>
          <w:b w:val="0"/>
          <w:bCs w:val="0"/>
        </w:rPr>
      </w:pPr>
      <w:r>
        <w:rPr>
          <w:rStyle w:val="11"/>
          <w:rFonts w:hint="eastAsia" w:ascii="仿宋" w:hAnsi="仿宋" w:eastAsia="仿宋" w:cs="仿宋"/>
          <w:b w:val="0"/>
          <w:bCs w:val="0"/>
        </w:rPr>
        <w:t>《GB 50661-2011 钢结构焊接规范》</w:t>
      </w:r>
    </w:p>
    <w:p w14:paraId="4D499018">
      <w:pPr>
        <w:pStyle w:val="7"/>
        <w:numPr>
          <w:ilvl w:val="0"/>
          <w:numId w:val="0"/>
        </w:numPr>
        <w:spacing w:before="0" w:beforeAutospacing="0" w:after="0" w:afterAutospacing="0" w:line="360" w:lineRule="auto"/>
        <w:rPr>
          <w:rStyle w:val="11"/>
          <w:rFonts w:hint="eastAsia" w:ascii="仿宋" w:hAnsi="仿宋" w:eastAsia="仿宋" w:cs="仿宋"/>
          <w:b w:val="0"/>
          <w:bCs w:val="0"/>
          <w:lang w:eastAsia="zh-CN"/>
        </w:rPr>
      </w:pPr>
      <w:r>
        <w:rPr>
          <w:rStyle w:val="11"/>
          <w:rFonts w:hint="eastAsia" w:ascii="仿宋" w:hAnsi="仿宋" w:eastAsia="仿宋" w:cs="仿宋"/>
          <w:b w:val="0"/>
          <w:bCs w:val="0"/>
        </w:rPr>
        <w:t>项目所在地地方政府发布的相关市政设施建设标准与规范</w:t>
      </w:r>
      <w:r>
        <w:rPr>
          <w:rStyle w:val="11"/>
          <w:rFonts w:hint="eastAsia" w:ascii="仿宋" w:hAnsi="仿宋" w:eastAsia="仿宋" w:cs="仿宋"/>
          <w:b w:val="0"/>
          <w:bCs w:val="0"/>
          <w:lang w:eastAsia="zh-CN"/>
        </w:rPr>
        <w:t>。</w:t>
      </w:r>
    </w:p>
    <w:p w14:paraId="382F134C">
      <w:pPr>
        <w:pStyle w:val="7"/>
        <w:spacing w:before="0" w:beforeAutospacing="0" w:after="0" w:afterAutospacing="0" w:line="360" w:lineRule="auto"/>
        <w:rPr>
          <w:rStyle w:val="11"/>
          <w:rFonts w:hint="eastAsia" w:ascii="仿宋" w:hAnsi="仿宋" w:eastAsia="仿宋" w:cs="仿宋"/>
          <w:b w:val="0"/>
          <w:bCs w:val="0"/>
        </w:rPr>
      </w:pPr>
    </w:p>
    <w:p w14:paraId="03536C54">
      <w:pPr>
        <w:pStyle w:val="3"/>
        <w:widowControl/>
        <w:spacing w:beforeAutospacing="0" w:line="360" w:lineRule="auto"/>
        <w:rPr>
          <w:rStyle w:val="11"/>
          <w:rFonts w:hint="default" w:ascii="仿宋" w:hAnsi="仿宋" w:eastAsia="仿宋" w:cs="仿宋"/>
          <w:b/>
          <w:bCs/>
          <w:sz w:val="28"/>
          <w:szCs w:val="28"/>
        </w:rPr>
      </w:pPr>
      <w:r>
        <w:rPr>
          <w:rStyle w:val="11"/>
          <w:rFonts w:hint="eastAsia" w:ascii="仿宋" w:hAnsi="仿宋" w:eastAsia="仿宋" w:cs="仿宋"/>
          <w:b/>
          <w:bCs/>
          <w:sz w:val="28"/>
          <w:szCs w:val="28"/>
          <w:lang w:val="en-US" w:eastAsia="zh-CN"/>
        </w:rPr>
        <w:t>四</w:t>
      </w:r>
      <w:r>
        <w:rPr>
          <w:rStyle w:val="11"/>
          <w:rFonts w:ascii="仿宋" w:hAnsi="仿宋" w:eastAsia="仿宋" w:cs="仿宋"/>
          <w:b/>
          <w:bCs/>
          <w:sz w:val="28"/>
          <w:szCs w:val="28"/>
        </w:rPr>
        <w:t>、安全文明施工要求</w:t>
      </w:r>
    </w:p>
    <w:p w14:paraId="66E7E99C">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rPr>
        <w:t>1、安全操作及人员管理：</w:t>
      </w:r>
      <w:r>
        <w:rPr>
          <w:rStyle w:val="11"/>
          <w:rFonts w:hint="eastAsia" w:ascii="仿宋" w:hAnsi="仿宋" w:eastAsia="仿宋" w:cs="仿宋"/>
          <w:b w:val="0"/>
          <w:bCs w:val="0"/>
        </w:rPr>
        <w:t>；特殊工种（</w:t>
      </w:r>
      <w:r>
        <w:rPr>
          <w:rStyle w:val="11"/>
          <w:rFonts w:hint="eastAsia" w:ascii="仿宋" w:hAnsi="仿宋" w:eastAsia="仿宋" w:cs="仿宋"/>
          <w:b w:val="0"/>
          <w:bCs w:val="0"/>
          <w:lang w:val="en-US" w:eastAsia="zh-CN"/>
        </w:rPr>
        <w:t>叉车</w:t>
      </w:r>
      <w:r>
        <w:rPr>
          <w:rStyle w:val="11"/>
          <w:rFonts w:hint="eastAsia" w:ascii="仿宋" w:hAnsi="仿宋" w:eastAsia="仿宋" w:cs="仿宋"/>
          <w:b w:val="0"/>
          <w:bCs w:val="0"/>
        </w:rPr>
        <w:t>、起重机等设备操作人员）必须持有效证件，人证合一。机械操作人员必须身体健康，无妨碍安全操作的疾病（如心脏病、癫痫、色盲等）。严禁疲劳驾驶、酒后驾驶。现场机械设备作业及运输车辆工作必须严格遵守甲方安全管理要求，包括现场机械设备作业时必须配备专职人员进行旁站指挥，运输车辆工作时交通安全，过程中如因乙方违反安全驾驶、机械设备违规操作等原因产生的事故损失完全由乙方承担。</w:t>
      </w:r>
    </w:p>
    <w:p w14:paraId="4AC66838">
      <w:pPr>
        <w:pStyle w:val="7"/>
        <w:spacing w:before="0" w:beforeAutospacing="0" w:after="0" w:afterAutospacing="0" w:line="360" w:lineRule="auto"/>
        <w:ind w:firstLine="482" w:firstLineChars="200"/>
        <w:rPr>
          <w:rFonts w:ascii="仿宋" w:hAnsi="仿宋" w:eastAsia="仿宋"/>
        </w:rPr>
      </w:pPr>
      <w:r>
        <w:rPr>
          <w:rStyle w:val="11"/>
          <w:rFonts w:hint="eastAsia" w:ascii="仿宋" w:hAnsi="仿宋" w:eastAsia="仿宋" w:cs="仿宋"/>
        </w:rPr>
        <w:t>2、机械设备管理：</w:t>
      </w:r>
      <w:r>
        <w:rPr>
          <w:rFonts w:hint="eastAsia" w:ascii="仿宋" w:hAnsi="仿宋" w:eastAsia="仿宋"/>
        </w:rPr>
        <w:t>本项目所有机械设备（</w:t>
      </w:r>
      <w:r>
        <w:rPr>
          <w:rFonts w:hint="eastAsia" w:ascii="仿宋" w:hAnsi="仿宋" w:eastAsia="仿宋"/>
          <w:lang w:val="en-US" w:eastAsia="zh-CN"/>
        </w:rPr>
        <w:t>材料运输车辆、起重设备、叉车</w:t>
      </w:r>
      <w:r>
        <w:rPr>
          <w:rFonts w:hint="eastAsia" w:ascii="仿宋" w:hAnsi="仿宋" w:eastAsia="仿宋"/>
        </w:rPr>
        <w:t>等）必须已在国家相关部门注册登记，拥有有效的行驶证/登记证（</w:t>
      </w:r>
      <w:r>
        <w:rPr>
          <w:rFonts w:hint="eastAsia" w:ascii="仿宋" w:hAnsi="仿宋" w:eastAsia="仿宋"/>
          <w:lang w:val="en-US" w:eastAsia="zh-CN"/>
        </w:rPr>
        <w:t>运输</w:t>
      </w:r>
      <w:r>
        <w:rPr>
          <w:rFonts w:hint="eastAsia" w:ascii="仿宋" w:hAnsi="仿宋" w:eastAsia="仿宋"/>
        </w:rPr>
        <w:t>车</w:t>
      </w:r>
      <w:r>
        <w:rPr>
          <w:rFonts w:hint="eastAsia" w:ascii="仿宋" w:hAnsi="仿宋" w:eastAsia="仿宋"/>
          <w:lang w:val="en-US" w:eastAsia="zh-CN"/>
        </w:rPr>
        <w:t>辆</w:t>
      </w:r>
      <w:r>
        <w:rPr>
          <w:rFonts w:hint="eastAsia" w:ascii="仿宋" w:hAnsi="仿宋" w:eastAsia="仿宋"/>
        </w:rPr>
        <w:t>）等相关证件。</w:t>
      </w:r>
      <w:r>
        <w:rPr>
          <w:rFonts w:hint="eastAsia" w:ascii="MS Gothic" w:hAnsi="MS Gothic" w:eastAsia="MS Gothic" w:cs="MS Gothic"/>
        </w:rPr>
        <w:t>‌</w:t>
      </w:r>
      <w:r>
        <w:rPr>
          <w:rFonts w:hint="eastAsia" w:ascii="仿宋" w:hAnsi="仿宋" w:eastAsia="仿宋"/>
        </w:rPr>
        <w:t>如果涉及特种设备（如某些大型起重设备），必须持有有效的《特种设备使用登记证》和定期检验合格报告，相关操作作业人员也必须持有特种设备操作证（如涉及）、驾驶证等相关证件。</w:t>
      </w:r>
    </w:p>
    <w:p w14:paraId="5A2BC79D">
      <w:pPr>
        <w:pStyle w:val="7"/>
        <w:spacing w:line="360" w:lineRule="auto"/>
        <w:ind w:firstLine="482" w:firstLineChars="200"/>
        <w:rPr>
          <w:rStyle w:val="11"/>
          <w:rFonts w:hint="eastAsia" w:ascii="仿宋" w:hAnsi="仿宋" w:eastAsia="仿宋" w:cs="仿宋"/>
          <w:b w:val="0"/>
          <w:bCs w:val="0"/>
        </w:rPr>
      </w:pPr>
      <w:r>
        <w:rPr>
          <w:rStyle w:val="11"/>
          <w:rFonts w:hint="eastAsia" w:ascii="仿宋" w:hAnsi="仿宋" w:eastAsia="仿宋" w:cs="仿宋"/>
          <w:bCs w:val="0"/>
        </w:rPr>
        <w:t>3、文明施工管理：</w:t>
      </w:r>
      <w:r>
        <w:rPr>
          <w:rStyle w:val="11"/>
          <w:rFonts w:hint="eastAsia" w:ascii="仿宋" w:hAnsi="仿宋" w:eastAsia="仿宋" w:cs="仿宋"/>
          <w:b w:val="0"/>
          <w:bCs w:val="0"/>
        </w:rPr>
        <w:t>严格执行“工完场清”制度。</w:t>
      </w:r>
      <w:r>
        <w:rPr>
          <w:rStyle w:val="11"/>
          <w:rFonts w:hint="eastAsia" w:ascii="仿宋" w:hAnsi="仿宋" w:eastAsia="仿宋" w:cs="仿宋"/>
          <w:b w:val="0"/>
          <w:bCs w:val="0"/>
          <w:lang w:val="en-US" w:eastAsia="zh-CN"/>
        </w:rPr>
        <w:t>材料运输、转运、卸货等过程中产生的杂物垃圾在完成卸货后自行打扫清理外运</w:t>
      </w:r>
      <w:r>
        <w:rPr>
          <w:rStyle w:val="11"/>
          <w:rFonts w:hint="eastAsia" w:ascii="仿宋" w:hAnsi="仿宋" w:eastAsia="仿宋" w:cs="仿宋"/>
          <w:b w:val="0"/>
          <w:bCs w:val="0"/>
        </w:rPr>
        <w:t>。</w:t>
      </w:r>
    </w:p>
    <w:p w14:paraId="532D1DDE">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bCs w:val="0"/>
        </w:rPr>
        <w:t>4、环境保护</w:t>
      </w:r>
      <w:r>
        <w:rPr>
          <w:rStyle w:val="11"/>
          <w:rFonts w:hint="eastAsia" w:ascii="仿宋" w:hAnsi="仿宋" w:eastAsia="仿宋" w:cs="仿宋"/>
          <w:b w:val="0"/>
          <w:bCs w:val="0"/>
        </w:rPr>
        <w:t>：所有机械、车辆进出场都必须</w:t>
      </w:r>
      <w:r>
        <w:rPr>
          <w:rFonts w:ascii="仿宋" w:hAnsi="仿宋" w:eastAsia="仿宋" w:cs="Arial"/>
          <w:color w:val="272933"/>
          <w:shd w:val="clear" w:color="auto" w:fill="FFFFFF"/>
        </w:rPr>
        <w:t>冲洗干净</w:t>
      </w:r>
      <w:r>
        <w:rPr>
          <w:rFonts w:hint="eastAsia" w:ascii="仿宋" w:hAnsi="仿宋" w:eastAsia="仿宋" w:cs="Arial"/>
          <w:color w:val="272933"/>
          <w:shd w:val="clear" w:color="auto" w:fill="FFFFFF"/>
        </w:rPr>
        <w:t>，无泥土带出工地，防止道路污染</w:t>
      </w:r>
      <w:r>
        <w:rPr>
          <w:rStyle w:val="11"/>
          <w:rFonts w:hint="eastAsia" w:ascii="仿宋" w:hAnsi="仿宋" w:eastAsia="仿宋" w:cs="仿宋"/>
          <w:b w:val="0"/>
          <w:bCs w:val="0"/>
        </w:rPr>
        <w:t>。施工噪音控制严格执行《建筑施工场界环境噪声排放标准》GB12523，合理安排作业时间，避免夜间（22:00-6:00）高噪音作业。</w:t>
      </w:r>
    </w:p>
    <w:p w14:paraId="79510D70">
      <w:pPr>
        <w:pStyle w:val="3"/>
        <w:widowControl/>
        <w:spacing w:beforeAutospacing="0" w:line="360" w:lineRule="auto"/>
        <w:rPr>
          <w:rStyle w:val="11"/>
          <w:rFonts w:hint="default" w:ascii="仿宋" w:hAnsi="仿宋" w:eastAsia="仿宋" w:cs="仿宋"/>
          <w:b/>
          <w:bCs/>
          <w:sz w:val="28"/>
          <w:szCs w:val="28"/>
        </w:rPr>
      </w:pPr>
      <w:r>
        <w:rPr>
          <w:rStyle w:val="11"/>
          <w:rFonts w:hint="eastAsia" w:ascii="仿宋" w:hAnsi="仿宋" w:eastAsia="仿宋" w:cs="仿宋"/>
          <w:b/>
          <w:bCs/>
          <w:sz w:val="28"/>
          <w:szCs w:val="28"/>
          <w:lang w:val="en-US" w:eastAsia="zh-CN"/>
        </w:rPr>
        <w:t>五</w:t>
      </w:r>
      <w:r>
        <w:rPr>
          <w:rStyle w:val="11"/>
          <w:rFonts w:ascii="仿宋" w:hAnsi="仿宋" w:eastAsia="仿宋" w:cs="仿宋"/>
          <w:b/>
          <w:bCs/>
          <w:sz w:val="28"/>
          <w:szCs w:val="28"/>
        </w:rPr>
        <w:t>、施工配合要求</w:t>
      </w:r>
    </w:p>
    <w:bookmarkEnd w:id="0"/>
    <w:bookmarkEnd w:id="1"/>
    <w:p w14:paraId="1C5C7BC3">
      <w:pPr>
        <w:pStyle w:val="7"/>
        <w:spacing w:before="0" w:beforeAutospacing="0" w:after="0" w:afterAutospacing="0" w:line="360" w:lineRule="auto"/>
        <w:rPr>
          <w:rFonts w:hint="eastAsia" w:ascii="仿宋" w:hAnsi="仿宋" w:eastAsia="仿宋"/>
        </w:rPr>
      </w:pPr>
      <w:r>
        <w:rPr>
          <w:rFonts w:hint="eastAsia" w:ascii="仿宋" w:hAnsi="仿宋" w:eastAsia="仿宋"/>
        </w:rPr>
        <w:t>1、</w:t>
      </w:r>
      <w:r>
        <w:rPr>
          <w:rFonts w:hint="eastAsia" w:ascii="仿宋" w:hAnsi="仿宋" w:eastAsia="仿宋"/>
          <w:lang w:val="en-US" w:eastAsia="zh-CN"/>
        </w:rPr>
        <w:t>供货周期：</w:t>
      </w:r>
      <w:r>
        <w:rPr>
          <w:rFonts w:hint="eastAsia" w:ascii="仿宋" w:hAnsi="仿宋" w:eastAsia="仿宋"/>
        </w:rPr>
        <w:t>项目部下单，必须1</w:t>
      </w:r>
      <w:r>
        <w:rPr>
          <w:rFonts w:hint="eastAsia" w:ascii="仿宋" w:hAnsi="仿宋" w:eastAsia="仿宋"/>
          <w:lang w:val="en-US" w:eastAsia="zh-CN"/>
        </w:rPr>
        <w:t>5</w:t>
      </w:r>
      <w:r>
        <w:rPr>
          <w:rFonts w:hint="eastAsia" w:ascii="仿宋" w:hAnsi="仿宋" w:eastAsia="仿宋"/>
        </w:rPr>
        <w:t>天内到场，特殊情况需7天内进场；</w:t>
      </w:r>
    </w:p>
    <w:p w14:paraId="0118A22C">
      <w:pPr>
        <w:pStyle w:val="7"/>
        <w:spacing w:before="0" w:beforeAutospacing="0" w:after="0" w:afterAutospacing="0" w:line="360" w:lineRule="auto"/>
        <w:rPr>
          <w:rFonts w:hint="eastAsia" w:ascii="仿宋" w:hAnsi="仿宋" w:eastAsia="仿宋"/>
        </w:rPr>
      </w:pPr>
      <w:r>
        <w:rPr>
          <w:rFonts w:hint="eastAsia" w:ascii="仿宋" w:hAnsi="仿宋" w:eastAsia="仿宋"/>
        </w:rPr>
        <w:t>2、</w:t>
      </w:r>
      <w:r>
        <w:rPr>
          <w:rFonts w:hint="eastAsia" w:ascii="仿宋" w:hAnsi="仿宋" w:eastAsia="仿宋"/>
          <w:lang w:val="en-US" w:eastAsia="zh-CN"/>
        </w:rPr>
        <w:t>现场配合：</w:t>
      </w:r>
      <w:r>
        <w:rPr>
          <w:rFonts w:hint="eastAsia" w:ascii="仿宋" w:hAnsi="仿宋" w:eastAsia="仿宋"/>
        </w:rPr>
        <w:t>供应商无条件配合现场施工进度要求；</w:t>
      </w:r>
    </w:p>
    <w:p w14:paraId="72D152C6">
      <w:pPr>
        <w:pStyle w:val="7"/>
        <w:spacing w:before="0" w:beforeAutospacing="0" w:after="0" w:afterAutospacing="0" w:line="360" w:lineRule="auto"/>
        <w:rPr>
          <w:rFonts w:ascii="仿宋" w:hAnsi="仿宋" w:eastAsia="仿宋"/>
        </w:rPr>
      </w:pPr>
      <w:r>
        <w:rPr>
          <w:rFonts w:hint="eastAsia" w:ascii="仿宋" w:hAnsi="仿宋" w:eastAsia="仿宋"/>
        </w:rPr>
        <w:t>3、</w:t>
      </w:r>
      <w:r>
        <w:rPr>
          <w:rFonts w:ascii="仿宋" w:hAnsi="仿宋" w:eastAsia="仿宋"/>
        </w:rPr>
        <w:t>加工延迟：要求供应商分阶段提供加工进度照片（</w:t>
      </w:r>
      <w:r>
        <w:rPr>
          <w:rFonts w:hint="eastAsia" w:ascii="仿宋" w:hAnsi="仿宋" w:eastAsia="仿宋"/>
          <w:lang w:val="en-US" w:eastAsia="zh-CN"/>
        </w:rPr>
        <w:t>原料</w:t>
      </w:r>
      <w:r>
        <w:rPr>
          <w:rFonts w:ascii="仿宋" w:hAnsi="仿宋" w:eastAsia="仿宋"/>
        </w:rPr>
        <w:t>切割→</w:t>
      </w:r>
      <w:r>
        <w:rPr>
          <w:rFonts w:hint="eastAsia" w:ascii="仿宋" w:hAnsi="仿宋" w:eastAsia="仿宋"/>
          <w:lang w:val="en-US" w:eastAsia="zh-CN"/>
        </w:rPr>
        <w:t>焊接、折弯加工</w:t>
      </w:r>
      <w:r>
        <w:rPr>
          <w:rFonts w:ascii="仿宋" w:hAnsi="仿宋" w:eastAsia="仿宋"/>
        </w:rPr>
        <w:t>→</w:t>
      </w:r>
      <w:r>
        <w:rPr>
          <w:rFonts w:hint="eastAsia" w:ascii="仿宋" w:hAnsi="仿宋" w:eastAsia="仿宋"/>
          <w:lang w:val="en-US" w:eastAsia="zh-CN"/>
        </w:rPr>
        <w:t>上漆</w:t>
      </w:r>
      <w:r>
        <w:rPr>
          <w:rFonts w:ascii="仿宋" w:hAnsi="仿宋" w:eastAsia="仿宋"/>
        </w:rPr>
        <w:t>→</w:t>
      </w:r>
      <w:r>
        <w:rPr>
          <w:rFonts w:hint="eastAsia" w:ascii="仿宋" w:hAnsi="仿宋" w:eastAsia="仿宋"/>
          <w:lang w:val="en-US" w:eastAsia="zh-CN"/>
        </w:rPr>
        <w:t>防护</w:t>
      </w:r>
      <w:r>
        <w:rPr>
          <w:rFonts w:ascii="仿宋" w:hAnsi="仿宋" w:eastAsia="仿宋"/>
        </w:rPr>
        <w:t>→</w:t>
      </w:r>
      <w:r>
        <w:rPr>
          <w:rFonts w:hint="eastAsia" w:ascii="仿宋" w:hAnsi="仿宋" w:eastAsia="仿宋"/>
          <w:lang w:val="en-US" w:eastAsia="zh-CN"/>
        </w:rPr>
        <w:t>装车</w:t>
      </w:r>
      <w:r>
        <w:rPr>
          <w:rFonts w:ascii="仿宋" w:hAnsi="仿宋" w:eastAsia="仿宋"/>
        </w:rPr>
        <w:t>）；</w:t>
      </w:r>
    </w:p>
    <w:p w14:paraId="33868952">
      <w:pPr>
        <w:pStyle w:val="7"/>
        <w:spacing w:before="0" w:beforeAutospacing="0" w:after="0" w:afterAutospacing="0" w:line="360" w:lineRule="auto"/>
        <w:rPr>
          <w:rFonts w:ascii="仿宋" w:hAnsi="仿宋" w:eastAsia="仿宋"/>
        </w:rPr>
      </w:pPr>
      <w:r>
        <w:rPr>
          <w:rFonts w:hint="eastAsia" w:ascii="仿宋" w:hAnsi="仿宋" w:eastAsia="仿宋"/>
        </w:rPr>
        <w:t>4、</w:t>
      </w:r>
      <w:r>
        <w:rPr>
          <w:rFonts w:ascii="仿宋" w:hAnsi="仿宋" w:eastAsia="仿宋"/>
        </w:rPr>
        <w:t>质量异常：到场发现批量</w:t>
      </w:r>
      <w:r>
        <w:rPr>
          <w:rFonts w:hint="eastAsia" w:ascii="仿宋" w:hAnsi="仿宋" w:eastAsia="仿宋"/>
          <w:lang w:val="en-US" w:eastAsia="zh-CN"/>
        </w:rPr>
        <w:t>尺寸偏差、破损、变形等材料质量问题时</w:t>
      </w:r>
      <w:r>
        <w:rPr>
          <w:rFonts w:ascii="仿宋" w:hAnsi="仿宋" w:eastAsia="仿宋"/>
        </w:rPr>
        <w:t>，48小时内完成退换货；</w:t>
      </w:r>
    </w:p>
    <w:p w14:paraId="0F42888F">
      <w:pPr>
        <w:pStyle w:val="7"/>
        <w:spacing w:before="0" w:beforeAutospacing="0" w:after="0" w:afterAutospacing="0" w:line="360" w:lineRule="auto"/>
        <w:rPr>
          <w:rFonts w:ascii="仿宋" w:hAnsi="仿宋" w:eastAsia="仿宋"/>
        </w:rPr>
      </w:pPr>
      <w:r>
        <w:rPr>
          <w:rFonts w:hint="eastAsia" w:ascii="仿宋" w:hAnsi="仿宋" w:eastAsia="仿宋"/>
        </w:rPr>
        <w:t>5、</w:t>
      </w:r>
      <w:r>
        <w:rPr>
          <w:rFonts w:ascii="仿宋" w:hAnsi="仿宋" w:eastAsia="仿宋"/>
        </w:rPr>
        <w:t>供应商延迟到货：按合同价0.1%/天扣款，超3天启动应急采购；</w:t>
      </w:r>
    </w:p>
    <w:p w14:paraId="65FD33AE">
      <w:pPr>
        <w:pStyle w:val="7"/>
        <w:spacing w:before="0" w:beforeAutospacing="0" w:after="0" w:afterAutospacing="0" w:line="360" w:lineRule="auto"/>
        <w:rPr>
          <w:rFonts w:ascii="仿宋" w:hAnsi="仿宋" w:eastAsia="仿宋"/>
        </w:rPr>
      </w:pPr>
      <w:r>
        <w:rPr>
          <w:rFonts w:hint="eastAsia" w:ascii="仿宋" w:hAnsi="仿宋" w:eastAsia="仿宋"/>
        </w:rPr>
        <w:t>6、</w:t>
      </w:r>
      <w:r>
        <w:rPr>
          <w:rFonts w:ascii="仿宋" w:hAnsi="仿宋" w:eastAsia="仿宋"/>
        </w:rPr>
        <w:t>路线规划：提前勘察道路限高/限宽，夜间运输避开市区高峰；</w:t>
      </w:r>
    </w:p>
    <w:p w14:paraId="7D9B6379">
      <w:pPr>
        <w:pStyle w:val="7"/>
        <w:spacing w:before="0" w:beforeAutospacing="0" w:after="0" w:afterAutospacing="0" w:line="360" w:lineRule="auto"/>
        <w:rPr>
          <w:rFonts w:ascii="仿宋" w:hAnsi="仿宋" w:eastAsia="仿宋"/>
        </w:rPr>
      </w:pPr>
      <w:r>
        <w:rPr>
          <w:rFonts w:hint="eastAsia" w:ascii="仿宋" w:hAnsi="仿宋" w:eastAsia="仿宋"/>
        </w:rPr>
        <w:t>7、</w:t>
      </w:r>
      <w:r>
        <w:rPr>
          <w:rFonts w:ascii="仿宋" w:hAnsi="仿宋" w:eastAsia="仿宋"/>
        </w:rPr>
        <w:t>到货通知：提前24小时发送货车车牌号、司机电话、预计抵达时间、货物清单及发货照片。</w:t>
      </w:r>
    </w:p>
    <w:p w14:paraId="34E91A76">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8、材料照管：在货物移交给采购人并经采购人验收合格前，货物的损耗、毁损、灭失的风险和责任均由供应商自行承担。</w:t>
      </w:r>
    </w:p>
    <w:p w14:paraId="6EFDE7A8">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9、材料运输及卸货：材料运输及卸货过程中供应商需做好必要的材料的成品保护，材料到场后及时通知采购人进行材料验收，验收合格后安排人员、机械将材料进行卸货转运至指定地点。</w:t>
      </w:r>
    </w:p>
    <w:p w14:paraId="1847302E">
      <w:pPr>
        <w:pStyle w:val="7"/>
        <w:spacing w:before="0" w:beforeAutospacing="0" w:after="0" w:afterAutospacing="0" w:line="360" w:lineRule="auto"/>
        <w:rPr>
          <w:rFonts w:hint="default" w:ascii="仿宋" w:hAnsi="仿宋" w:eastAsia="仿宋"/>
          <w:lang w:val="en-US" w:eastAsia="zh-CN"/>
        </w:rPr>
      </w:pPr>
      <w:r>
        <w:rPr>
          <w:rFonts w:hint="eastAsia" w:ascii="仿宋" w:hAnsi="仿宋" w:eastAsia="仿宋"/>
          <w:lang w:val="en-US" w:eastAsia="zh-CN"/>
        </w:rPr>
        <w:t>10、选型定样和材料检测：合同签订后供应商必须配合采购人7天内完成各品种、规格材料选型送样，无条件配合直至最终项目甲方、监理、设计验收合格签字确认。工程实施过程中也必须根据项目的检测方案无条件配合材料送检并保证合格。</w:t>
      </w:r>
    </w:p>
    <w:p w14:paraId="1BE8C50F">
      <w:pPr>
        <w:pStyle w:val="7"/>
        <w:spacing w:before="0" w:beforeAutospacing="0" w:after="0" w:afterAutospacing="0" w:line="360" w:lineRule="auto"/>
        <w:rPr>
          <w:rFonts w:hint="eastAsia" w:ascii="仿宋" w:hAnsi="仿宋" w:eastAsia="仿宋"/>
          <w:lang w:val="en-US" w:eastAsia="zh-CN"/>
        </w:rPr>
      </w:pPr>
    </w:p>
    <w:p w14:paraId="44EEB6CB">
      <w:pPr>
        <w:pStyle w:val="7"/>
        <w:spacing w:before="0" w:beforeAutospacing="0" w:after="0" w:afterAutospacing="0" w:line="360" w:lineRule="auto"/>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09767F"/>
    <w:multiLevelType w:val="singleLevel"/>
    <w:tmpl w:val="8009767F"/>
    <w:lvl w:ilvl="0" w:tentative="0">
      <w:start w:val="1"/>
      <w:numFmt w:val="bullet"/>
      <w:lvlText w:val=""/>
      <w:lvlJc w:val="left"/>
      <w:pPr>
        <w:ind w:left="420" w:hanging="420"/>
      </w:pPr>
      <w:rPr>
        <w:rFonts w:hint="default" w:ascii="Wingdings" w:hAnsi="Wingdings"/>
      </w:rPr>
    </w:lvl>
  </w:abstractNum>
  <w:abstractNum w:abstractNumId="1">
    <w:nsid w:val="A2A3F392"/>
    <w:multiLevelType w:val="singleLevel"/>
    <w:tmpl w:val="A2A3F392"/>
    <w:lvl w:ilvl="0" w:tentative="0">
      <w:start w:val="1"/>
      <w:numFmt w:val="bullet"/>
      <w:lvlText w:val=""/>
      <w:lvlJc w:val="left"/>
      <w:pPr>
        <w:ind w:left="420" w:hanging="420"/>
      </w:pPr>
      <w:rPr>
        <w:rFonts w:hint="default" w:ascii="Wingdings" w:hAnsi="Wingdings"/>
      </w:rPr>
    </w:lvl>
  </w:abstractNum>
  <w:abstractNum w:abstractNumId="2">
    <w:nsid w:val="BE31566C"/>
    <w:multiLevelType w:val="singleLevel"/>
    <w:tmpl w:val="BE31566C"/>
    <w:lvl w:ilvl="0" w:tentative="0">
      <w:start w:val="4"/>
      <w:numFmt w:val="decimal"/>
      <w:suff w:val="nothing"/>
      <w:lvlText w:val="%1、"/>
      <w:lvlJc w:val="left"/>
    </w:lvl>
  </w:abstractNum>
  <w:abstractNum w:abstractNumId="3">
    <w:nsid w:val="BEC0BE93"/>
    <w:multiLevelType w:val="singleLevel"/>
    <w:tmpl w:val="BEC0BE93"/>
    <w:lvl w:ilvl="0" w:tentative="0">
      <w:start w:val="1"/>
      <w:numFmt w:val="bullet"/>
      <w:lvlText w:val=""/>
      <w:lvlJc w:val="left"/>
      <w:pPr>
        <w:ind w:left="420" w:hanging="420"/>
      </w:pPr>
      <w:rPr>
        <w:rFonts w:hint="default" w:ascii="Wingdings" w:hAnsi="Wingdings"/>
      </w:rPr>
    </w:lvl>
  </w:abstractNum>
  <w:abstractNum w:abstractNumId="4">
    <w:nsid w:val="D0393750"/>
    <w:multiLevelType w:val="singleLevel"/>
    <w:tmpl w:val="D0393750"/>
    <w:lvl w:ilvl="0" w:tentative="0">
      <w:start w:val="1"/>
      <w:numFmt w:val="bullet"/>
      <w:lvlText w:val=""/>
      <w:lvlJc w:val="left"/>
      <w:pPr>
        <w:ind w:left="420" w:hanging="420"/>
      </w:pPr>
      <w:rPr>
        <w:rFonts w:hint="default" w:ascii="Wingdings" w:hAnsi="Wingdings"/>
      </w:rPr>
    </w:lvl>
  </w:abstractNum>
  <w:abstractNum w:abstractNumId="5">
    <w:nsid w:val="FE21D207"/>
    <w:multiLevelType w:val="singleLevel"/>
    <w:tmpl w:val="FE21D207"/>
    <w:lvl w:ilvl="0" w:tentative="0">
      <w:start w:val="1"/>
      <w:numFmt w:val="bullet"/>
      <w:lvlText w:val=""/>
      <w:lvlJc w:val="left"/>
      <w:pPr>
        <w:ind w:left="420" w:hanging="420"/>
      </w:pPr>
      <w:rPr>
        <w:rFonts w:hint="default" w:ascii="Wingdings" w:hAnsi="Wingdings"/>
      </w:rPr>
    </w:lvl>
  </w:abstractNum>
  <w:abstractNum w:abstractNumId="6">
    <w:nsid w:val="0402C479"/>
    <w:multiLevelType w:val="singleLevel"/>
    <w:tmpl w:val="0402C479"/>
    <w:lvl w:ilvl="0" w:tentative="0">
      <w:start w:val="1"/>
      <w:numFmt w:val="bullet"/>
      <w:lvlText w:val=""/>
      <w:lvlJc w:val="left"/>
      <w:pPr>
        <w:ind w:left="420" w:hanging="420"/>
      </w:pPr>
      <w:rPr>
        <w:rFonts w:hint="default" w:ascii="Wingdings" w:hAnsi="Wingdings"/>
      </w:rPr>
    </w:lvl>
  </w:abstractNum>
  <w:num w:numId="1">
    <w:abstractNumId w:val="1"/>
  </w:num>
  <w:num w:numId="2">
    <w:abstractNumId w:val="3"/>
  </w:num>
  <w:num w:numId="3">
    <w:abstractNumId w:val="2"/>
  </w:num>
  <w:num w:numId="4">
    <w:abstractNumId w:val="4"/>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D5B"/>
    <w:rsid w:val="000064C5"/>
    <w:rsid w:val="000264FE"/>
    <w:rsid w:val="000323AB"/>
    <w:rsid w:val="000722DB"/>
    <w:rsid w:val="00086275"/>
    <w:rsid w:val="000E4CB1"/>
    <w:rsid w:val="000F2BB9"/>
    <w:rsid w:val="000F369B"/>
    <w:rsid w:val="00124AF1"/>
    <w:rsid w:val="0012534E"/>
    <w:rsid w:val="00136D61"/>
    <w:rsid w:val="001378AF"/>
    <w:rsid w:val="00185134"/>
    <w:rsid w:val="00191122"/>
    <w:rsid w:val="001B0CF8"/>
    <w:rsid w:val="001D6D5C"/>
    <w:rsid w:val="001F2A1C"/>
    <w:rsid w:val="00216324"/>
    <w:rsid w:val="00235C18"/>
    <w:rsid w:val="002425CE"/>
    <w:rsid w:val="002D10A6"/>
    <w:rsid w:val="00326FF9"/>
    <w:rsid w:val="00352A0A"/>
    <w:rsid w:val="0037692F"/>
    <w:rsid w:val="003B6F40"/>
    <w:rsid w:val="003E2E43"/>
    <w:rsid w:val="003E4701"/>
    <w:rsid w:val="0046074E"/>
    <w:rsid w:val="00486014"/>
    <w:rsid w:val="004B4B28"/>
    <w:rsid w:val="004C5E17"/>
    <w:rsid w:val="004F170C"/>
    <w:rsid w:val="00516990"/>
    <w:rsid w:val="005923A5"/>
    <w:rsid w:val="005B5964"/>
    <w:rsid w:val="0062192F"/>
    <w:rsid w:val="00630DA8"/>
    <w:rsid w:val="00654478"/>
    <w:rsid w:val="00672139"/>
    <w:rsid w:val="006A7F96"/>
    <w:rsid w:val="006B204B"/>
    <w:rsid w:val="006B6E0A"/>
    <w:rsid w:val="006C762D"/>
    <w:rsid w:val="006D4FB8"/>
    <w:rsid w:val="006E131A"/>
    <w:rsid w:val="006F5757"/>
    <w:rsid w:val="006F67C2"/>
    <w:rsid w:val="00717FDD"/>
    <w:rsid w:val="007829AA"/>
    <w:rsid w:val="007E7F97"/>
    <w:rsid w:val="0082146A"/>
    <w:rsid w:val="00827F4B"/>
    <w:rsid w:val="008464FF"/>
    <w:rsid w:val="00852BD2"/>
    <w:rsid w:val="0085450D"/>
    <w:rsid w:val="00893CFC"/>
    <w:rsid w:val="008D2FC5"/>
    <w:rsid w:val="008D4FD8"/>
    <w:rsid w:val="00912145"/>
    <w:rsid w:val="00920412"/>
    <w:rsid w:val="009D2AC5"/>
    <w:rsid w:val="00A31730"/>
    <w:rsid w:val="00A54748"/>
    <w:rsid w:val="00A7697F"/>
    <w:rsid w:val="00AA4DEF"/>
    <w:rsid w:val="00AA7C5B"/>
    <w:rsid w:val="00AC3F9D"/>
    <w:rsid w:val="00AD5D11"/>
    <w:rsid w:val="00AF0B17"/>
    <w:rsid w:val="00B02FD5"/>
    <w:rsid w:val="00B0440A"/>
    <w:rsid w:val="00B33B37"/>
    <w:rsid w:val="00B44603"/>
    <w:rsid w:val="00B87DF7"/>
    <w:rsid w:val="00BB52D1"/>
    <w:rsid w:val="00BE54E2"/>
    <w:rsid w:val="00C136B6"/>
    <w:rsid w:val="00C13A0D"/>
    <w:rsid w:val="00C15281"/>
    <w:rsid w:val="00C21EFF"/>
    <w:rsid w:val="00C27C37"/>
    <w:rsid w:val="00C52062"/>
    <w:rsid w:val="00C5307E"/>
    <w:rsid w:val="00CB1153"/>
    <w:rsid w:val="00CE60E4"/>
    <w:rsid w:val="00D13746"/>
    <w:rsid w:val="00D3242E"/>
    <w:rsid w:val="00D41D5B"/>
    <w:rsid w:val="00D60186"/>
    <w:rsid w:val="00DF04C7"/>
    <w:rsid w:val="00DF1C21"/>
    <w:rsid w:val="00E1166C"/>
    <w:rsid w:val="00E67EAE"/>
    <w:rsid w:val="00E862C5"/>
    <w:rsid w:val="00E95C77"/>
    <w:rsid w:val="00EC4B0F"/>
    <w:rsid w:val="00F03E80"/>
    <w:rsid w:val="00F402FA"/>
    <w:rsid w:val="00F45C11"/>
    <w:rsid w:val="00F51507"/>
    <w:rsid w:val="00F612A9"/>
    <w:rsid w:val="00F77B37"/>
    <w:rsid w:val="00F8764A"/>
    <w:rsid w:val="00FD4393"/>
    <w:rsid w:val="00FE0222"/>
    <w:rsid w:val="00FE1BD5"/>
    <w:rsid w:val="00FF4C2D"/>
    <w:rsid w:val="0C290216"/>
    <w:rsid w:val="0DF239EF"/>
    <w:rsid w:val="114D160A"/>
    <w:rsid w:val="14A22215"/>
    <w:rsid w:val="2509060C"/>
    <w:rsid w:val="2EA20D1C"/>
    <w:rsid w:val="363863F5"/>
    <w:rsid w:val="3E75078E"/>
    <w:rsid w:val="454750F0"/>
    <w:rsid w:val="49757370"/>
    <w:rsid w:val="63D76E38"/>
    <w:rsid w:val="68965CF7"/>
    <w:rsid w:val="70C0247E"/>
    <w:rsid w:val="78595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paragraph" w:styleId="3">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link w:val="14"/>
    <w:semiHidden/>
    <w:unhideWhenUsed/>
    <w:qFormat/>
    <w:uiPriority w:val="9"/>
    <w:pPr>
      <w:keepNext/>
      <w:keepLines/>
      <w:spacing w:before="260" w:after="260" w:line="416" w:lineRule="auto"/>
      <w:outlineLvl w:val="2"/>
    </w:pPr>
    <w:rPr>
      <w:b/>
      <w:bCs/>
      <w:sz w:val="32"/>
      <w:szCs w:val="32"/>
    </w:rPr>
  </w:style>
  <w:style w:type="paragraph" w:styleId="5">
    <w:name w:val="heading 4"/>
    <w:basedOn w:val="1"/>
    <w:link w:val="13"/>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5"/>
    <w:semiHidden/>
    <w:unhideWhenUsed/>
    <w:qFormat/>
    <w:uiPriority w:val="99"/>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bCs/>
    </w:rPr>
  </w:style>
  <w:style w:type="paragraph" w:styleId="12">
    <w:name w:val="List Paragraph"/>
    <w:basedOn w:val="1"/>
    <w:qFormat/>
    <w:uiPriority w:val="34"/>
    <w:pPr>
      <w:ind w:firstLine="420" w:firstLineChars="200"/>
    </w:pPr>
  </w:style>
  <w:style w:type="character" w:customStyle="1" w:styleId="13">
    <w:name w:val="标题 4 Char"/>
    <w:basedOn w:val="10"/>
    <w:link w:val="5"/>
    <w:qFormat/>
    <w:uiPriority w:val="9"/>
    <w:rPr>
      <w:rFonts w:ascii="宋体" w:hAnsi="宋体" w:eastAsia="宋体" w:cs="宋体"/>
      <w:b/>
      <w:bCs/>
      <w:kern w:val="0"/>
      <w:sz w:val="24"/>
      <w:szCs w:val="24"/>
    </w:rPr>
  </w:style>
  <w:style w:type="character" w:customStyle="1" w:styleId="14">
    <w:name w:val="标题 3 Char"/>
    <w:basedOn w:val="10"/>
    <w:link w:val="4"/>
    <w:semiHidden/>
    <w:qFormat/>
    <w:uiPriority w:val="9"/>
    <w:rPr>
      <w:b/>
      <w:bCs/>
      <w:sz w:val="32"/>
      <w:szCs w:val="32"/>
    </w:rPr>
  </w:style>
  <w:style w:type="character" w:customStyle="1" w:styleId="15">
    <w:name w:val="批注框文本 Char"/>
    <w:basedOn w:val="10"/>
    <w:link w:val="6"/>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9A05A1-2D50-4C0B-8057-398231BEE3AD}">
  <ds:schemaRefs/>
</ds:datastoreItem>
</file>

<file path=docProps/app.xml><?xml version="1.0" encoding="utf-8"?>
<Properties xmlns="http://schemas.openxmlformats.org/officeDocument/2006/extended-properties" xmlns:vt="http://schemas.openxmlformats.org/officeDocument/2006/docPropsVTypes">
  <Template>Normal</Template>
  <Pages>6</Pages>
  <Words>3318</Words>
  <Characters>3920</Characters>
  <Lines>37</Lines>
  <Paragraphs>10</Paragraphs>
  <TotalTime>0</TotalTime>
  <ScaleCrop>false</ScaleCrop>
  <LinksUpToDate>false</LinksUpToDate>
  <CharactersWithSpaces>3962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2025-06-17T07:22:00Z</dcterms:created>
  <dc:creator>admin</dc:creator>
  <cp:lastModifiedBy>Lenovo</cp:lastModifiedBy>
  <cp:lastPrinted>2025-07-11T09:29:00Z</cp:lastPrinted>
  <dcterms:modified xsi:type="dcterms:W3CDTF">2025-09-11T07:38:15Z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eyJoZGlkIjoiYmRhODFmNzRmN2ZlNjc1OGE0YWUxNWEzMmNlMTZlZGUiLCJ1c2VySWQiOiIzNDgwMDA2NDgifQ==</vt:lpwstr>
  </property>
  <property fmtid="{D5CDD505-2E9C-101B-9397-08002B2CF9AE}" pid="3" name="KSOProductBuildVer">
    <vt:lpwstr>2052-12.1.0.22529</vt:lpwstr>
  </property>
  <property fmtid="{D5CDD505-2E9C-101B-9397-08002B2CF9AE}" pid="4" name="ICV">
    <vt:lpwstr>8367BC67ED624A2F850087B2C8490984_12</vt:lpwstr>
  </property>
</Properties>
</file>