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0BA3F">
      <w:pPr>
        <w:jc w:val="center"/>
        <w:rPr>
          <w:rFonts w:ascii="仿宋" w:hAnsi="仿宋" w:eastAsia="仿宋" w:cs="仿宋"/>
          <w:b/>
          <w:sz w:val="36"/>
          <w:szCs w:val="36"/>
        </w:rPr>
      </w:pPr>
      <w:bookmarkStart w:id="0" w:name="OLE_LINK2"/>
      <w:bookmarkStart w:id="1" w:name="OLE_LINK1"/>
      <w:r>
        <w:rPr>
          <w:rFonts w:hint="eastAsia" w:ascii="仿宋" w:hAnsi="仿宋" w:eastAsia="仿宋" w:cs="仿宋"/>
          <w:b/>
          <w:sz w:val="36"/>
          <w:szCs w:val="36"/>
          <w:lang w:val="en-US" w:eastAsia="zh-CN"/>
        </w:rPr>
        <w:t>钢筋材料</w:t>
      </w:r>
      <w:r>
        <w:rPr>
          <w:rFonts w:hint="eastAsia" w:ascii="仿宋" w:hAnsi="仿宋" w:eastAsia="仿宋" w:cs="仿宋"/>
          <w:b/>
          <w:sz w:val="36"/>
          <w:szCs w:val="36"/>
        </w:rPr>
        <w:t>采购用户需求书</w:t>
      </w:r>
    </w:p>
    <w:p w14:paraId="54F00727">
      <w:pPr>
        <w:pStyle w:val="3"/>
        <w:widowControl/>
        <w:spacing w:beforeAutospacing="0"/>
        <w:rPr>
          <w:rFonts w:hint="default" w:ascii="仿宋" w:hAnsi="仿宋" w:eastAsia="仿宋" w:cs="仿宋"/>
          <w:sz w:val="28"/>
          <w:szCs w:val="28"/>
        </w:rPr>
      </w:pPr>
      <w:r>
        <w:rPr>
          <w:rStyle w:val="11"/>
          <w:rFonts w:ascii="仿宋" w:hAnsi="仿宋" w:eastAsia="仿宋" w:cs="仿宋"/>
          <w:b/>
          <w:bCs/>
          <w:sz w:val="28"/>
          <w:szCs w:val="28"/>
        </w:rPr>
        <w:t>一、工程概况</w:t>
      </w:r>
    </w:p>
    <w:p w14:paraId="48CF91FD">
      <w:pPr>
        <w:pStyle w:val="7"/>
        <w:spacing w:before="0" w:beforeAutospacing="0" w:after="0" w:afterAutospacing="0" w:line="360" w:lineRule="auto"/>
        <w:ind w:firstLine="482" w:firstLineChars="200"/>
        <w:rPr>
          <w:rFonts w:ascii="仿宋" w:hAnsi="仿宋" w:eastAsia="仿宋" w:cs="仿宋"/>
        </w:rPr>
      </w:pPr>
      <w:r>
        <w:rPr>
          <w:rStyle w:val="11"/>
          <w:rFonts w:hint="eastAsia" w:ascii="仿宋" w:hAnsi="仿宋" w:eastAsia="仿宋" w:cs="仿宋"/>
          <w:lang w:val="en-US" w:eastAsia="zh-CN"/>
        </w:rPr>
        <w:t>材料供应工程地点</w:t>
      </w:r>
      <w:r>
        <w:rPr>
          <w:rFonts w:hint="eastAsia" w:ascii="仿宋" w:hAnsi="仿宋" w:eastAsia="仿宋" w:cs="仿宋"/>
        </w:rPr>
        <w:t>：东莞市石龙镇产业基地配套路网交通综合整治项目-外环连接线工程</w:t>
      </w:r>
      <w:r>
        <w:rPr>
          <w:rFonts w:hint="eastAsia" w:ascii="仿宋" w:hAnsi="仿宋" w:eastAsia="仿宋" w:cs="仿宋"/>
          <w:lang w:val="en-US" w:eastAsia="zh-CN"/>
        </w:rPr>
        <w:t>项目</w:t>
      </w:r>
      <w:r>
        <w:rPr>
          <w:rFonts w:hint="eastAsia" w:ascii="仿宋" w:hAnsi="仿宋" w:eastAsia="仿宋" w:cs="仿宋"/>
          <w:lang w:eastAsia="zh-CN"/>
        </w:rPr>
        <w:t>（</w:t>
      </w:r>
      <w:r>
        <w:rPr>
          <w:rFonts w:hint="eastAsia" w:ascii="仿宋" w:hAnsi="仿宋" w:eastAsia="仿宋" w:cs="仿宋"/>
          <w:lang w:val="en-US" w:eastAsia="zh-CN"/>
        </w:rPr>
        <w:t>东莞市石龙镇</w:t>
      </w:r>
      <w:r>
        <w:rPr>
          <w:rFonts w:hint="eastAsia" w:ascii="仿宋" w:hAnsi="仿宋" w:eastAsia="仿宋" w:cs="仿宋"/>
          <w:lang w:eastAsia="zh-CN"/>
        </w:rPr>
        <w:t>）</w:t>
      </w:r>
      <w:r>
        <w:rPr>
          <w:rFonts w:hint="eastAsia" w:ascii="仿宋" w:hAnsi="仿宋" w:eastAsia="仿宋" w:cs="仿宋"/>
        </w:rPr>
        <w:t>。</w:t>
      </w:r>
    </w:p>
    <w:p w14:paraId="6D4FE416">
      <w:pPr>
        <w:pStyle w:val="7"/>
        <w:spacing w:before="0" w:beforeAutospacing="0" w:after="0" w:afterAutospacing="0" w:line="360" w:lineRule="auto"/>
        <w:ind w:firstLine="482" w:firstLineChars="200"/>
        <w:rPr>
          <w:rFonts w:hint="eastAsia" w:ascii="仿宋" w:hAnsi="仿宋" w:eastAsia="仿宋" w:cs="仿宋"/>
        </w:rPr>
      </w:pPr>
      <w:r>
        <w:rPr>
          <w:rStyle w:val="11"/>
          <w:rFonts w:hint="eastAsia" w:ascii="仿宋" w:hAnsi="仿宋" w:eastAsia="仿宋" w:cs="仿宋"/>
          <w:lang w:val="en-US" w:eastAsia="zh-CN"/>
        </w:rPr>
        <w:t>材料供应</w:t>
      </w:r>
      <w:r>
        <w:rPr>
          <w:rStyle w:val="11"/>
          <w:rFonts w:hint="eastAsia" w:ascii="仿宋" w:hAnsi="仿宋" w:eastAsia="仿宋" w:cs="仿宋"/>
        </w:rPr>
        <w:t>内容</w:t>
      </w:r>
      <w:r>
        <w:rPr>
          <w:rFonts w:hint="eastAsia" w:ascii="仿宋" w:hAnsi="仿宋" w:eastAsia="仿宋" w:cs="仿宋"/>
        </w:rPr>
        <w:t>：</w:t>
      </w:r>
      <w:bookmarkStart w:id="2" w:name="OLE_LINK23"/>
      <w:bookmarkStart w:id="3" w:name="OLE_LINK24"/>
      <w:bookmarkStart w:id="4" w:name="OLE_LINK13"/>
      <w:bookmarkStart w:id="5" w:name="OLE_LINK14"/>
    </w:p>
    <w:tbl>
      <w:tblPr>
        <w:tblStyle w:val="8"/>
        <w:tblW w:w="79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54"/>
        <w:gridCol w:w="2634"/>
        <w:gridCol w:w="1304"/>
        <w:gridCol w:w="1718"/>
        <w:gridCol w:w="1455"/>
      </w:tblGrid>
      <w:tr w14:paraId="2B187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A076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26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BEA4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2380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w:t>
            </w:r>
          </w:p>
        </w:tc>
        <w:tc>
          <w:tcPr>
            <w:tcW w:w="1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426C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规格、型号</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466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数量（暂定）</w:t>
            </w:r>
          </w:p>
        </w:tc>
      </w:tr>
      <w:tr w14:paraId="6D2A6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04F9E">
            <w:pPr>
              <w:jc w:val="center"/>
              <w:rPr>
                <w:rFonts w:hint="eastAsia" w:ascii="宋体" w:hAnsi="宋体" w:eastAsia="宋体" w:cs="宋体"/>
                <w:i w:val="0"/>
                <w:iCs w:val="0"/>
                <w:color w:val="000000"/>
                <w:sz w:val="20"/>
                <w:szCs w:val="20"/>
                <w:u w:val="none"/>
              </w:rPr>
            </w:pPr>
          </w:p>
        </w:tc>
        <w:tc>
          <w:tcPr>
            <w:tcW w:w="26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609754">
            <w:pPr>
              <w:jc w:val="center"/>
              <w:rPr>
                <w:rFonts w:hint="eastAsia" w:ascii="宋体" w:hAnsi="宋体" w:eastAsia="宋体" w:cs="宋体"/>
                <w:i w:val="0"/>
                <w:iCs w:val="0"/>
                <w:color w:val="000000"/>
                <w:sz w:val="20"/>
                <w:szCs w:val="20"/>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99973">
            <w:pPr>
              <w:jc w:val="center"/>
              <w:rPr>
                <w:rFonts w:hint="eastAsia" w:ascii="宋体" w:hAnsi="宋体" w:eastAsia="宋体" w:cs="宋体"/>
                <w:i w:val="0"/>
                <w:iCs w:val="0"/>
                <w:color w:val="000000"/>
                <w:sz w:val="20"/>
                <w:szCs w:val="20"/>
                <w:u w:val="none"/>
              </w:rPr>
            </w:pPr>
          </w:p>
        </w:tc>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697AC">
            <w:pPr>
              <w:jc w:val="center"/>
              <w:rPr>
                <w:rFonts w:hint="eastAsia" w:ascii="宋体" w:hAnsi="宋体" w:eastAsia="宋体" w:cs="宋体"/>
                <w:i w:val="0"/>
                <w:iCs w:val="0"/>
                <w:color w:val="000000"/>
                <w:sz w:val="20"/>
                <w:szCs w:val="20"/>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FD1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3FC8F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E39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9CE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圆钢</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F2C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HPB300</w:t>
            </w:r>
          </w:p>
        </w:tc>
        <w:tc>
          <w:tcPr>
            <w:tcW w:w="1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844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φ6盘钢</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7FD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27.988 </w:t>
            </w:r>
          </w:p>
        </w:tc>
      </w:tr>
      <w:tr w14:paraId="6AD04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F70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355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圆钢</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EA7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HPB300</w:t>
            </w:r>
          </w:p>
        </w:tc>
        <w:tc>
          <w:tcPr>
            <w:tcW w:w="1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FB4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φ8-10盘钢</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475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19.390 </w:t>
            </w:r>
          </w:p>
        </w:tc>
      </w:tr>
      <w:tr w14:paraId="23D5D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C6D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8D6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三级螺纹钢筋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4B7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HRB400E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F99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φ12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210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0.913 </w:t>
            </w:r>
          </w:p>
        </w:tc>
      </w:tr>
      <w:tr w14:paraId="52ED8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949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1B2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三级螺纹钢筋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39A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HRB400E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D5B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φ14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8B6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3.868 </w:t>
            </w:r>
          </w:p>
        </w:tc>
      </w:tr>
      <w:tr w14:paraId="2D654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2CC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C89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三级螺纹钢筋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9D1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HRB400E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D82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φ16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63F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3.112 </w:t>
            </w:r>
          </w:p>
        </w:tc>
      </w:tr>
      <w:tr w14:paraId="6F7AC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FC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781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三级螺纹钢筋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8C8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HRB400E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6D5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φ18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F5F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0.064 </w:t>
            </w:r>
          </w:p>
        </w:tc>
      </w:tr>
      <w:tr w14:paraId="49F4A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A4F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583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三级螺纹钢筋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B59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HRB400E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C51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φ20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F21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0.064 </w:t>
            </w:r>
          </w:p>
        </w:tc>
      </w:tr>
      <w:tr w14:paraId="2EC25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14E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A42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三级螺纹钢筋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B96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HRB400E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F4D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φ22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4DB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0.064 </w:t>
            </w:r>
          </w:p>
        </w:tc>
      </w:tr>
      <w:tr w14:paraId="30729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09C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A65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三级螺纹钢筋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2B7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HRB400E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9EC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φ25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339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0.798 </w:t>
            </w:r>
          </w:p>
        </w:tc>
      </w:tr>
      <w:tr w14:paraId="76659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9B0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520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三级螺纹钢筋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03A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HRB400E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26E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φ28-32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01B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6.726 </w:t>
            </w:r>
          </w:p>
        </w:tc>
      </w:tr>
      <w:tr w14:paraId="34380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4F4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1A852">
            <w:pPr>
              <w:keepNext w:val="0"/>
              <w:keepLines w:val="0"/>
              <w:widowControl/>
              <w:suppressLineNumbers w:val="0"/>
              <w:jc w:val="center"/>
              <w:textAlignment w:val="center"/>
              <w:rPr>
                <w:rFonts w:ascii="??" w:hAnsi="??" w:eastAsia="??" w:cs="??"/>
                <w:i w:val="0"/>
                <w:iCs w:val="0"/>
                <w:color w:val="000000"/>
                <w:sz w:val="18"/>
                <w:szCs w:val="18"/>
                <w:u w:val="none"/>
              </w:rPr>
            </w:pPr>
            <w:r>
              <w:rPr>
                <w:rFonts w:hint="default" w:ascii="??" w:hAnsi="??" w:eastAsia="??" w:cs="??"/>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46E9E">
            <w:pPr>
              <w:jc w:val="center"/>
              <w:rPr>
                <w:rFonts w:hint="default" w:ascii="??" w:hAnsi="??" w:eastAsia="??" w: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A75DB1">
            <w:pPr>
              <w:jc w:val="left"/>
              <w:rPr>
                <w:rFonts w:hint="default" w:ascii="??" w:hAnsi="??" w:eastAsia="??" w:cs="??"/>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121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62.987 </w:t>
            </w:r>
          </w:p>
        </w:tc>
      </w:tr>
    </w:tbl>
    <w:p w14:paraId="680EAC63">
      <w:pPr>
        <w:pStyle w:val="7"/>
        <w:spacing w:before="0" w:beforeAutospacing="0" w:after="0" w:afterAutospacing="0" w:line="360" w:lineRule="auto"/>
        <w:ind w:firstLine="480" w:firstLineChars="200"/>
        <w:rPr>
          <w:rFonts w:hint="eastAsia" w:ascii="仿宋" w:hAnsi="仿宋" w:eastAsia="仿宋" w:cs="仿宋"/>
        </w:rPr>
      </w:pPr>
    </w:p>
    <w:bookmarkEnd w:id="2"/>
    <w:bookmarkEnd w:id="3"/>
    <w:p w14:paraId="0065C89D">
      <w:pPr>
        <w:pStyle w:val="7"/>
        <w:spacing w:before="0" w:beforeAutospacing="0" w:after="0" w:afterAutospacing="0" w:line="360" w:lineRule="auto"/>
        <w:rPr>
          <w:rFonts w:ascii="仿宋" w:hAnsi="仿宋" w:eastAsia="仿宋" w:cs="仿宋"/>
        </w:rPr>
      </w:pPr>
      <w:r>
        <w:rPr>
          <w:rFonts w:hint="eastAsia" w:ascii="仿宋" w:hAnsi="仿宋" w:eastAsia="仿宋" w:cs="仿宋"/>
          <w:b/>
        </w:rPr>
        <w:t>完整具体工程量和施工内容以招标清单和项目进场后</w:t>
      </w:r>
      <w:r>
        <w:rPr>
          <w:rFonts w:hint="eastAsia" w:ascii="仿宋" w:hAnsi="仿宋" w:eastAsia="仿宋" w:cs="仿宋"/>
          <w:b/>
          <w:lang w:val="en-US" w:eastAsia="zh-CN"/>
        </w:rPr>
        <w:t>下发的采购单</w:t>
      </w:r>
      <w:r>
        <w:rPr>
          <w:rFonts w:hint="eastAsia" w:ascii="仿宋" w:hAnsi="仿宋" w:eastAsia="仿宋" w:cs="仿宋"/>
          <w:b/>
        </w:rPr>
        <w:t>为准。</w:t>
      </w:r>
    </w:p>
    <w:bookmarkEnd w:id="4"/>
    <w:bookmarkEnd w:id="5"/>
    <w:p w14:paraId="3BB2476F">
      <w:pPr>
        <w:pStyle w:val="7"/>
        <w:spacing w:before="0" w:beforeAutospacing="0" w:after="60" w:afterAutospacing="0" w:line="360" w:lineRule="auto"/>
        <w:rPr>
          <w:rFonts w:hint="eastAsia" w:ascii="仿宋" w:hAnsi="仿宋" w:eastAsia="仿宋" w:cs="仿宋"/>
        </w:rPr>
      </w:pPr>
      <w:r>
        <w:rPr>
          <w:rStyle w:val="11"/>
          <w:rFonts w:hint="eastAsia" w:ascii="仿宋" w:hAnsi="仿宋" w:eastAsia="仿宋" w:cs="仿宋"/>
          <w:lang w:val="en-US" w:eastAsia="zh-CN"/>
        </w:rPr>
        <w:t>供货周期</w:t>
      </w:r>
      <w:r>
        <w:rPr>
          <w:rFonts w:hint="eastAsia" w:ascii="仿宋" w:hAnsi="仿宋" w:eastAsia="仿宋" w:cs="仿宋"/>
        </w:rPr>
        <w:t>：</w:t>
      </w:r>
      <w:r>
        <w:rPr>
          <w:rFonts w:hint="eastAsia" w:ascii="仿宋" w:hAnsi="仿宋" w:eastAsia="仿宋" w:cs="仿宋"/>
          <w:lang w:val="en-US" w:eastAsia="zh-CN"/>
        </w:rPr>
        <w:t>暂定供货期为228日历天，具体送货、备货时间以项目部正式通知为准。</w:t>
      </w:r>
      <w:bookmarkStart w:id="6" w:name="_GoBack"/>
      <w:bookmarkEnd w:id="6"/>
    </w:p>
    <w:p w14:paraId="329D4E89">
      <w:pPr>
        <w:pStyle w:val="7"/>
        <w:spacing w:before="0" w:beforeAutospacing="0" w:after="60" w:afterAutospacing="0" w:line="360" w:lineRule="auto"/>
        <w:ind w:firstLine="480" w:firstLineChars="200"/>
        <w:rPr>
          <w:rFonts w:hint="eastAsia" w:ascii="仿宋" w:hAnsi="仿宋" w:eastAsia="仿宋" w:cs="仿宋"/>
        </w:rPr>
      </w:pPr>
    </w:p>
    <w:p w14:paraId="6FE38CB1">
      <w:pPr>
        <w:pStyle w:val="7"/>
        <w:spacing w:before="0" w:beforeAutospacing="0" w:after="60" w:afterAutospacing="0" w:line="360" w:lineRule="auto"/>
        <w:ind w:firstLine="480" w:firstLineChars="200"/>
        <w:rPr>
          <w:rFonts w:hint="eastAsia" w:ascii="仿宋" w:hAnsi="仿宋" w:eastAsia="仿宋" w:cs="仿宋"/>
        </w:rPr>
      </w:pPr>
    </w:p>
    <w:p w14:paraId="3C0E9666">
      <w:pPr>
        <w:pStyle w:val="3"/>
        <w:widowControl/>
        <w:spacing w:beforeAutospacing="0" w:afterAutospacing="0" w:line="360" w:lineRule="auto"/>
        <w:rPr>
          <w:rStyle w:val="11"/>
          <w:rFonts w:hint="default" w:ascii="仿宋" w:hAnsi="仿宋" w:eastAsia="仿宋" w:cs="仿宋"/>
          <w:b/>
          <w:bCs/>
          <w:sz w:val="28"/>
          <w:szCs w:val="28"/>
        </w:rPr>
      </w:pPr>
      <w:r>
        <w:rPr>
          <w:rStyle w:val="11"/>
          <w:rFonts w:ascii="仿宋" w:hAnsi="仿宋" w:eastAsia="仿宋" w:cs="仿宋"/>
          <w:b/>
          <w:bCs/>
          <w:sz w:val="28"/>
          <w:szCs w:val="28"/>
        </w:rPr>
        <w:t>二、</w:t>
      </w:r>
      <w:r>
        <w:rPr>
          <w:rFonts w:hint="eastAsia" w:ascii="仿宋" w:hAnsi="仿宋" w:eastAsia="仿宋"/>
          <w:b/>
          <w:sz w:val="28"/>
          <w:szCs w:val="28"/>
          <w:lang w:val="en-US" w:eastAsia="zh-CN"/>
        </w:rPr>
        <w:t>材料技术</w:t>
      </w:r>
      <w:r>
        <w:rPr>
          <w:rFonts w:hint="eastAsia" w:ascii="仿宋" w:hAnsi="仿宋" w:eastAsia="仿宋"/>
          <w:b/>
          <w:sz w:val="28"/>
          <w:szCs w:val="28"/>
        </w:rPr>
        <w:t>要求</w:t>
      </w:r>
    </w:p>
    <w:p w14:paraId="59A9B415">
      <w:pPr>
        <w:rPr>
          <w:rFonts w:ascii="仿宋" w:hAnsi="仿宋" w:eastAsia="仿宋"/>
          <w:sz w:val="24"/>
          <w:szCs w:val="24"/>
        </w:rPr>
      </w:pPr>
      <w:r>
        <w:rPr>
          <w:rFonts w:hint="eastAsia" w:ascii="仿宋" w:hAnsi="仿宋" w:eastAsia="仿宋"/>
          <w:b/>
          <w:bCs/>
          <w:sz w:val="24"/>
          <w:szCs w:val="24"/>
          <w:lang w:val="en-US" w:eastAsia="zh-CN"/>
        </w:rPr>
        <w:t>1、</w:t>
      </w:r>
      <w:r>
        <w:rPr>
          <w:rFonts w:ascii="仿宋" w:hAnsi="仿宋" w:eastAsia="仿宋"/>
          <w:b/>
          <w:bCs/>
          <w:sz w:val="24"/>
          <w:szCs w:val="24"/>
        </w:rPr>
        <w:t>防锈包装</w:t>
      </w:r>
      <w:r>
        <w:rPr>
          <w:rFonts w:hint="eastAsia" w:ascii="仿宋" w:hAnsi="仿宋" w:eastAsia="仿宋"/>
          <w:b/>
          <w:bCs/>
          <w:sz w:val="24"/>
          <w:szCs w:val="24"/>
          <w:lang w:eastAsia="zh-CN"/>
        </w:rPr>
        <w:t>：</w:t>
      </w:r>
      <w:r>
        <w:rPr>
          <w:rFonts w:hint="default" w:ascii="仿宋" w:hAnsi="仿宋" w:eastAsia="仿宋"/>
          <w:sz w:val="24"/>
          <w:szCs w:val="24"/>
        </w:rPr>
        <w:t>‌</w:t>
      </w:r>
    </w:p>
    <w:p w14:paraId="45117E11">
      <w:pPr>
        <w:rPr>
          <w:rFonts w:ascii="仿宋" w:hAnsi="仿宋" w:eastAsia="仿宋"/>
          <w:sz w:val="24"/>
          <w:szCs w:val="24"/>
        </w:rPr>
      </w:pPr>
      <w:r>
        <w:rPr>
          <w:rFonts w:hint="default" w:ascii="仿宋" w:hAnsi="仿宋" w:eastAsia="仿宋"/>
          <w:sz w:val="24"/>
          <w:szCs w:val="24"/>
        </w:rPr>
        <w:t>防锈油+PE膜+干燥剂三重防护</w:t>
      </w:r>
    </w:p>
    <w:p w14:paraId="0646A498">
      <w:pPr>
        <w:rPr>
          <w:rFonts w:ascii="仿宋" w:hAnsi="仿宋" w:eastAsia="仿宋"/>
          <w:sz w:val="24"/>
          <w:szCs w:val="24"/>
        </w:rPr>
      </w:pPr>
      <w:r>
        <w:rPr>
          <w:rFonts w:hint="eastAsia" w:ascii="仿宋" w:hAnsi="仿宋" w:eastAsia="仿宋"/>
          <w:b/>
          <w:bCs/>
          <w:sz w:val="24"/>
          <w:szCs w:val="24"/>
          <w:lang w:val="en-US" w:eastAsia="zh-CN"/>
        </w:rPr>
        <w:t>2、</w:t>
      </w:r>
      <w:r>
        <w:rPr>
          <w:rFonts w:hint="default" w:ascii="仿宋" w:hAnsi="仿宋" w:eastAsia="仿宋"/>
          <w:b/>
          <w:bCs/>
          <w:sz w:val="24"/>
          <w:szCs w:val="24"/>
        </w:rPr>
        <w:t>‌标识规范</w:t>
      </w:r>
      <w:r>
        <w:rPr>
          <w:rFonts w:hint="eastAsia" w:ascii="仿宋" w:hAnsi="仿宋" w:eastAsia="仿宋"/>
          <w:sz w:val="24"/>
          <w:szCs w:val="24"/>
          <w:lang w:eastAsia="zh-CN"/>
        </w:rPr>
        <w:t>：</w:t>
      </w:r>
      <w:r>
        <w:rPr>
          <w:rFonts w:hint="default" w:ascii="仿宋" w:hAnsi="仿宋" w:eastAsia="仿宋"/>
          <w:sz w:val="24"/>
          <w:szCs w:val="24"/>
        </w:rPr>
        <w:t>‌</w:t>
      </w:r>
    </w:p>
    <w:p w14:paraId="661962E8">
      <w:pPr>
        <w:numPr>
          <w:ilvl w:val="0"/>
          <w:numId w:val="1"/>
        </w:numPr>
        <w:ind w:left="420" w:leftChars="0" w:hanging="420" w:firstLineChars="0"/>
        <w:rPr>
          <w:rFonts w:ascii="仿宋" w:hAnsi="仿宋" w:eastAsia="仿宋"/>
          <w:sz w:val="24"/>
          <w:szCs w:val="24"/>
        </w:rPr>
      </w:pPr>
      <w:r>
        <w:rPr>
          <w:rFonts w:hint="default" w:ascii="仿宋" w:hAnsi="仿宋" w:eastAsia="仿宋"/>
          <w:sz w:val="24"/>
          <w:szCs w:val="24"/>
        </w:rPr>
        <w:t>轧制表面标志：牌号（如HRB400E）、厂名/商标、直径</w:t>
      </w:r>
    </w:p>
    <w:p w14:paraId="1039BC06">
      <w:pPr>
        <w:numPr>
          <w:ilvl w:val="0"/>
          <w:numId w:val="1"/>
        </w:numPr>
        <w:ind w:left="420" w:leftChars="0" w:hanging="420" w:firstLineChars="0"/>
        <w:rPr>
          <w:rFonts w:ascii="仿宋" w:hAnsi="仿宋" w:eastAsia="仿宋"/>
          <w:sz w:val="24"/>
          <w:szCs w:val="24"/>
        </w:rPr>
      </w:pPr>
      <w:r>
        <w:rPr>
          <w:rFonts w:hint="default" w:ascii="仿宋" w:hAnsi="仿宋" w:eastAsia="仿宋"/>
          <w:sz w:val="24"/>
          <w:szCs w:val="24"/>
        </w:rPr>
        <w:t>捆扎标签：炉批号、重量、生产日期</w:t>
      </w:r>
    </w:p>
    <w:p w14:paraId="7ECD3239">
      <w:pPr>
        <w:numPr>
          <w:ilvl w:val="0"/>
          <w:numId w:val="0"/>
        </w:numPr>
        <w:ind w:leftChars="0"/>
        <w:rPr>
          <w:rFonts w:hint="default" w:ascii="仿宋" w:hAnsi="仿宋" w:eastAsia="仿宋"/>
          <w:b/>
          <w:bCs/>
          <w:sz w:val="24"/>
          <w:szCs w:val="24"/>
          <w:lang w:val="en-US" w:eastAsia="zh-CN"/>
        </w:rPr>
      </w:pPr>
      <w:r>
        <w:rPr>
          <w:rFonts w:hint="eastAsia" w:ascii="仿宋" w:hAnsi="仿宋" w:eastAsia="仿宋"/>
          <w:b/>
          <w:bCs/>
          <w:sz w:val="24"/>
          <w:szCs w:val="24"/>
          <w:lang w:val="en-US" w:eastAsia="zh-CN"/>
        </w:rPr>
        <w:t>3、可追溯性：</w:t>
      </w:r>
    </w:p>
    <w:p w14:paraId="101AC3FE">
      <w:pPr>
        <w:rPr>
          <w:rFonts w:ascii="仿宋" w:hAnsi="仿宋" w:eastAsia="仿宋"/>
          <w:sz w:val="24"/>
          <w:szCs w:val="24"/>
        </w:rPr>
      </w:pPr>
      <w:r>
        <w:rPr>
          <w:rFonts w:ascii="仿宋" w:hAnsi="仿宋" w:eastAsia="仿宋"/>
          <w:sz w:val="24"/>
          <w:szCs w:val="24"/>
        </w:rPr>
        <w:t>每捆钢筋标注‌</w:t>
      </w:r>
      <w:r>
        <w:rPr>
          <w:rFonts w:hint="default" w:ascii="仿宋" w:hAnsi="仿宋" w:eastAsia="仿宋"/>
          <w:sz w:val="24"/>
          <w:szCs w:val="24"/>
        </w:rPr>
        <w:t>唯一追溯码‌（扫码可查炉批号、检测报告）</w:t>
      </w:r>
    </w:p>
    <w:p w14:paraId="453C370E">
      <w:pPr>
        <w:rPr>
          <w:rFonts w:ascii="仿宋" w:hAnsi="仿宋" w:eastAsia="仿宋"/>
          <w:sz w:val="24"/>
          <w:szCs w:val="24"/>
        </w:rPr>
      </w:pPr>
    </w:p>
    <w:p w14:paraId="30B07446">
      <w:pPr>
        <w:pStyle w:val="7"/>
        <w:numPr>
          <w:ilvl w:val="0"/>
          <w:numId w:val="0"/>
        </w:numPr>
        <w:spacing w:before="0" w:beforeAutospacing="0" w:after="0" w:afterAutospacing="0" w:line="360" w:lineRule="auto"/>
        <w:rPr>
          <w:rStyle w:val="11"/>
          <w:rFonts w:hint="eastAsia" w:ascii="仿宋" w:hAnsi="仿宋" w:eastAsia="仿宋" w:cs="仿宋"/>
          <w:b/>
          <w:bCs/>
          <w:sz w:val="28"/>
          <w:szCs w:val="28"/>
        </w:rPr>
      </w:pPr>
      <w:r>
        <w:rPr>
          <w:rStyle w:val="11"/>
          <w:rFonts w:hint="eastAsia" w:ascii="仿宋" w:hAnsi="仿宋" w:eastAsia="仿宋" w:cs="仿宋"/>
          <w:b/>
          <w:bCs/>
          <w:sz w:val="28"/>
          <w:szCs w:val="28"/>
          <w:lang w:val="en-US" w:eastAsia="zh-CN"/>
        </w:rPr>
        <w:t>三、质量文件</w:t>
      </w:r>
      <w:r>
        <w:rPr>
          <w:rStyle w:val="11"/>
          <w:rFonts w:hint="eastAsia" w:ascii="仿宋" w:hAnsi="仿宋" w:eastAsia="仿宋" w:cs="仿宋"/>
          <w:b/>
          <w:bCs/>
          <w:sz w:val="28"/>
          <w:szCs w:val="28"/>
        </w:rPr>
        <w:t>与验收标准</w:t>
      </w:r>
    </w:p>
    <w:p w14:paraId="0EE0AC5B">
      <w:pPr>
        <w:pStyle w:val="7"/>
        <w:numPr>
          <w:ilvl w:val="0"/>
          <w:numId w:val="0"/>
        </w:numPr>
        <w:spacing w:before="0" w:beforeAutospacing="0" w:after="0" w:afterAutospacing="0" w:line="360" w:lineRule="auto"/>
        <w:rPr>
          <w:rStyle w:val="11"/>
          <w:rFonts w:hint="eastAsia" w:ascii="仿宋" w:hAnsi="仿宋" w:eastAsia="仿宋" w:cs="仿宋"/>
          <w:b w:val="0"/>
          <w:bCs w:val="0"/>
          <w:sz w:val="24"/>
          <w:szCs w:val="24"/>
          <w:lang w:val="en-US" w:eastAsia="zh-CN"/>
        </w:rPr>
      </w:pPr>
      <w:r>
        <w:rPr>
          <w:rStyle w:val="11"/>
          <w:rFonts w:hint="eastAsia" w:ascii="仿宋" w:hAnsi="仿宋" w:eastAsia="仿宋" w:cs="仿宋"/>
          <w:b/>
          <w:bCs/>
          <w:sz w:val="24"/>
          <w:szCs w:val="24"/>
          <w:lang w:val="en-US" w:eastAsia="zh-CN"/>
        </w:rPr>
        <w:t>1、产品质量证明书（原件）</w:t>
      </w:r>
      <w:r>
        <w:rPr>
          <w:rStyle w:val="11"/>
          <w:rFonts w:hint="eastAsia" w:ascii="仿宋" w:hAnsi="仿宋" w:eastAsia="仿宋" w:cs="仿宋"/>
          <w:b w:val="0"/>
          <w:bCs w:val="0"/>
          <w:sz w:val="24"/>
          <w:szCs w:val="24"/>
          <w:lang w:val="en-US" w:eastAsia="zh-CN"/>
        </w:rPr>
        <w:t>：‌</w:t>
      </w:r>
    </w:p>
    <w:p w14:paraId="6ACA61A3">
      <w:pPr>
        <w:pStyle w:val="7"/>
        <w:numPr>
          <w:ilvl w:val="0"/>
          <w:numId w:val="2"/>
        </w:numPr>
        <w:spacing w:before="0" w:beforeAutospacing="0" w:after="0" w:afterAutospacing="0" w:line="360" w:lineRule="auto"/>
        <w:ind w:left="420" w:leftChars="0" w:hanging="420" w:firstLineChars="0"/>
        <w:rPr>
          <w:rStyle w:val="11"/>
          <w:rFonts w:hint="eastAsia" w:ascii="仿宋" w:hAnsi="仿宋" w:eastAsia="仿宋" w:cs="仿宋"/>
          <w:b w:val="0"/>
          <w:bCs w:val="0"/>
          <w:sz w:val="24"/>
          <w:szCs w:val="24"/>
          <w:lang w:val="en-US" w:eastAsia="zh-CN"/>
        </w:rPr>
      </w:pPr>
      <w:r>
        <w:rPr>
          <w:rStyle w:val="11"/>
          <w:rFonts w:hint="eastAsia" w:ascii="仿宋" w:hAnsi="仿宋" w:eastAsia="仿宋" w:cs="仿宋"/>
          <w:b w:val="0"/>
          <w:bCs w:val="0"/>
          <w:sz w:val="24"/>
          <w:szCs w:val="24"/>
          <w:lang w:val="en-US" w:eastAsia="zh-CN"/>
        </w:rPr>
        <w:t>含钢厂公章、生产日期、执行标准（如GB/T 1499.2-2018）</w:t>
      </w:r>
    </w:p>
    <w:p w14:paraId="6162113C">
      <w:pPr>
        <w:pStyle w:val="7"/>
        <w:numPr>
          <w:ilvl w:val="0"/>
          <w:numId w:val="2"/>
        </w:numPr>
        <w:spacing w:before="0" w:beforeAutospacing="0" w:after="0" w:afterAutospacing="0" w:line="360" w:lineRule="auto"/>
        <w:ind w:left="420" w:leftChars="0" w:hanging="420" w:firstLineChars="0"/>
        <w:rPr>
          <w:rStyle w:val="11"/>
          <w:rFonts w:hint="eastAsia" w:ascii="仿宋" w:hAnsi="仿宋" w:eastAsia="仿宋" w:cs="仿宋"/>
          <w:b w:val="0"/>
          <w:bCs w:val="0"/>
          <w:sz w:val="24"/>
          <w:szCs w:val="24"/>
          <w:lang w:val="en-US" w:eastAsia="zh-CN"/>
        </w:rPr>
      </w:pPr>
      <w:r>
        <w:rPr>
          <w:rStyle w:val="11"/>
          <w:rFonts w:hint="eastAsia" w:ascii="仿宋" w:hAnsi="仿宋" w:eastAsia="仿宋" w:cs="仿宋"/>
          <w:b w:val="0"/>
          <w:bCs w:val="0"/>
          <w:sz w:val="24"/>
          <w:szCs w:val="24"/>
          <w:lang w:val="en-US" w:eastAsia="zh-CN"/>
        </w:rPr>
        <w:t>关键参数：屈服强度、抗拉强度、伸长率、碳当量、弯曲性能、炉批号</w:t>
      </w:r>
    </w:p>
    <w:p w14:paraId="28562D91">
      <w:pPr>
        <w:pStyle w:val="7"/>
        <w:numPr>
          <w:ilvl w:val="0"/>
          <w:numId w:val="0"/>
        </w:numPr>
        <w:spacing w:before="0" w:beforeAutospacing="0" w:after="0" w:afterAutospacing="0" w:line="360" w:lineRule="auto"/>
        <w:rPr>
          <w:rStyle w:val="11"/>
          <w:rFonts w:hint="eastAsia" w:ascii="仿宋" w:hAnsi="仿宋" w:eastAsia="仿宋" w:cs="仿宋"/>
          <w:b w:val="0"/>
          <w:bCs w:val="0"/>
          <w:sz w:val="24"/>
          <w:szCs w:val="24"/>
          <w:lang w:val="en-US" w:eastAsia="zh-CN"/>
        </w:rPr>
      </w:pPr>
      <w:r>
        <w:rPr>
          <w:rStyle w:val="11"/>
          <w:rFonts w:hint="eastAsia" w:ascii="仿宋" w:hAnsi="仿宋" w:eastAsia="仿宋" w:cs="仿宋"/>
          <w:b/>
          <w:bCs/>
          <w:sz w:val="24"/>
          <w:szCs w:val="24"/>
          <w:lang w:val="en-US" w:eastAsia="zh-CN"/>
        </w:rPr>
        <w:t>2、‌第三方检测报告：</w:t>
      </w:r>
      <w:r>
        <w:rPr>
          <w:rStyle w:val="11"/>
          <w:rFonts w:hint="eastAsia" w:ascii="仿宋" w:hAnsi="仿宋" w:eastAsia="仿宋" w:cs="仿宋"/>
          <w:b w:val="0"/>
          <w:bCs w:val="0"/>
          <w:sz w:val="24"/>
          <w:szCs w:val="24"/>
          <w:lang w:val="en-US" w:eastAsia="zh-CN"/>
        </w:rPr>
        <w:t>‌</w:t>
      </w:r>
    </w:p>
    <w:p w14:paraId="3F005109">
      <w:pPr>
        <w:pStyle w:val="7"/>
        <w:numPr>
          <w:ilvl w:val="0"/>
          <w:numId w:val="0"/>
        </w:numPr>
        <w:spacing w:before="0" w:beforeAutospacing="0" w:after="0" w:afterAutospacing="0" w:line="360" w:lineRule="auto"/>
        <w:rPr>
          <w:rStyle w:val="11"/>
          <w:rFonts w:hint="eastAsia" w:ascii="仿宋" w:hAnsi="仿宋" w:eastAsia="仿宋" w:cs="仿宋"/>
          <w:b w:val="0"/>
          <w:bCs w:val="0"/>
          <w:sz w:val="24"/>
          <w:szCs w:val="24"/>
          <w:lang w:val="en-US" w:eastAsia="zh-CN"/>
        </w:rPr>
      </w:pPr>
      <w:r>
        <w:rPr>
          <w:rStyle w:val="11"/>
          <w:rFonts w:hint="eastAsia" w:ascii="仿宋" w:hAnsi="仿宋" w:eastAsia="仿宋" w:cs="仿宋"/>
          <w:b w:val="0"/>
          <w:bCs w:val="0"/>
          <w:sz w:val="24"/>
          <w:szCs w:val="24"/>
          <w:lang w:val="en-US" w:eastAsia="zh-CN"/>
        </w:rPr>
        <w:t>近12个月内同规格产品的型式检验报告（需国家级实验室盖章）</w:t>
      </w:r>
    </w:p>
    <w:p w14:paraId="1A90EE4F">
      <w:pPr>
        <w:pStyle w:val="7"/>
        <w:numPr>
          <w:ilvl w:val="0"/>
          <w:numId w:val="0"/>
        </w:numPr>
        <w:spacing w:before="0" w:beforeAutospacing="0" w:after="0" w:afterAutospacing="0" w:line="360" w:lineRule="auto"/>
        <w:rPr>
          <w:rStyle w:val="11"/>
          <w:rFonts w:hint="eastAsia" w:ascii="仿宋" w:hAnsi="仿宋" w:eastAsia="仿宋" w:cs="仿宋"/>
          <w:b w:val="0"/>
          <w:bCs w:val="0"/>
          <w:sz w:val="24"/>
          <w:szCs w:val="24"/>
          <w:lang w:val="en-US" w:eastAsia="zh-CN"/>
        </w:rPr>
      </w:pPr>
      <w:r>
        <w:rPr>
          <w:rStyle w:val="11"/>
          <w:rFonts w:hint="eastAsia" w:ascii="仿宋" w:hAnsi="仿宋" w:eastAsia="仿宋" w:cs="仿宋"/>
          <w:b/>
          <w:bCs/>
          <w:sz w:val="24"/>
          <w:szCs w:val="24"/>
          <w:lang w:val="en-US" w:eastAsia="zh-CN"/>
        </w:rPr>
        <w:t>3、‌抗震钢筋专项证明</w:t>
      </w:r>
      <w:r>
        <w:rPr>
          <w:rStyle w:val="11"/>
          <w:rFonts w:hint="eastAsia" w:ascii="仿宋" w:hAnsi="仿宋" w:eastAsia="仿宋" w:cs="仿宋"/>
          <w:b w:val="0"/>
          <w:bCs w:val="0"/>
          <w:sz w:val="24"/>
          <w:szCs w:val="24"/>
          <w:lang w:val="en-US" w:eastAsia="zh-CN"/>
        </w:rPr>
        <w:t>：‌</w:t>
      </w:r>
    </w:p>
    <w:p w14:paraId="5F4D7C86">
      <w:pPr>
        <w:pStyle w:val="7"/>
        <w:numPr>
          <w:ilvl w:val="0"/>
          <w:numId w:val="0"/>
        </w:numPr>
        <w:spacing w:before="0" w:beforeAutospacing="0" w:after="0" w:afterAutospacing="0" w:line="360" w:lineRule="auto"/>
        <w:rPr>
          <w:rStyle w:val="11"/>
          <w:rFonts w:hint="eastAsia" w:ascii="仿宋" w:hAnsi="仿宋" w:eastAsia="仿宋" w:cs="仿宋"/>
          <w:b w:val="0"/>
          <w:bCs w:val="0"/>
          <w:sz w:val="24"/>
          <w:szCs w:val="24"/>
          <w:lang w:val="en-US" w:eastAsia="zh-CN"/>
        </w:rPr>
      </w:pPr>
      <w:r>
        <w:rPr>
          <w:rStyle w:val="11"/>
          <w:rFonts w:hint="eastAsia" w:ascii="仿宋" w:hAnsi="仿宋" w:eastAsia="仿宋" w:cs="仿宋"/>
          <w:b w:val="0"/>
          <w:bCs w:val="0"/>
          <w:sz w:val="24"/>
          <w:szCs w:val="24"/>
          <w:lang w:val="en-US" w:eastAsia="zh-CN"/>
        </w:rPr>
        <w:t>带E标识（如HRB400E），质保书中需注明Agt≥9%、强屈比≥1.25</w:t>
      </w:r>
    </w:p>
    <w:p w14:paraId="5AA5EA7F">
      <w:pPr>
        <w:pStyle w:val="7"/>
        <w:numPr>
          <w:ilvl w:val="0"/>
          <w:numId w:val="0"/>
        </w:numPr>
        <w:spacing w:before="0" w:beforeAutospacing="0" w:after="0" w:afterAutospacing="0" w:line="360" w:lineRule="auto"/>
        <w:rPr>
          <w:rStyle w:val="11"/>
          <w:rFonts w:hint="eastAsia" w:ascii="仿宋" w:hAnsi="仿宋" w:eastAsia="仿宋" w:cs="仿宋"/>
          <w:b/>
          <w:bCs/>
          <w:lang w:val="en-US" w:eastAsia="zh-CN"/>
        </w:rPr>
      </w:pPr>
      <w:r>
        <w:rPr>
          <w:rStyle w:val="11"/>
          <w:rFonts w:hint="eastAsia" w:ascii="仿宋" w:hAnsi="仿宋" w:eastAsia="仿宋" w:cs="仿宋"/>
          <w:b/>
          <w:bCs/>
          <w:sz w:val="28"/>
          <w:szCs w:val="28"/>
          <w:lang w:val="en-US" w:eastAsia="zh-CN"/>
        </w:rPr>
        <w:t>‌</w:t>
      </w:r>
      <w:r>
        <w:rPr>
          <w:rStyle w:val="11"/>
          <w:rFonts w:hint="eastAsia" w:ascii="仿宋" w:hAnsi="仿宋" w:eastAsia="仿宋" w:cs="仿宋"/>
          <w:b/>
          <w:bCs/>
          <w:lang w:val="en-US" w:eastAsia="zh-CN"/>
        </w:rPr>
        <w:t>4、外观质量检验：</w:t>
      </w:r>
    </w:p>
    <w:p w14:paraId="2D328B2C">
      <w:pPr>
        <w:pStyle w:val="7"/>
        <w:numPr>
          <w:ilvl w:val="0"/>
          <w:numId w:val="3"/>
        </w:numPr>
        <w:spacing w:before="0" w:beforeAutospacing="0" w:after="0" w:afterAutospacing="0" w:line="360" w:lineRule="auto"/>
        <w:ind w:left="420" w:leftChars="0" w:hanging="420" w:firstLineChars="0"/>
        <w:rPr>
          <w:rStyle w:val="11"/>
          <w:rFonts w:hint="default" w:ascii="仿宋" w:hAnsi="仿宋" w:eastAsia="仿宋" w:cs="仿宋"/>
          <w:b w:val="0"/>
          <w:bCs w:val="0"/>
          <w:lang w:val="en-US" w:eastAsia="zh-CN"/>
        </w:rPr>
      </w:pPr>
      <w:r>
        <w:rPr>
          <w:rStyle w:val="11"/>
          <w:rFonts w:hint="default" w:ascii="仿宋" w:hAnsi="仿宋" w:eastAsia="仿宋" w:cs="仿宋"/>
          <w:b w:val="0"/>
          <w:bCs w:val="0"/>
          <w:lang w:val="en-US" w:eastAsia="zh-CN"/>
        </w:rPr>
        <w:t>表面裂纹</w:t>
      </w:r>
      <w:r>
        <w:rPr>
          <w:rStyle w:val="11"/>
          <w:rFonts w:hint="eastAsia" w:ascii="仿宋" w:hAnsi="仿宋" w:eastAsia="仿宋" w:cs="仿宋"/>
          <w:b w:val="0"/>
          <w:bCs w:val="0"/>
          <w:lang w:val="en-US" w:eastAsia="zh-CN"/>
        </w:rPr>
        <w:t>：</w:t>
      </w:r>
      <w:r>
        <w:rPr>
          <w:rStyle w:val="11"/>
          <w:rFonts w:hint="default" w:ascii="仿宋" w:hAnsi="仿宋" w:eastAsia="仿宋" w:cs="仿宋"/>
          <w:b w:val="0"/>
          <w:bCs w:val="0"/>
          <w:lang w:val="en-US" w:eastAsia="zh-CN"/>
        </w:rPr>
        <w:t>‌不允许存在‌（用10倍放大镜确认）</w:t>
      </w:r>
    </w:p>
    <w:p w14:paraId="0774E0BA">
      <w:pPr>
        <w:pStyle w:val="7"/>
        <w:numPr>
          <w:ilvl w:val="0"/>
          <w:numId w:val="3"/>
        </w:numPr>
        <w:spacing w:before="0" w:beforeAutospacing="0" w:after="0" w:afterAutospacing="0" w:line="360" w:lineRule="auto"/>
        <w:ind w:left="420" w:leftChars="0" w:hanging="420" w:firstLineChars="0"/>
        <w:rPr>
          <w:rStyle w:val="11"/>
          <w:rFonts w:hint="default" w:ascii="仿宋" w:hAnsi="仿宋" w:eastAsia="仿宋" w:cs="仿宋"/>
          <w:b w:val="0"/>
          <w:bCs w:val="0"/>
          <w:lang w:val="en-US" w:eastAsia="zh-CN"/>
        </w:rPr>
      </w:pPr>
      <w:r>
        <w:rPr>
          <w:rStyle w:val="11"/>
          <w:rFonts w:hint="default" w:ascii="仿宋" w:hAnsi="仿宋" w:eastAsia="仿宋" w:cs="仿宋"/>
          <w:b w:val="0"/>
          <w:bCs w:val="0"/>
          <w:lang w:val="en-US" w:eastAsia="zh-CN"/>
        </w:rPr>
        <w:t>结疤、凸块</w:t>
      </w:r>
      <w:r>
        <w:rPr>
          <w:rStyle w:val="11"/>
          <w:rFonts w:hint="default" w:ascii="仿宋" w:hAnsi="仿宋" w:eastAsia="仿宋" w:cs="仿宋"/>
          <w:b w:val="0"/>
          <w:bCs w:val="0"/>
          <w:lang w:val="en-US" w:eastAsia="zh-CN"/>
        </w:rPr>
        <w:tab/>
      </w:r>
      <w:r>
        <w:rPr>
          <w:rStyle w:val="11"/>
          <w:rFonts w:hint="eastAsia" w:ascii="仿宋" w:hAnsi="仿宋" w:eastAsia="仿宋" w:cs="仿宋"/>
          <w:b w:val="0"/>
          <w:bCs w:val="0"/>
          <w:lang w:val="en-US" w:eastAsia="zh-CN"/>
        </w:rPr>
        <w:t>：</w:t>
      </w:r>
      <w:r>
        <w:rPr>
          <w:rStyle w:val="11"/>
          <w:rFonts w:hint="default" w:ascii="仿宋" w:hAnsi="仿宋" w:eastAsia="仿宋" w:cs="仿宋"/>
          <w:b w:val="0"/>
          <w:bCs w:val="0"/>
          <w:lang w:val="en-US" w:eastAsia="zh-CN"/>
        </w:rPr>
        <w:t>深度/高度 ≤ 0.3mm，且不损坏肋</w:t>
      </w:r>
    </w:p>
    <w:p w14:paraId="1EF23D72">
      <w:pPr>
        <w:pStyle w:val="7"/>
        <w:numPr>
          <w:ilvl w:val="0"/>
          <w:numId w:val="3"/>
        </w:numPr>
        <w:spacing w:before="0" w:beforeAutospacing="0" w:after="0" w:afterAutospacing="0" w:line="360" w:lineRule="auto"/>
        <w:ind w:left="420" w:leftChars="0" w:hanging="420" w:firstLineChars="0"/>
        <w:rPr>
          <w:rStyle w:val="11"/>
          <w:rFonts w:hint="default" w:ascii="仿宋" w:hAnsi="仿宋" w:eastAsia="仿宋" w:cs="仿宋"/>
          <w:b w:val="0"/>
          <w:bCs w:val="0"/>
          <w:lang w:val="en-US" w:eastAsia="zh-CN"/>
        </w:rPr>
      </w:pPr>
      <w:r>
        <w:rPr>
          <w:rStyle w:val="11"/>
          <w:rFonts w:hint="default" w:ascii="仿宋" w:hAnsi="仿宋" w:eastAsia="仿宋" w:cs="仿宋"/>
          <w:b w:val="0"/>
          <w:bCs w:val="0"/>
          <w:lang w:val="en-US" w:eastAsia="zh-CN"/>
        </w:rPr>
        <w:t>横肋损伤</w:t>
      </w:r>
      <w:r>
        <w:rPr>
          <w:rStyle w:val="11"/>
          <w:rFonts w:hint="eastAsia" w:ascii="仿宋" w:hAnsi="仿宋" w:eastAsia="仿宋" w:cs="仿宋"/>
          <w:b w:val="0"/>
          <w:bCs w:val="0"/>
          <w:lang w:val="en-US" w:eastAsia="zh-CN"/>
        </w:rPr>
        <w:t>：</w:t>
      </w:r>
      <w:r>
        <w:rPr>
          <w:rStyle w:val="11"/>
          <w:rFonts w:hint="default" w:ascii="仿宋" w:hAnsi="仿宋" w:eastAsia="仿宋" w:cs="仿宋"/>
          <w:b w:val="0"/>
          <w:bCs w:val="0"/>
          <w:lang w:val="en-US" w:eastAsia="zh-CN"/>
        </w:rPr>
        <w:t>缺损长度 ≤ 50mm，相邻两处间距 ≥ 1000mm</w:t>
      </w:r>
      <w:r>
        <w:rPr>
          <w:rStyle w:val="11"/>
          <w:rFonts w:hint="default" w:ascii="仿宋" w:hAnsi="仿宋" w:eastAsia="仿宋" w:cs="仿宋"/>
          <w:b w:val="0"/>
          <w:bCs w:val="0"/>
          <w:lang w:val="en-US" w:eastAsia="zh-CN"/>
        </w:rPr>
        <w:tab/>
      </w:r>
    </w:p>
    <w:p w14:paraId="5A242588">
      <w:pPr>
        <w:pStyle w:val="7"/>
        <w:numPr>
          <w:ilvl w:val="0"/>
          <w:numId w:val="3"/>
        </w:numPr>
        <w:spacing w:before="0" w:beforeAutospacing="0" w:after="0" w:afterAutospacing="0" w:line="360" w:lineRule="auto"/>
        <w:ind w:left="420" w:leftChars="0" w:hanging="420" w:firstLineChars="0"/>
        <w:rPr>
          <w:rStyle w:val="11"/>
          <w:rFonts w:hint="default" w:ascii="仿宋" w:hAnsi="仿宋" w:eastAsia="仿宋" w:cs="仿宋"/>
          <w:b w:val="0"/>
          <w:bCs w:val="0"/>
          <w:lang w:val="en-US" w:eastAsia="zh-CN"/>
        </w:rPr>
      </w:pPr>
      <w:r>
        <w:rPr>
          <w:rStyle w:val="11"/>
          <w:rFonts w:hint="default" w:ascii="仿宋" w:hAnsi="仿宋" w:eastAsia="仿宋" w:cs="仿宋"/>
          <w:b w:val="0"/>
          <w:bCs w:val="0"/>
          <w:lang w:val="en-US" w:eastAsia="zh-CN"/>
        </w:rPr>
        <w:t>锈蚀等级</w:t>
      </w:r>
      <w:r>
        <w:rPr>
          <w:rStyle w:val="11"/>
          <w:rFonts w:hint="eastAsia" w:ascii="仿宋" w:hAnsi="仿宋" w:eastAsia="仿宋" w:cs="仿宋"/>
          <w:b w:val="0"/>
          <w:bCs w:val="0"/>
          <w:lang w:val="en-US" w:eastAsia="zh-CN"/>
        </w:rPr>
        <w:t>：</w:t>
      </w:r>
      <w:r>
        <w:rPr>
          <w:rStyle w:val="11"/>
          <w:rFonts w:hint="default" w:ascii="仿宋" w:hAnsi="仿宋" w:eastAsia="仿宋" w:cs="仿宋"/>
          <w:b w:val="0"/>
          <w:bCs w:val="0"/>
          <w:lang w:val="en-US" w:eastAsia="zh-CN"/>
        </w:rPr>
        <w:t>‌C级以下‌（轻微浮锈可清除，锈坑深度≤0.1mm）</w:t>
      </w:r>
    </w:p>
    <w:p w14:paraId="6FB21AB4">
      <w:pPr>
        <w:pStyle w:val="7"/>
        <w:numPr>
          <w:ilvl w:val="0"/>
          <w:numId w:val="0"/>
        </w:numPr>
        <w:spacing w:before="0" w:beforeAutospacing="0" w:after="0" w:afterAutospacing="0" w:line="360" w:lineRule="auto"/>
        <w:rPr>
          <w:rStyle w:val="11"/>
          <w:rFonts w:hint="eastAsia" w:ascii="仿宋" w:hAnsi="仿宋" w:eastAsia="仿宋" w:cs="仿宋"/>
          <w:b/>
          <w:bCs/>
          <w:lang w:val="en-US" w:eastAsia="zh-CN"/>
        </w:rPr>
      </w:pPr>
      <w:r>
        <w:rPr>
          <w:rStyle w:val="11"/>
          <w:rFonts w:hint="eastAsia" w:ascii="仿宋" w:hAnsi="仿宋" w:eastAsia="仿宋" w:cs="仿宋"/>
          <w:b/>
          <w:bCs/>
          <w:lang w:val="en-US" w:eastAsia="zh-CN"/>
        </w:rPr>
        <w:t>5、尺寸与偏差检验：</w:t>
      </w:r>
    </w:p>
    <w:p w14:paraId="02D6E504">
      <w:pPr>
        <w:pStyle w:val="7"/>
        <w:numPr>
          <w:ilvl w:val="0"/>
          <w:numId w:val="4"/>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内径d‌：±0.4mm (d≤12mm), ±0.5mm (d&gt;12mm)</w:t>
      </w:r>
      <w:r>
        <w:rPr>
          <w:rStyle w:val="11"/>
          <w:rFonts w:hint="eastAsia" w:ascii="仿宋" w:hAnsi="仿宋" w:eastAsia="仿宋" w:cs="仿宋"/>
          <w:b w:val="0"/>
          <w:bCs w:val="0"/>
          <w:lang w:val="en-US" w:eastAsia="zh-CN"/>
        </w:rPr>
        <w:tab/>
      </w:r>
    </w:p>
    <w:p w14:paraId="7F92E903">
      <w:pPr>
        <w:pStyle w:val="7"/>
        <w:numPr>
          <w:ilvl w:val="0"/>
          <w:numId w:val="4"/>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‌横肋高h‌：+0.4h, -0.2h（h为设计肋高）</w:t>
      </w:r>
      <w:r>
        <w:rPr>
          <w:rStyle w:val="11"/>
          <w:rFonts w:hint="eastAsia" w:ascii="仿宋" w:hAnsi="仿宋" w:eastAsia="仿宋" w:cs="仿宋"/>
          <w:b w:val="0"/>
          <w:bCs w:val="0"/>
          <w:lang w:val="en-US" w:eastAsia="zh-CN"/>
        </w:rPr>
        <w:tab/>
      </w:r>
    </w:p>
    <w:p w14:paraId="257D12D1">
      <w:pPr>
        <w:pStyle w:val="7"/>
        <w:numPr>
          <w:ilvl w:val="0"/>
          <w:numId w:val="4"/>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‌横肋间距l‌：±0.5l（l为公称间距）</w:t>
      </w:r>
    </w:p>
    <w:p w14:paraId="269F2DD6">
      <w:pPr>
        <w:pStyle w:val="7"/>
        <w:numPr>
          <w:ilvl w:val="0"/>
          <w:numId w:val="4"/>
        </w:numPr>
        <w:spacing w:before="0" w:beforeAutospacing="0" w:after="0" w:afterAutospacing="0" w:line="360" w:lineRule="auto"/>
        <w:ind w:left="420" w:leftChars="0" w:hanging="420" w:firstLineChars="0"/>
        <w:rPr>
          <w:rStyle w:val="11"/>
          <w:rFonts w:hint="eastAsia" w:ascii="仿宋" w:hAnsi="仿宋" w:eastAsia="仿宋" w:cs="仿宋"/>
          <w:b/>
          <w:bCs/>
          <w:lang w:val="en-US" w:eastAsia="zh-CN"/>
        </w:rPr>
      </w:pPr>
      <w:r>
        <w:rPr>
          <w:rStyle w:val="11"/>
          <w:rFonts w:hint="eastAsia" w:ascii="仿宋" w:hAnsi="仿宋" w:eastAsia="仿宋" w:cs="仿宋"/>
          <w:b w:val="0"/>
          <w:bCs w:val="0"/>
          <w:lang w:val="en-US" w:eastAsia="zh-CN"/>
        </w:rPr>
        <w:t>‌定尺长度‌：+100mm, -0mm</w:t>
      </w:r>
    </w:p>
    <w:p w14:paraId="5DC655A3">
      <w:pPr>
        <w:pStyle w:val="7"/>
        <w:numPr>
          <w:ilvl w:val="0"/>
          <w:numId w:val="0"/>
        </w:numPr>
        <w:spacing w:before="0" w:beforeAutospacing="0" w:after="0" w:afterAutospacing="0" w:line="360" w:lineRule="auto"/>
        <w:ind w:leftChars="0"/>
        <w:rPr>
          <w:rStyle w:val="11"/>
          <w:rFonts w:hint="eastAsia" w:ascii="仿宋" w:hAnsi="仿宋" w:eastAsia="仿宋" w:cs="仿宋"/>
          <w:b/>
          <w:bCs/>
          <w:lang w:val="en-US" w:eastAsia="zh-CN"/>
        </w:rPr>
      </w:pPr>
      <w:r>
        <w:rPr>
          <w:rStyle w:val="11"/>
          <w:rFonts w:hint="eastAsia" w:ascii="仿宋" w:hAnsi="仿宋" w:eastAsia="仿宋" w:cs="仿宋"/>
          <w:b/>
          <w:bCs/>
          <w:lang w:val="en-US" w:eastAsia="zh-CN"/>
        </w:rPr>
        <w:t>6、重量偏差抽检：</w:t>
      </w:r>
    </w:p>
    <w:p w14:paraId="2FDC8C67">
      <w:pPr>
        <w:pStyle w:val="7"/>
        <w:numPr>
          <w:ilvl w:val="0"/>
          <w:numId w:val="0"/>
        </w:numPr>
        <w:spacing w:before="0" w:beforeAutospacing="0" w:after="0" w:afterAutospacing="0" w:line="360" w:lineRule="auto"/>
        <w:ind w:left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取样‌：截取≥500mm长试样（‌保留端头原始状态‌），每批不同捆随机取5根。</w:t>
      </w:r>
    </w:p>
    <w:tbl>
      <w:tblPr>
        <w:tblStyle w:val="8"/>
        <w:tblW w:w="0" w:type="auto"/>
        <w:tblCellSpacing w:w="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995"/>
        <w:gridCol w:w="6866"/>
      </w:tblGrid>
      <w:tr w14:paraId="32C5E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Header/>
          <w:tblCellSpacing w:w="15" w:type="dxa"/>
        </w:trPr>
        <w:tc>
          <w:tcPr>
            <w:tcW w:w="0" w:type="auto"/>
            <w:tcBorders>
              <w:top w:val="single" w:color="auto" w:sz="6" w:space="0"/>
              <w:left w:val="single" w:color="auto" w:sz="6" w:space="0"/>
              <w:bottom w:val="single" w:color="auto" w:sz="6" w:space="0"/>
              <w:right w:val="single" w:color="auto" w:sz="6" w:space="0"/>
            </w:tcBorders>
            <w:shd w:val="clear" w:color="auto" w:fill="FFFFFF"/>
            <w:noWrap/>
            <w:tcMar>
              <w:top w:w="158" w:type="dxa"/>
              <w:left w:w="240" w:type="dxa"/>
              <w:bottom w:w="113" w:type="dxa"/>
              <w:right w:w="240" w:type="dxa"/>
            </w:tcMar>
            <w:vAlign w:val="center"/>
          </w:tcPr>
          <w:p w14:paraId="4532908F">
            <w:pPr>
              <w:pStyle w:val="7"/>
              <w:numPr>
                <w:ilvl w:val="0"/>
                <w:numId w:val="0"/>
              </w:numPr>
              <w:spacing w:before="0" w:beforeAutospacing="0" w:after="0" w:afterAutospacing="0" w:line="360" w:lineRule="auto"/>
              <w:ind w:left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钢筋直径(mm)</w:t>
            </w:r>
          </w:p>
        </w:tc>
        <w:tc>
          <w:tcPr>
            <w:tcW w:w="0" w:type="auto"/>
            <w:tcBorders>
              <w:top w:val="single" w:color="auto" w:sz="6" w:space="0"/>
              <w:bottom w:val="single" w:color="auto" w:sz="6" w:space="0"/>
              <w:right w:val="single" w:color="auto" w:sz="6" w:space="0"/>
            </w:tcBorders>
            <w:shd w:val="clear" w:color="auto" w:fill="FFFFFF"/>
            <w:noWrap/>
            <w:tcMar>
              <w:top w:w="158" w:type="dxa"/>
              <w:left w:w="240" w:type="dxa"/>
              <w:bottom w:w="113" w:type="dxa"/>
              <w:right w:w="240" w:type="dxa"/>
            </w:tcMar>
            <w:vAlign w:val="center"/>
          </w:tcPr>
          <w:p w14:paraId="1D8BFB91">
            <w:pPr>
              <w:pStyle w:val="7"/>
              <w:numPr>
                <w:ilvl w:val="0"/>
                <w:numId w:val="0"/>
              </w:numPr>
              <w:spacing w:before="0" w:beforeAutospacing="0" w:after="0" w:afterAutospacing="0" w:line="360" w:lineRule="auto"/>
              <w:ind w:left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允许偏差(%)</w:t>
            </w:r>
          </w:p>
        </w:tc>
      </w:tr>
      <w:tr w14:paraId="429EA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0" w:type="auto"/>
            <w:tcBorders>
              <w:left w:val="single" w:color="auto" w:sz="6" w:space="0"/>
              <w:bottom w:val="single" w:color="auto" w:sz="6" w:space="0"/>
              <w:right w:val="single" w:color="auto" w:sz="6" w:space="0"/>
            </w:tcBorders>
            <w:shd w:val="clear" w:color="auto" w:fill="FFFFFF"/>
            <w:tcMar>
              <w:top w:w="158" w:type="dxa"/>
              <w:left w:w="240" w:type="dxa"/>
              <w:bottom w:w="158" w:type="dxa"/>
              <w:right w:w="240" w:type="dxa"/>
            </w:tcMar>
            <w:vAlign w:val="center"/>
          </w:tcPr>
          <w:p w14:paraId="1ECFE67B">
            <w:pPr>
              <w:pStyle w:val="7"/>
              <w:numPr>
                <w:ilvl w:val="0"/>
                <w:numId w:val="0"/>
              </w:numPr>
              <w:spacing w:before="0" w:beforeAutospacing="0" w:after="0" w:afterAutospacing="0" w:line="360" w:lineRule="auto"/>
              <w:ind w:left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6~12</w:t>
            </w:r>
          </w:p>
        </w:tc>
        <w:tc>
          <w:tcPr>
            <w:tcW w:w="8145" w:type="dxa"/>
            <w:tcBorders>
              <w:bottom w:val="single" w:color="auto" w:sz="6" w:space="0"/>
              <w:right w:val="single" w:color="auto" w:sz="6" w:space="0"/>
            </w:tcBorders>
            <w:shd w:val="clear" w:color="auto" w:fill="FFFFFF"/>
            <w:tcMar>
              <w:top w:w="158" w:type="dxa"/>
              <w:left w:w="240" w:type="dxa"/>
              <w:bottom w:w="158" w:type="dxa"/>
              <w:right w:w="240" w:type="dxa"/>
            </w:tcMar>
            <w:vAlign w:val="center"/>
          </w:tcPr>
          <w:p w14:paraId="50F3342B">
            <w:pPr>
              <w:pStyle w:val="7"/>
              <w:numPr>
                <w:ilvl w:val="0"/>
                <w:numId w:val="0"/>
              </w:numPr>
              <w:spacing w:before="0" w:beforeAutospacing="0" w:after="0" w:afterAutospacing="0" w:line="360" w:lineRule="auto"/>
              <w:ind w:left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±10</w:t>
            </w:r>
          </w:p>
        </w:tc>
      </w:tr>
      <w:tr w14:paraId="52559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0" w:type="auto"/>
            <w:tcBorders>
              <w:left w:val="single" w:color="auto" w:sz="6" w:space="0"/>
              <w:bottom w:val="single" w:color="auto" w:sz="6" w:space="0"/>
              <w:right w:val="single" w:color="auto" w:sz="6" w:space="0"/>
            </w:tcBorders>
            <w:shd w:val="clear" w:color="auto" w:fill="FFFFFF"/>
            <w:tcMar>
              <w:top w:w="158" w:type="dxa"/>
              <w:left w:w="240" w:type="dxa"/>
              <w:bottom w:w="158" w:type="dxa"/>
              <w:right w:w="240" w:type="dxa"/>
            </w:tcMar>
            <w:vAlign w:val="center"/>
          </w:tcPr>
          <w:p w14:paraId="7BBD8CB7">
            <w:pPr>
              <w:pStyle w:val="7"/>
              <w:numPr>
                <w:ilvl w:val="0"/>
                <w:numId w:val="0"/>
              </w:numPr>
              <w:spacing w:before="0" w:beforeAutospacing="0" w:after="0" w:afterAutospacing="0" w:line="360" w:lineRule="auto"/>
              <w:ind w:left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14~20</w:t>
            </w:r>
          </w:p>
        </w:tc>
        <w:tc>
          <w:tcPr>
            <w:tcW w:w="8145" w:type="dxa"/>
            <w:tcBorders>
              <w:bottom w:val="single" w:color="auto" w:sz="6" w:space="0"/>
              <w:right w:val="single" w:color="auto" w:sz="6" w:space="0"/>
            </w:tcBorders>
            <w:shd w:val="clear" w:color="auto" w:fill="FFFFFF"/>
            <w:tcMar>
              <w:top w:w="158" w:type="dxa"/>
              <w:left w:w="240" w:type="dxa"/>
              <w:bottom w:w="158" w:type="dxa"/>
              <w:right w:w="240" w:type="dxa"/>
            </w:tcMar>
            <w:vAlign w:val="center"/>
          </w:tcPr>
          <w:p w14:paraId="01E8855C">
            <w:pPr>
              <w:pStyle w:val="7"/>
              <w:numPr>
                <w:ilvl w:val="0"/>
                <w:numId w:val="0"/>
              </w:numPr>
              <w:spacing w:before="0" w:beforeAutospacing="0" w:after="0" w:afterAutospacing="0" w:line="360" w:lineRule="auto"/>
              <w:ind w:left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±7</w:t>
            </w:r>
          </w:p>
        </w:tc>
      </w:tr>
      <w:tr w14:paraId="141D0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0" w:type="auto"/>
            <w:tcBorders>
              <w:left w:val="single" w:color="auto" w:sz="6" w:space="0"/>
              <w:bottom w:val="single" w:color="auto" w:sz="6" w:space="0"/>
              <w:right w:val="single" w:color="auto" w:sz="6" w:space="0"/>
            </w:tcBorders>
            <w:shd w:val="clear" w:color="auto" w:fill="FFFFFF"/>
            <w:tcMar>
              <w:top w:w="158" w:type="dxa"/>
              <w:left w:w="240" w:type="dxa"/>
              <w:bottom w:w="158" w:type="dxa"/>
              <w:right w:w="240" w:type="dxa"/>
            </w:tcMar>
            <w:vAlign w:val="center"/>
          </w:tcPr>
          <w:p w14:paraId="0C9FE35E">
            <w:pPr>
              <w:pStyle w:val="7"/>
              <w:numPr>
                <w:ilvl w:val="0"/>
                <w:numId w:val="0"/>
              </w:numPr>
              <w:spacing w:before="0" w:beforeAutospacing="0" w:after="0" w:afterAutospacing="0" w:line="360" w:lineRule="auto"/>
              <w:ind w:left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22~50</w:t>
            </w:r>
          </w:p>
        </w:tc>
        <w:tc>
          <w:tcPr>
            <w:tcW w:w="8145" w:type="dxa"/>
            <w:tcBorders>
              <w:bottom w:val="single" w:color="auto" w:sz="6" w:space="0"/>
              <w:right w:val="single" w:color="auto" w:sz="6" w:space="0"/>
            </w:tcBorders>
            <w:shd w:val="clear" w:color="auto" w:fill="FFFFFF"/>
            <w:tcMar>
              <w:top w:w="158" w:type="dxa"/>
              <w:left w:w="240" w:type="dxa"/>
              <w:bottom w:w="158" w:type="dxa"/>
              <w:right w:w="240" w:type="dxa"/>
            </w:tcMar>
            <w:vAlign w:val="center"/>
          </w:tcPr>
          <w:p w14:paraId="65BD0239">
            <w:pPr>
              <w:pStyle w:val="7"/>
              <w:numPr>
                <w:ilvl w:val="0"/>
                <w:numId w:val="0"/>
              </w:numPr>
              <w:spacing w:before="0" w:beforeAutospacing="0" w:after="0" w:afterAutospacing="0" w:line="360" w:lineRule="auto"/>
              <w:ind w:left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±6</w:t>
            </w:r>
          </w:p>
        </w:tc>
      </w:tr>
    </w:tbl>
    <w:p w14:paraId="5D403CD3">
      <w:pPr>
        <w:pStyle w:val="7"/>
        <w:numPr>
          <w:ilvl w:val="0"/>
          <w:numId w:val="0"/>
        </w:numPr>
        <w:spacing w:before="0" w:beforeAutospacing="0" w:after="0" w:afterAutospacing="0" w:line="360" w:lineRule="auto"/>
        <w:ind w:leftChars="0"/>
        <w:rPr>
          <w:rStyle w:val="11"/>
          <w:rFonts w:hint="eastAsia" w:ascii="仿宋" w:hAnsi="仿宋" w:eastAsia="仿宋" w:cs="仿宋"/>
          <w:b w:val="0"/>
          <w:bCs w:val="0"/>
        </w:rPr>
      </w:pPr>
      <w:r>
        <w:rPr>
          <w:rStyle w:val="11"/>
          <w:rFonts w:hint="eastAsia" w:ascii="仿宋" w:hAnsi="仿宋" w:eastAsia="仿宋" w:cs="仿宋"/>
          <w:b w:val="0"/>
          <w:bCs w:val="0"/>
          <w:lang w:val="en-US" w:eastAsia="zh-CN"/>
        </w:rPr>
        <w:t>注：重量偏差不合格，则‌双倍复检‌；仍不合格整批退场。</w:t>
      </w:r>
    </w:p>
    <w:p w14:paraId="2F5D7B78">
      <w:pPr>
        <w:pStyle w:val="7"/>
        <w:spacing w:before="0" w:beforeAutospacing="0" w:after="0" w:afterAutospacing="0" w:line="360" w:lineRule="auto"/>
        <w:rPr>
          <w:rStyle w:val="11"/>
          <w:rFonts w:hint="eastAsia" w:ascii="仿宋" w:hAnsi="仿宋" w:eastAsia="仿宋" w:cs="仿宋"/>
          <w:b/>
          <w:bCs/>
          <w:lang w:eastAsia="zh-CN"/>
        </w:rPr>
      </w:pPr>
      <w:r>
        <w:rPr>
          <w:rStyle w:val="11"/>
          <w:rFonts w:hint="eastAsia" w:ascii="仿宋" w:hAnsi="仿宋" w:eastAsia="仿宋" w:cs="仿宋"/>
          <w:b/>
          <w:bCs/>
        </w:rPr>
        <w:t>7、常见不合格项处理</w:t>
      </w:r>
      <w:r>
        <w:rPr>
          <w:rStyle w:val="11"/>
          <w:rFonts w:hint="eastAsia" w:ascii="仿宋" w:hAnsi="仿宋" w:eastAsia="仿宋" w:cs="仿宋"/>
          <w:b/>
          <w:bCs/>
          <w:lang w:eastAsia="zh-CN"/>
        </w:rPr>
        <w:t>：</w:t>
      </w:r>
    </w:p>
    <w:p w14:paraId="65E51DA3">
      <w:pPr>
        <w:pStyle w:val="7"/>
        <w:spacing w:before="0" w:beforeAutospacing="0" w:after="0" w:afterAutospacing="0" w:line="360" w:lineRule="auto"/>
        <w:rPr>
          <w:rStyle w:val="11"/>
          <w:rFonts w:hint="default" w:ascii="仿宋" w:hAnsi="仿宋" w:eastAsia="仿宋" w:cs="仿宋"/>
          <w:b w:val="0"/>
          <w:bCs w:val="0"/>
          <w:lang w:val="en-US" w:eastAsia="zh-CN"/>
        </w:rPr>
      </w:pPr>
      <w:r>
        <w:rPr>
          <w:rStyle w:val="11"/>
          <w:rFonts w:hint="eastAsia" w:ascii="仿宋" w:hAnsi="仿宋" w:eastAsia="仿宋" w:cs="仿宋"/>
          <w:b w:val="0"/>
          <w:bCs w:val="0"/>
          <w:lang w:val="en-US" w:eastAsia="zh-CN"/>
        </w:rPr>
        <w:t>材料进场验收不合格，整批退场。提供资料不齐全或者错漏需限时补交，到期未补充的，整批退场。</w:t>
      </w:r>
    </w:p>
    <w:p w14:paraId="3DC09CFE">
      <w:pPr>
        <w:pStyle w:val="7"/>
        <w:spacing w:before="0" w:beforeAutospacing="0" w:after="0" w:afterAutospacing="0" w:line="360" w:lineRule="auto"/>
        <w:rPr>
          <w:rStyle w:val="11"/>
          <w:rFonts w:hint="eastAsia" w:ascii="仿宋" w:hAnsi="仿宋" w:eastAsia="仿宋" w:cs="仿宋"/>
          <w:b/>
          <w:bCs/>
        </w:rPr>
      </w:pPr>
      <w:r>
        <w:rPr>
          <w:rStyle w:val="11"/>
          <w:rFonts w:hint="eastAsia" w:ascii="仿宋" w:hAnsi="仿宋" w:eastAsia="仿宋" w:cs="仿宋"/>
          <w:b/>
          <w:bCs/>
          <w:lang w:val="en-US" w:eastAsia="zh-CN"/>
        </w:rPr>
        <w:t>8</w:t>
      </w:r>
      <w:r>
        <w:rPr>
          <w:rStyle w:val="11"/>
          <w:rFonts w:hint="eastAsia" w:ascii="仿宋" w:hAnsi="仿宋" w:eastAsia="仿宋" w:cs="仿宋"/>
          <w:b/>
          <w:bCs/>
        </w:rPr>
        <w:t>、国家、行业和地方标准</w:t>
      </w:r>
      <w:r>
        <w:rPr>
          <w:rStyle w:val="11"/>
          <w:rFonts w:hint="eastAsia" w:ascii="仿宋" w:hAnsi="仿宋" w:eastAsia="仿宋" w:cs="仿宋"/>
          <w:b/>
          <w:bCs/>
          <w:lang w:val="en-US" w:eastAsia="zh-CN"/>
        </w:rPr>
        <w:t>和规范要求：</w:t>
      </w:r>
    </w:p>
    <w:p w14:paraId="3E2CED1A">
      <w:pPr>
        <w:pStyle w:val="7"/>
        <w:numPr>
          <w:ilvl w:val="0"/>
          <w:numId w:val="5"/>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GB/T 1499.1-2017（光圆钢筋）</w:t>
      </w:r>
    </w:p>
    <w:p w14:paraId="5FB38B33">
      <w:pPr>
        <w:pStyle w:val="7"/>
        <w:numPr>
          <w:ilvl w:val="0"/>
          <w:numId w:val="5"/>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GB/T 1499.2-2018（热轧带肋钢筋）</w:t>
      </w:r>
    </w:p>
    <w:p w14:paraId="449E8A9D">
      <w:pPr>
        <w:pStyle w:val="7"/>
        <w:numPr>
          <w:ilvl w:val="0"/>
          <w:numId w:val="5"/>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‌工程设计要求‌（如抗震等级、特殊腐蚀防护要求）</w:t>
      </w:r>
    </w:p>
    <w:p w14:paraId="03536C54">
      <w:pPr>
        <w:pStyle w:val="3"/>
        <w:widowControl/>
        <w:spacing w:beforeAutospacing="0" w:line="360" w:lineRule="auto"/>
        <w:rPr>
          <w:rStyle w:val="11"/>
          <w:rFonts w:hint="default" w:ascii="仿宋" w:hAnsi="仿宋" w:eastAsia="仿宋" w:cs="仿宋"/>
          <w:b/>
          <w:bCs/>
          <w:sz w:val="28"/>
          <w:szCs w:val="28"/>
        </w:rPr>
      </w:pPr>
      <w:r>
        <w:rPr>
          <w:rStyle w:val="11"/>
          <w:rFonts w:hint="eastAsia" w:ascii="仿宋" w:hAnsi="仿宋" w:eastAsia="仿宋" w:cs="仿宋"/>
          <w:b/>
          <w:bCs/>
          <w:sz w:val="28"/>
          <w:szCs w:val="28"/>
          <w:lang w:val="en-US" w:eastAsia="zh-CN"/>
        </w:rPr>
        <w:t>四</w:t>
      </w:r>
      <w:r>
        <w:rPr>
          <w:rStyle w:val="11"/>
          <w:rFonts w:ascii="仿宋" w:hAnsi="仿宋" w:eastAsia="仿宋" w:cs="仿宋"/>
          <w:b/>
          <w:bCs/>
          <w:sz w:val="28"/>
          <w:szCs w:val="28"/>
        </w:rPr>
        <w:t>、安全文明施工要求</w:t>
      </w:r>
    </w:p>
    <w:p w14:paraId="66E7E99C">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rPr>
        <w:t>1、安全操作及人员管理：</w:t>
      </w:r>
      <w:r>
        <w:rPr>
          <w:rStyle w:val="11"/>
          <w:rFonts w:hint="eastAsia" w:ascii="仿宋" w:hAnsi="仿宋" w:eastAsia="仿宋" w:cs="仿宋"/>
          <w:b w:val="0"/>
          <w:bCs w:val="0"/>
        </w:rPr>
        <w:t>；特殊工种（</w:t>
      </w:r>
      <w:r>
        <w:rPr>
          <w:rStyle w:val="11"/>
          <w:rFonts w:hint="eastAsia" w:ascii="仿宋" w:hAnsi="仿宋" w:eastAsia="仿宋" w:cs="仿宋"/>
          <w:b w:val="0"/>
          <w:bCs w:val="0"/>
          <w:lang w:val="en-US" w:eastAsia="zh-CN"/>
        </w:rPr>
        <w:t>叉车</w:t>
      </w:r>
      <w:r>
        <w:rPr>
          <w:rStyle w:val="11"/>
          <w:rFonts w:hint="eastAsia" w:ascii="仿宋" w:hAnsi="仿宋" w:eastAsia="仿宋" w:cs="仿宋"/>
          <w:b w:val="0"/>
          <w:bCs w:val="0"/>
        </w:rPr>
        <w:t>、起重机等设备操作人员）必须持有效证件，人证合一。机械操作人员必须身体健康，无妨碍安全操作的疾病（如心脏病、癫痫、色盲等）。严禁疲劳驾驶、酒后驾驶。现场机械设备作业及运输车辆工作必须严格遵守甲方安全管理要求，包括现场机械设备作业时必须配备专职人员进行旁站指挥，运输车辆工作时交通安全，过程中如因乙方违反安全驾驶、机械设备违规操作等原因产生的事故损失完全由乙方承担。</w:t>
      </w:r>
    </w:p>
    <w:p w14:paraId="4AC66838">
      <w:pPr>
        <w:pStyle w:val="7"/>
        <w:spacing w:before="0" w:beforeAutospacing="0" w:after="0" w:afterAutospacing="0" w:line="360" w:lineRule="auto"/>
        <w:ind w:firstLine="482" w:firstLineChars="200"/>
        <w:rPr>
          <w:rFonts w:ascii="仿宋" w:hAnsi="仿宋" w:eastAsia="仿宋"/>
        </w:rPr>
      </w:pPr>
      <w:r>
        <w:rPr>
          <w:rStyle w:val="11"/>
          <w:rFonts w:hint="eastAsia" w:ascii="仿宋" w:hAnsi="仿宋" w:eastAsia="仿宋" w:cs="仿宋"/>
        </w:rPr>
        <w:t>2、机械设备管理：</w:t>
      </w:r>
      <w:r>
        <w:rPr>
          <w:rFonts w:hint="eastAsia" w:ascii="仿宋" w:hAnsi="仿宋" w:eastAsia="仿宋"/>
        </w:rPr>
        <w:t>本项目所有机械设备（</w:t>
      </w:r>
      <w:r>
        <w:rPr>
          <w:rFonts w:hint="eastAsia" w:ascii="仿宋" w:hAnsi="仿宋" w:eastAsia="仿宋"/>
          <w:lang w:val="en-US" w:eastAsia="zh-CN"/>
        </w:rPr>
        <w:t>材料运输车辆、起重设备、叉车</w:t>
      </w:r>
      <w:r>
        <w:rPr>
          <w:rFonts w:hint="eastAsia" w:ascii="仿宋" w:hAnsi="仿宋" w:eastAsia="仿宋"/>
        </w:rPr>
        <w:t>等）必须已在国家相关部门注册登记，拥有有效的行驶证/登记证（</w:t>
      </w:r>
      <w:r>
        <w:rPr>
          <w:rFonts w:hint="eastAsia" w:ascii="仿宋" w:hAnsi="仿宋" w:eastAsia="仿宋"/>
          <w:lang w:val="en-US" w:eastAsia="zh-CN"/>
        </w:rPr>
        <w:t>运输</w:t>
      </w:r>
      <w:r>
        <w:rPr>
          <w:rFonts w:hint="eastAsia" w:ascii="仿宋" w:hAnsi="仿宋" w:eastAsia="仿宋"/>
        </w:rPr>
        <w:t>车</w:t>
      </w:r>
      <w:r>
        <w:rPr>
          <w:rFonts w:hint="eastAsia" w:ascii="仿宋" w:hAnsi="仿宋" w:eastAsia="仿宋"/>
          <w:lang w:val="en-US" w:eastAsia="zh-CN"/>
        </w:rPr>
        <w:t>辆</w:t>
      </w:r>
      <w:r>
        <w:rPr>
          <w:rFonts w:hint="eastAsia" w:ascii="仿宋" w:hAnsi="仿宋" w:eastAsia="仿宋"/>
        </w:rPr>
        <w:t>）等相关证件。</w:t>
      </w:r>
      <w:r>
        <w:rPr>
          <w:rFonts w:hint="eastAsia" w:ascii="MS Gothic" w:hAnsi="MS Gothic" w:eastAsia="MS Gothic" w:cs="MS Gothic"/>
        </w:rPr>
        <w:t>‌</w:t>
      </w:r>
      <w:r>
        <w:rPr>
          <w:rFonts w:hint="eastAsia" w:ascii="仿宋" w:hAnsi="仿宋" w:eastAsia="仿宋"/>
        </w:rPr>
        <w:t>如果涉及特种设备（如某些大型起重设备），必须持有有效的《特种设备使用登记证》和定期检验合格报告，相关操作作业人员也必须持有特种设备操作证（如涉及）、驾驶证等相关证件。</w:t>
      </w:r>
    </w:p>
    <w:p w14:paraId="5A2BC79D">
      <w:pPr>
        <w:pStyle w:val="7"/>
        <w:spacing w:line="360" w:lineRule="auto"/>
        <w:ind w:firstLine="482" w:firstLineChars="200"/>
        <w:rPr>
          <w:rStyle w:val="11"/>
          <w:rFonts w:hint="eastAsia" w:ascii="仿宋" w:hAnsi="仿宋" w:eastAsia="仿宋" w:cs="仿宋"/>
          <w:b w:val="0"/>
          <w:bCs w:val="0"/>
        </w:rPr>
      </w:pPr>
      <w:r>
        <w:rPr>
          <w:rStyle w:val="11"/>
          <w:rFonts w:hint="eastAsia" w:ascii="仿宋" w:hAnsi="仿宋" w:eastAsia="仿宋" w:cs="仿宋"/>
          <w:bCs w:val="0"/>
        </w:rPr>
        <w:t>3、文明施工管理：</w:t>
      </w:r>
      <w:r>
        <w:rPr>
          <w:rStyle w:val="11"/>
          <w:rFonts w:hint="eastAsia" w:ascii="仿宋" w:hAnsi="仿宋" w:eastAsia="仿宋" w:cs="仿宋"/>
          <w:b w:val="0"/>
          <w:bCs w:val="0"/>
        </w:rPr>
        <w:t>严格执行“工完场清”制度。</w:t>
      </w:r>
      <w:r>
        <w:rPr>
          <w:rStyle w:val="11"/>
          <w:rFonts w:hint="eastAsia" w:ascii="仿宋" w:hAnsi="仿宋" w:eastAsia="仿宋" w:cs="仿宋"/>
          <w:b w:val="0"/>
          <w:bCs w:val="0"/>
          <w:lang w:val="en-US" w:eastAsia="zh-CN"/>
        </w:rPr>
        <w:t>材料运输、转运、卸货等过程中产生的杂物垃圾在完成卸货后自行打扫清理外运</w:t>
      </w:r>
      <w:r>
        <w:rPr>
          <w:rStyle w:val="11"/>
          <w:rFonts w:hint="eastAsia" w:ascii="仿宋" w:hAnsi="仿宋" w:eastAsia="仿宋" w:cs="仿宋"/>
          <w:b w:val="0"/>
          <w:bCs w:val="0"/>
        </w:rPr>
        <w:t>。</w:t>
      </w:r>
    </w:p>
    <w:p w14:paraId="532D1DDE">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bCs w:val="0"/>
        </w:rPr>
        <w:t>4、环境保护</w:t>
      </w:r>
      <w:r>
        <w:rPr>
          <w:rStyle w:val="11"/>
          <w:rFonts w:hint="eastAsia" w:ascii="仿宋" w:hAnsi="仿宋" w:eastAsia="仿宋" w:cs="仿宋"/>
          <w:b w:val="0"/>
          <w:bCs w:val="0"/>
        </w:rPr>
        <w:t>：所有机械、车辆进出场都必须</w:t>
      </w:r>
      <w:r>
        <w:rPr>
          <w:rFonts w:ascii="仿宋" w:hAnsi="仿宋" w:eastAsia="仿宋" w:cs="Arial"/>
          <w:color w:val="272933"/>
          <w:shd w:val="clear" w:color="auto" w:fill="FFFFFF"/>
        </w:rPr>
        <w:t>冲洗干净</w:t>
      </w:r>
      <w:r>
        <w:rPr>
          <w:rFonts w:hint="eastAsia" w:ascii="仿宋" w:hAnsi="仿宋" w:eastAsia="仿宋" w:cs="Arial"/>
          <w:color w:val="272933"/>
          <w:shd w:val="clear" w:color="auto" w:fill="FFFFFF"/>
        </w:rPr>
        <w:t>，无泥土带出工地，防止道路污染</w:t>
      </w:r>
      <w:r>
        <w:rPr>
          <w:rStyle w:val="11"/>
          <w:rFonts w:hint="eastAsia" w:ascii="仿宋" w:hAnsi="仿宋" w:eastAsia="仿宋" w:cs="仿宋"/>
          <w:b w:val="0"/>
          <w:bCs w:val="0"/>
        </w:rPr>
        <w:t>。施工噪音控制严格执行《建筑施工场界环境噪声排放标准》GB12523，合理安排作业时间，避免夜间（22:00-6:00）高噪音作业。</w:t>
      </w:r>
    </w:p>
    <w:p w14:paraId="79510D70">
      <w:pPr>
        <w:pStyle w:val="3"/>
        <w:widowControl/>
        <w:spacing w:beforeAutospacing="0" w:line="360" w:lineRule="auto"/>
        <w:rPr>
          <w:rStyle w:val="11"/>
          <w:rFonts w:hint="default" w:ascii="仿宋" w:hAnsi="仿宋" w:eastAsia="仿宋" w:cs="仿宋"/>
          <w:b/>
          <w:bCs/>
          <w:sz w:val="28"/>
          <w:szCs w:val="28"/>
        </w:rPr>
      </w:pPr>
      <w:r>
        <w:rPr>
          <w:rStyle w:val="11"/>
          <w:rFonts w:hint="eastAsia" w:ascii="仿宋" w:hAnsi="仿宋" w:eastAsia="仿宋" w:cs="仿宋"/>
          <w:b/>
          <w:bCs/>
          <w:sz w:val="28"/>
          <w:szCs w:val="28"/>
          <w:lang w:val="en-US" w:eastAsia="zh-CN"/>
        </w:rPr>
        <w:t>五</w:t>
      </w:r>
      <w:r>
        <w:rPr>
          <w:rStyle w:val="11"/>
          <w:rFonts w:ascii="仿宋" w:hAnsi="仿宋" w:eastAsia="仿宋" w:cs="仿宋"/>
          <w:b/>
          <w:bCs/>
          <w:sz w:val="28"/>
          <w:szCs w:val="28"/>
        </w:rPr>
        <w:t>、施工配合要求</w:t>
      </w:r>
    </w:p>
    <w:bookmarkEnd w:id="0"/>
    <w:bookmarkEnd w:id="1"/>
    <w:p w14:paraId="1C5C7BC3">
      <w:pPr>
        <w:pStyle w:val="7"/>
        <w:spacing w:before="0" w:beforeAutospacing="0" w:after="0" w:afterAutospacing="0" w:line="360" w:lineRule="auto"/>
        <w:rPr>
          <w:rFonts w:hint="eastAsia" w:ascii="仿宋" w:hAnsi="仿宋" w:eastAsia="仿宋"/>
        </w:rPr>
      </w:pPr>
      <w:r>
        <w:rPr>
          <w:rFonts w:hint="eastAsia" w:ascii="仿宋" w:hAnsi="仿宋" w:eastAsia="仿宋"/>
        </w:rPr>
        <w:t>1、</w:t>
      </w:r>
      <w:r>
        <w:rPr>
          <w:rFonts w:hint="eastAsia" w:ascii="仿宋" w:hAnsi="仿宋" w:eastAsia="仿宋"/>
          <w:lang w:val="en-US" w:eastAsia="zh-CN"/>
        </w:rPr>
        <w:t>供货周期：</w:t>
      </w:r>
      <w:r>
        <w:rPr>
          <w:rFonts w:hint="eastAsia" w:ascii="仿宋" w:hAnsi="仿宋" w:eastAsia="仿宋"/>
        </w:rPr>
        <w:t>项目部下单，必须</w:t>
      </w:r>
      <w:r>
        <w:rPr>
          <w:rFonts w:hint="eastAsia" w:ascii="仿宋" w:hAnsi="仿宋" w:eastAsia="仿宋"/>
          <w:lang w:val="en-US" w:eastAsia="zh-CN"/>
        </w:rPr>
        <w:t>7</w:t>
      </w:r>
      <w:r>
        <w:rPr>
          <w:rFonts w:hint="eastAsia" w:ascii="仿宋" w:hAnsi="仿宋" w:eastAsia="仿宋"/>
        </w:rPr>
        <w:t>天内到场，特殊情况需</w:t>
      </w:r>
      <w:r>
        <w:rPr>
          <w:rFonts w:hint="eastAsia" w:ascii="仿宋" w:hAnsi="仿宋" w:eastAsia="仿宋"/>
          <w:lang w:val="en-US" w:eastAsia="zh-CN"/>
        </w:rPr>
        <w:t>3</w:t>
      </w:r>
      <w:r>
        <w:rPr>
          <w:rFonts w:hint="eastAsia" w:ascii="仿宋" w:hAnsi="仿宋" w:eastAsia="仿宋"/>
        </w:rPr>
        <w:t>天内进场；</w:t>
      </w:r>
    </w:p>
    <w:p w14:paraId="0118A22C">
      <w:pPr>
        <w:pStyle w:val="7"/>
        <w:spacing w:before="0" w:beforeAutospacing="0" w:after="0" w:afterAutospacing="0" w:line="360" w:lineRule="auto"/>
        <w:rPr>
          <w:rFonts w:hint="eastAsia" w:ascii="仿宋" w:hAnsi="仿宋" w:eastAsia="仿宋"/>
        </w:rPr>
      </w:pPr>
      <w:r>
        <w:rPr>
          <w:rFonts w:hint="eastAsia" w:ascii="仿宋" w:hAnsi="仿宋" w:eastAsia="仿宋"/>
        </w:rPr>
        <w:t>2、</w:t>
      </w:r>
      <w:r>
        <w:rPr>
          <w:rFonts w:hint="eastAsia" w:ascii="仿宋" w:hAnsi="仿宋" w:eastAsia="仿宋"/>
          <w:lang w:val="en-US" w:eastAsia="zh-CN"/>
        </w:rPr>
        <w:t>现场配合：</w:t>
      </w:r>
      <w:r>
        <w:rPr>
          <w:rFonts w:hint="eastAsia" w:ascii="仿宋" w:hAnsi="仿宋" w:eastAsia="仿宋"/>
        </w:rPr>
        <w:t>供应商无条件配合现场施工进度要求；</w:t>
      </w:r>
    </w:p>
    <w:p w14:paraId="33868952">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3</w:t>
      </w:r>
      <w:r>
        <w:rPr>
          <w:rFonts w:hint="eastAsia" w:ascii="仿宋" w:hAnsi="仿宋" w:eastAsia="仿宋"/>
        </w:rPr>
        <w:t>、</w:t>
      </w:r>
      <w:r>
        <w:rPr>
          <w:rFonts w:hint="eastAsia" w:ascii="仿宋" w:hAnsi="仿宋" w:eastAsia="仿宋"/>
          <w:lang w:val="en-US" w:eastAsia="zh-CN"/>
        </w:rPr>
        <w:t>材料验收</w:t>
      </w:r>
      <w:r>
        <w:rPr>
          <w:rFonts w:ascii="仿宋" w:hAnsi="仿宋" w:eastAsia="仿宋"/>
        </w:rPr>
        <w:t>：</w:t>
      </w:r>
      <w:r>
        <w:rPr>
          <w:rFonts w:hint="eastAsia" w:ascii="仿宋" w:hAnsi="仿宋" w:eastAsia="仿宋"/>
          <w:lang w:val="en-US" w:eastAsia="zh-CN"/>
        </w:rPr>
        <w:t>材料</w:t>
      </w:r>
      <w:r>
        <w:rPr>
          <w:rFonts w:ascii="仿宋" w:hAnsi="仿宋" w:eastAsia="仿宋"/>
        </w:rPr>
        <w:t>到场</w:t>
      </w:r>
      <w:r>
        <w:rPr>
          <w:rFonts w:hint="eastAsia" w:ascii="仿宋" w:hAnsi="仿宋" w:eastAsia="仿宋"/>
          <w:lang w:val="en-US" w:eastAsia="zh-CN"/>
        </w:rPr>
        <w:t>后</w:t>
      </w:r>
      <w:r>
        <w:rPr>
          <w:rFonts w:ascii="仿宋" w:hAnsi="仿宋" w:eastAsia="仿宋"/>
        </w:rPr>
        <w:t>发现</w:t>
      </w:r>
      <w:r>
        <w:rPr>
          <w:rFonts w:hint="eastAsia" w:ascii="仿宋" w:hAnsi="仿宋" w:eastAsia="仿宋"/>
          <w:lang w:val="en-US" w:eastAsia="zh-CN"/>
        </w:rPr>
        <w:t>存在明显质量问题例如外观质量和尺寸偏差等问题</w:t>
      </w:r>
      <w:r>
        <w:rPr>
          <w:rFonts w:ascii="仿宋" w:hAnsi="仿宋" w:eastAsia="仿宋"/>
        </w:rPr>
        <w:t>，48小时内完成退换货；</w:t>
      </w:r>
    </w:p>
    <w:p w14:paraId="0F42888F">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4</w:t>
      </w:r>
      <w:r>
        <w:rPr>
          <w:rFonts w:hint="eastAsia" w:ascii="仿宋" w:hAnsi="仿宋" w:eastAsia="仿宋"/>
        </w:rPr>
        <w:t>、</w:t>
      </w:r>
      <w:r>
        <w:rPr>
          <w:rFonts w:ascii="仿宋" w:hAnsi="仿宋" w:eastAsia="仿宋"/>
        </w:rPr>
        <w:t>供应商延迟到货：按合同价0.1%/天扣款，超3天启动应急采购；</w:t>
      </w:r>
    </w:p>
    <w:p w14:paraId="7D9B6379">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5</w:t>
      </w:r>
      <w:r>
        <w:rPr>
          <w:rFonts w:hint="eastAsia" w:ascii="仿宋" w:hAnsi="仿宋" w:eastAsia="仿宋"/>
        </w:rPr>
        <w:t>、</w:t>
      </w:r>
      <w:r>
        <w:rPr>
          <w:rFonts w:ascii="仿宋" w:hAnsi="仿宋" w:eastAsia="仿宋"/>
        </w:rPr>
        <w:t>到货通知：提前24小时发送货车车牌号、司机电话、预计抵达时间、货物清单及发货照片。</w:t>
      </w:r>
    </w:p>
    <w:p w14:paraId="34E91A76">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6、材料照管：在货物移交给采购人并经采购人验收合格前，货物的损耗、毁损、灭失的风险和责任均由供应商自行承担。</w:t>
      </w:r>
    </w:p>
    <w:p w14:paraId="6EFDE7A8">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7、材料运输及卸货：</w:t>
      </w:r>
      <w:r>
        <w:rPr>
          <w:rFonts w:ascii="仿宋" w:hAnsi="仿宋" w:eastAsia="仿宋"/>
        </w:rPr>
        <w:t>提前勘察道路限高/限宽，夜间运输避开市区高峰</w:t>
      </w:r>
      <w:r>
        <w:rPr>
          <w:rFonts w:hint="eastAsia" w:ascii="仿宋" w:hAnsi="仿宋" w:eastAsia="仿宋"/>
          <w:lang w:eastAsia="zh-CN"/>
        </w:rPr>
        <w:t>。</w:t>
      </w:r>
      <w:r>
        <w:rPr>
          <w:rFonts w:hint="eastAsia" w:ascii="仿宋" w:hAnsi="仿宋" w:eastAsia="仿宋"/>
          <w:lang w:val="en-US" w:eastAsia="zh-CN"/>
        </w:rPr>
        <w:t>材料运输及卸货过程中供应商需做好必要的材料的成品保护，材料到场后司机必须提供完整、清晰、签章齐全的出厂单据（发货单/运输单）及时通知采购人进行材料验收，</w:t>
      </w:r>
      <w:r>
        <w:rPr>
          <w:rFonts w:ascii="仿宋" w:hAnsi="仿宋" w:eastAsia="仿宋"/>
        </w:rPr>
        <w:t>不符合要求有权拒收</w:t>
      </w:r>
      <w:r>
        <w:rPr>
          <w:rFonts w:hint="eastAsia" w:ascii="仿宋" w:hAnsi="仿宋" w:eastAsia="仿宋"/>
          <w:lang w:eastAsia="zh-CN"/>
        </w:rPr>
        <w:t>。</w:t>
      </w:r>
      <w:r>
        <w:rPr>
          <w:rFonts w:hint="eastAsia" w:ascii="仿宋" w:hAnsi="仿宋" w:eastAsia="仿宋"/>
          <w:lang w:val="en-US" w:eastAsia="zh-CN"/>
        </w:rPr>
        <w:t>验收合格后安排人员、机械将材料进行卸货转运至指定地点。</w:t>
      </w:r>
    </w:p>
    <w:p w14:paraId="44EEB6CB">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8、材料检测：合同执行过程中供应商必须根据项目的检测方案无条件配合材料送检并保证合格。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modern"/>
    <w:pitch w:val="default"/>
    <w:sig w:usb0="E00002FF" w:usb1="6AC7FDFB" w:usb2="08000012" w:usb3="00000000" w:csb0="4002009F" w:csb1="DFD7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1A0EC8"/>
    <w:multiLevelType w:val="singleLevel"/>
    <w:tmpl w:val="B21A0EC8"/>
    <w:lvl w:ilvl="0" w:tentative="0">
      <w:start w:val="1"/>
      <w:numFmt w:val="bullet"/>
      <w:lvlText w:val=""/>
      <w:lvlJc w:val="left"/>
      <w:pPr>
        <w:ind w:left="420" w:hanging="420"/>
      </w:pPr>
      <w:rPr>
        <w:rFonts w:hint="default" w:ascii="Wingdings" w:hAnsi="Wingdings"/>
      </w:rPr>
    </w:lvl>
  </w:abstractNum>
  <w:abstractNum w:abstractNumId="1">
    <w:nsid w:val="CD2CF2B2"/>
    <w:multiLevelType w:val="singleLevel"/>
    <w:tmpl w:val="CD2CF2B2"/>
    <w:lvl w:ilvl="0" w:tentative="0">
      <w:start w:val="1"/>
      <w:numFmt w:val="bullet"/>
      <w:lvlText w:val=""/>
      <w:lvlJc w:val="left"/>
      <w:pPr>
        <w:ind w:left="420" w:hanging="420"/>
      </w:pPr>
      <w:rPr>
        <w:rFonts w:hint="default" w:ascii="Wingdings" w:hAnsi="Wingdings"/>
      </w:rPr>
    </w:lvl>
  </w:abstractNum>
  <w:abstractNum w:abstractNumId="2">
    <w:nsid w:val="CD7B9F34"/>
    <w:multiLevelType w:val="singleLevel"/>
    <w:tmpl w:val="CD7B9F34"/>
    <w:lvl w:ilvl="0" w:tentative="0">
      <w:start w:val="1"/>
      <w:numFmt w:val="bullet"/>
      <w:lvlText w:val=""/>
      <w:lvlJc w:val="left"/>
      <w:pPr>
        <w:ind w:left="420" w:hanging="420"/>
      </w:pPr>
      <w:rPr>
        <w:rFonts w:hint="default" w:ascii="Wingdings" w:hAnsi="Wingdings"/>
      </w:rPr>
    </w:lvl>
  </w:abstractNum>
  <w:abstractNum w:abstractNumId="3">
    <w:nsid w:val="D05B3C49"/>
    <w:multiLevelType w:val="singleLevel"/>
    <w:tmpl w:val="D05B3C49"/>
    <w:lvl w:ilvl="0" w:tentative="0">
      <w:start w:val="1"/>
      <w:numFmt w:val="bullet"/>
      <w:lvlText w:val=""/>
      <w:lvlJc w:val="left"/>
      <w:pPr>
        <w:ind w:left="420" w:hanging="420"/>
      </w:pPr>
      <w:rPr>
        <w:rFonts w:hint="default" w:ascii="Wingdings" w:hAnsi="Wingdings"/>
      </w:rPr>
    </w:lvl>
  </w:abstractNum>
  <w:abstractNum w:abstractNumId="4">
    <w:nsid w:val="3E881B9C"/>
    <w:multiLevelType w:val="singleLevel"/>
    <w:tmpl w:val="3E881B9C"/>
    <w:lvl w:ilvl="0" w:tentative="0">
      <w:start w:val="1"/>
      <w:numFmt w:val="bullet"/>
      <w:lvlText w:val=""/>
      <w:lvlJc w:val="left"/>
      <w:pPr>
        <w:ind w:left="420" w:hanging="420"/>
      </w:pPr>
      <w:rPr>
        <w:rFonts w:hint="default" w:ascii="Wingdings" w:hAnsi="Wingdings"/>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D5B"/>
    <w:rsid w:val="000064C5"/>
    <w:rsid w:val="000264FE"/>
    <w:rsid w:val="000323AB"/>
    <w:rsid w:val="000722DB"/>
    <w:rsid w:val="00086275"/>
    <w:rsid w:val="000E4CB1"/>
    <w:rsid w:val="000F2BB9"/>
    <w:rsid w:val="000F369B"/>
    <w:rsid w:val="00124AF1"/>
    <w:rsid w:val="0012534E"/>
    <w:rsid w:val="00136D61"/>
    <w:rsid w:val="001378AF"/>
    <w:rsid w:val="00185134"/>
    <w:rsid w:val="00191122"/>
    <w:rsid w:val="001B0CF8"/>
    <w:rsid w:val="001D6D5C"/>
    <w:rsid w:val="001F2A1C"/>
    <w:rsid w:val="00216324"/>
    <w:rsid w:val="00235C18"/>
    <w:rsid w:val="002425CE"/>
    <w:rsid w:val="002D10A6"/>
    <w:rsid w:val="00326FF9"/>
    <w:rsid w:val="00352A0A"/>
    <w:rsid w:val="0037692F"/>
    <w:rsid w:val="003B6F40"/>
    <w:rsid w:val="003E2E43"/>
    <w:rsid w:val="003E4701"/>
    <w:rsid w:val="0046074E"/>
    <w:rsid w:val="00486014"/>
    <w:rsid w:val="004B4B28"/>
    <w:rsid w:val="004C5E17"/>
    <w:rsid w:val="004F170C"/>
    <w:rsid w:val="00516990"/>
    <w:rsid w:val="005923A5"/>
    <w:rsid w:val="005B5964"/>
    <w:rsid w:val="0062192F"/>
    <w:rsid w:val="00630DA8"/>
    <w:rsid w:val="00654478"/>
    <w:rsid w:val="00672139"/>
    <w:rsid w:val="006A7F96"/>
    <w:rsid w:val="006B204B"/>
    <w:rsid w:val="006B6E0A"/>
    <w:rsid w:val="006C762D"/>
    <w:rsid w:val="006D4FB8"/>
    <w:rsid w:val="006E131A"/>
    <w:rsid w:val="006F5757"/>
    <w:rsid w:val="006F67C2"/>
    <w:rsid w:val="00717FDD"/>
    <w:rsid w:val="007829AA"/>
    <w:rsid w:val="007E7F97"/>
    <w:rsid w:val="0082146A"/>
    <w:rsid w:val="00827F4B"/>
    <w:rsid w:val="008464FF"/>
    <w:rsid w:val="00852BD2"/>
    <w:rsid w:val="0085450D"/>
    <w:rsid w:val="00893CFC"/>
    <w:rsid w:val="008D2FC5"/>
    <w:rsid w:val="008D4FD8"/>
    <w:rsid w:val="00912145"/>
    <w:rsid w:val="00920412"/>
    <w:rsid w:val="009D2AC5"/>
    <w:rsid w:val="00A31730"/>
    <w:rsid w:val="00A54748"/>
    <w:rsid w:val="00A7697F"/>
    <w:rsid w:val="00AA4DEF"/>
    <w:rsid w:val="00AA7C5B"/>
    <w:rsid w:val="00AC3F9D"/>
    <w:rsid w:val="00AD5D11"/>
    <w:rsid w:val="00AF0B17"/>
    <w:rsid w:val="00B02FD5"/>
    <w:rsid w:val="00B0440A"/>
    <w:rsid w:val="00B33B37"/>
    <w:rsid w:val="00B44603"/>
    <w:rsid w:val="00B87DF7"/>
    <w:rsid w:val="00BB52D1"/>
    <w:rsid w:val="00BE54E2"/>
    <w:rsid w:val="00C136B6"/>
    <w:rsid w:val="00C13A0D"/>
    <w:rsid w:val="00C15281"/>
    <w:rsid w:val="00C21EFF"/>
    <w:rsid w:val="00C27C37"/>
    <w:rsid w:val="00C52062"/>
    <w:rsid w:val="00C5307E"/>
    <w:rsid w:val="00CB1153"/>
    <w:rsid w:val="00CE60E4"/>
    <w:rsid w:val="00D13746"/>
    <w:rsid w:val="00D3242E"/>
    <w:rsid w:val="00D41D5B"/>
    <w:rsid w:val="00D60186"/>
    <w:rsid w:val="00DF04C7"/>
    <w:rsid w:val="00DF1C21"/>
    <w:rsid w:val="00E1166C"/>
    <w:rsid w:val="00E67EAE"/>
    <w:rsid w:val="00E862C5"/>
    <w:rsid w:val="00E95C77"/>
    <w:rsid w:val="00EC4B0F"/>
    <w:rsid w:val="00F03E80"/>
    <w:rsid w:val="00F402FA"/>
    <w:rsid w:val="00F45C11"/>
    <w:rsid w:val="00F51507"/>
    <w:rsid w:val="00F612A9"/>
    <w:rsid w:val="00F77B37"/>
    <w:rsid w:val="00F8764A"/>
    <w:rsid w:val="00FD4393"/>
    <w:rsid w:val="00FE0222"/>
    <w:rsid w:val="00FE1BD5"/>
    <w:rsid w:val="00FF4C2D"/>
    <w:rsid w:val="0C290216"/>
    <w:rsid w:val="0DF239EF"/>
    <w:rsid w:val="13772980"/>
    <w:rsid w:val="14A22215"/>
    <w:rsid w:val="181A574B"/>
    <w:rsid w:val="2EA20D1C"/>
    <w:rsid w:val="3E75078E"/>
    <w:rsid w:val="454750F0"/>
    <w:rsid w:val="62947122"/>
    <w:rsid w:val="63D76E38"/>
    <w:rsid w:val="70C0247E"/>
    <w:rsid w:val="78595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paragraph" w:styleId="3">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link w:val="14"/>
    <w:semiHidden/>
    <w:unhideWhenUsed/>
    <w:qFormat/>
    <w:uiPriority w:val="9"/>
    <w:pPr>
      <w:keepNext/>
      <w:keepLines/>
      <w:spacing w:before="260" w:after="260" w:line="416" w:lineRule="auto"/>
      <w:outlineLvl w:val="2"/>
    </w:pPr>
    <w:rPr>
      <w:b/>
      <w:bCs/>
      <w:sz w:val="32"/>
      <w:szCs w:val="32"/>
    </w:rPr>
  </w:style>
  <w:style w:type="paragraph" w:styleId="5">
    <w:name w:val="heading 4"/>
    <w:basedOn w:val="1"/>
    <w:link w:val="13"/>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5"/>
    <w:semiHidden/>
    <w:unhideWhenUsed/>
    <w:qFormat/>
    <w:uiPriority w:val="99"/>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bCs/>
    </w:rPr>
  </w:style>
  <w:style w:type="paragraph" w:styleId="12">
    <w:name w:val="List Paragraph"/>
    <w:basedOn w:val="1"/>
    <w:qFormat/>
    <w:uiPriority w:val="34"/>
    <w:pPr>
      <w:ind w:firstLine="420" w:firstLineChars="200"/>
    </w:pPr>
  </w:style>
  <w:style w:type="character" w:customStyle="1" w:styleId="13">
    <w:name w:val="标题 4 Char"/>
    <w:basedOn w:val="10"/>
    <w:link w:val="5"/>
    <w:qFormat/>
    <w:uiPriority w:val="9"/>
    <w:rPr>
      <w:rFonts w:ascii="宋体" w:hAnsi="宋体" w:eastAsia="宋体" w:cs="宋体"/>
      <w:b/>
      <w:bCs/>
      <w:kern w:val="0"/>
      <w:sz w:val="24"/>
      <w:szCs w:val="24"/>
    </w:rPr>
  </w:style>
  <w:style w:type="character" w:customStyle="1" w:styleId="14">
    <w:name w:val="标题 3 Char"/>
    <w:basedOn w:val="10"/>
    <w:link w:val="4"/>
    <w:semiHidden/>
    <w:qFormat/>
    <w:uiPriority w:val="9"/>
    <w:rPr>
      <w:b/>
      <w:bCs/>
      <w:sz w:val="32"/>
      <w:szCs w:val="32"/>
    </w:rPr>
  </w:style>
  <w:style w:type="character" w:customStyle="1" w:styleId="15">
    <w:name w:val="批注框文本 Char"/>
    <w:basedOn w:val="10"/>
    <w:link w:val="6"/>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9A05A1-2D50-4C0B-8057-398231BEE3AD}">
  <ds:schemaRefs/>
</ds:datastoreItem>
</file>

<file path=docProps/app.xml><?xml version="1.0" encoding="utf-8"?>
<Properties xmlns="http://schemas.openxmlformats.org/officeDocument/2006/extended-properties" xmlns:vt="http://schemas.openxmlformats.org/officeDocument/2006/docPropsVTypes">
  <Template>Normal</Template>
  <Pages>4</Pages>
  <Words>1800</Words>
  <Characters>2106</Characters>
  <Lines>37</Lines>
  <Paragraphs>10</Paragraphs>
  <TotalTime>1</TotalTime>
  <ScaleCrop>false</ScaleCrop>
  <LinksUpToDate>false</LinksUpToDate>
  <CharactersWithSpaces>2135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2025-06-17T07:22:00Z</dcterms:created>
  <dc:creator>admin</dc:creator>
  <cp:lastModifiedBy>Lenovo</cp:lastModifiedBy>
  <cp:lastPrinted>2025-07-11T09:29:00Z</cp:lastPrinted>
  <dcterms:modified xsi:type="dcterms:W3CDTF">2025-08-06T07:55:23Z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eyJoZGlkIjoiYmRhODFmNzRmN2ZlNjc1OGE0YWUxNWEzMmNlMTZlZGUiLCJ1c2VySWQiOiIzNDgwMDA2NDgifQ==</vt:lpwstr>
  </property>
  <property fmtid="{D5CDD505-2E9C-101B-9397-08002B2CF9AE}" pid="3" name="KSOProductBuildVer">
    <vt:lpwstr>2052-12.1.0.21915</vt:lpwstr>
  </property>
  <property fmtid="{D5CDD505-2E9C-101B-9397-08002B2CF9AE}" pid="4" name="ICV">
    <vt:lpwstr>8367BC67ED624A2F850087B2C8490984_12</vt:lpwstr>
  </property>
</Properties>
</file>