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0BA3F">
      <w:pPr>
        <w:jc w:val="center"/>
        <w:rPr>
          <w:rFonts w:ascii="仿宋" w:hAnsi="仿宋" w:eastAsia="仿宋" w:cs="仿宋"/>
          <w:b/>
          <w:sz w:val="36"/>
          <w:szCs w:val="36"/>
        </w:rPr>
      </w:pPr>
      <w:bookmarkStart w:id="0" w:name="OLE_LINK2"/>
      <w:bookmarkStart w:id="1" w:name="OLE_LINK1"/>
      <w:r>
        <w:rPr>
          <w:rFonts w:hint="eastAsia" w:ascii="仿宋" w:hAnsi="仿宋" w:eastAsia="仿宋" w:cs="仿宋"/>
          <w:b/>
          <w:sz w:val="36"/>
          <w:szCs w:val="36"/>
          <w:lang w:val="en-US" w:eastAsia="zh-CN"/>
        </w:rPr>
        <w:t>石材材料</w:t>
      </w:r>
      <w:r>
        <w:rPr>
          <w:rFonts w:hint="eastAsia" w:ascii="仿宋" w:hAnsi="仿宋" w:eastAsia="仿宋" w:cs="仿宋"/>
          <w:b/>
          <w:sz w:val="36"/>
          <w:szCs w:val="36"/>
        </w:rPr>
        <w:t>采购用户需求书</w:t>
      </w:r>
    </w:p>
    <w:p w14:paraId="54F00727">
      <w:pPr>
        <w:pStyle w:val="3"/>
        <w:widowControl/>
        <w:spacing w:beforeAutospacing="0"/>
        <w:rPr>
          <w:rFonts w:hint="default" w:ascii="仿宋" w:hAnsi="仿宋" w:eastAsia="仿宋" w:cs="仿宋"/>
          <w:sz w:val="28"/>
          <w:szCs w:val="28"/>
        </w:rPr>
      </w:pPr>
      <w:r>
        <w:rPr>
          <w:rStyle w:val="11"/>
          <w:rFonts w:ascii="仿宋" w:hAnsi="仿宋" w:eastAsia="仿宋" w:cs="仿宋"/>
          <w:b/>
          <w:bCs/>
          <w:sz w:val="28"/>
          <w:szCs w:val="28"/>
        </w:rPr>
        <w:t>一、工程概况</w:t>
      </w:r>
    </w:p>
    <w:p w14:paraId="48CF91FD">
      <w:pPr>
        <w:pStyle w:val="7"/>
        <w:spacing w:before="0" w:beforeAutospacing="0" w:after="0" w:afterAutospacing="0" w:line="360" w:lineRule="auto"/>
        <w:ind w:firstLine="482" w:firstLineChars="200"/>
        <w:rPr>
          <w:rFonts w:ascii="仿宋" w:hAnsi="仿宋" w:eastAsia="仿宋" w:cs="仿宋"/>
        </w:rPr>
      </w:pPr>
      <w:r>
        <w:rPr>
          <w:rStyle w:val="11"/>
          <w:rFonts w:hint="eastAsia" w:ascii="仿宋" w:hAnsi="仿宋" w:eastAsia="仿宋" w:cs="仿宋"/>
          <w:lang w:val="en-US" w:eastAsia="zh-CN"/>
        </w:rPr>
        <w:t>材料供应工程地点</w:t>
      </w:r>
      <w:r>
        <w:rPr>
          <w:rFonts w:hint="eastAsia" w:ascii="仿宋" w:hAnsi="仿宋" w:eastAsia="仿宋" w:cs="仿宋"/>
        </w:rPr>
        <w:t>：东莞市石龙镇产业基地配套路网交通综合整治项目-外环连接线工程</w:t>
      </w:r>
      <w:r>
        <w:rPr>
          <w:rFonts w:hint="eastAsia" w:ascii="仿宋" w:hAnsi="仿宋" w:eastAsia="仿宋" w:cs="仿宋"/>
          <w:lang w:val="en-US" w:eastAsia="zh-CN"/>
        </w:rPr>
        <w:t>项目</w:t>
      </w:r>
      <w:r>
        <w:rPr>
          <w:rFonts w:hint="eastAsia" w:ascii="仿宋" w:hAnsi="仿宋" w:eastAsia="仿宋" w:cs="仿宋"/>
          <w:lang w:eastAsia="zh-CN"/>
        </w:rPr>
        <w:t>（</w:t>
      </w:r>
      <w:r>
        <w:rPr>
          <w:rFonts w:hint="eastAsia" w:ascii="仿宋" w:hAnsi="仿宋" w:eastAsia="仿宋" w:cs="仿宋"/>
          <w:lang w:val="en-US" w:eastAsia="zh-CN"/>
        </w:rPr>
        <w:t>东莞市石龙镇</w:t>
      </w:r>
      <w:r>
        <w:rPr>
          <w:rFonts w:hint="eastAsia" w:ascii="仿宋" w:hAnsi="仿宋" w:eastAsia="仿宋" w:cs="仿宋"/>
          <w:lang w:eastAsia="zh-CN"/>
        </w:rPr>
        <w:t>）</w:t>
      </w:r>
      <w:r>
        <w:rPr>
          <w:rFonts w:hint="eastAsia" w:ascii="仿宋" w:hAnsi="仿宋" w:eastAsia="仿宋" w:cs="仿宋"/>
        </w:rPr>
        <w:t>。</w:t>
      </w:r>
    </w:p>
    <w:p w14:paraId="6D4FE416">
      <w:pPr>
        <w:pStyle w:val="7"/>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bookmarkStart w:id="2" w:name="OLE_LINK24"/>
      <w:bookmarkStart w:id="3" w:name="OLE_LINK23"/>
      <w:bookmarkStart w:id="4" w:name="OLE_LINK13"/>
      <w:bookmarkStart w:id="5" w:name="OLE_LINK14"/>
    </w:p>
    <w:tbl>
      <w:tblPr>
        <w:tblStyle w:val="8"/>
        <w:tblW w:w="828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08"/>
        <w:gridCol w:w="1923"/>
        <w:gridCol w:w="889"/>
        <w:gridCol w:w="2363"/>
      </w:tblGrid>
      <w:tr w14:paraId="1933C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E8E8E8"/>
            <w:vAlign w:val="center"/>
          </w:tcPr>
          <w:p w14:paraId="29A60CDF">
            <w:pPr>
              <w:keepNext w:val="0"/>
              <w:keepLines w:val="0"/>
              <w:widowControl/>
              <w:suppressLineNumbers w:val="0"/>
              <w:jc w:val="center"/>
              <w:textAlignment w:val="center"/>
              <w:rPr>
                <w:rFonts w:hint="eastAsia" w:ascii="宋体" w:hAnsi="宋体" w:eastAsia="宋体" w:cs="宋体"/>
                <w:b/>
                <w:bCs/>
                <w:i w:val="0"/>
                <w:iCs w:val="0"/>
                <w:color w:val="262626"/>
                <w:sz w:val="24"/>
                <w:szCs w:val="24"/>
                <w:u w:val="none"/>
              </w:rPr>
            </w:pPr>
            <w:r>
              <w:rPr>
                <w:rFonts w:hint="eastAsia" w:ascii="宋体" w:hAnsi="宋体" w:eastAsia="宋体" w:cs="宋体"/>
                <w:b/>
                <w:bCs/>
                <w:i w:val="0"/>
                <w:iCs w:val="0"/>
                <w:color w:val="262626"/>
                <w:kern w:val="0"/>
                <w:sz w:val="24"/>
                <w:szCs w:val="24"/>
                <w:u w:val="none"/>
                <w:lang w:val="en-US" w:eastAsia="zh-CN" w:bidi="ar"/>
              </w:rPr>
              <w:t>名称</w:t>
            </w:r>
          </w:p>
        </w:tc>
        <w:tc>
          <w:tcPr>
            <w:tcW w:w="1923" w:type="dxa"/>
            <w:tcBorders>
              <w:top w:val="single" w:color="000000" w:sz="4" w:space="0"/>
              <w:left w:val="single" w:color="000000" w:sz="4" w:space="0"/>
              <w:bottom w:val="single" w:color="000000" w:sz="4" w:space="0"/>
              <w:right w:val="single" w:color="000000" w:sz="4" w:space="0"/>
            </w:tcBorders>
            <w:shd w:val="clear" w:color="auto" w:fill="E8E8E8"/>
            <w:vAlign w:val="center"/>
          </w:tcPr>
          <w:p w14:paraId="2B1798C6">
            <w:pPr>
              <w:keepNext w:val="0"/>
              <w:keepLines w:val="0"/>
              <w:widowControl/>
              <w:suppressLineNumbers w:val="0"/>
              <w:jc w:val="center"/>
              <w:textAlignment w:val="center"/>
              <w:rPr>
                <w:rFonts w:hint="eastAsia" w:ascii="宋体" w:hAnsi="宋体" w:eastAsia="宋体" w:cs="宋体"/>
                <w:b/>
                <w:bCs/>
                <w:i w:val="0"/>
                <w:iCs w:val="0"/>
                <w:color w:val="262626"/>
                <w:sz w:val="24"/>
                <w:szCs w:val="24"/>
                <w:u w:val="none"/>
              </w:rPr>
            </w:pPr>
            <w:r>
              <w:rPr>
                <w:rFonts w:hint="eastAsia" w:ascii="宋体" w:hAnsi="宋体" w:eastAsia="宋体" w:cs="宋体"/>
                <w:b/>
                <w:bCs/>
                <w:i w:val="0"/>
                <w:iCs w:val="0"/>
                <w:color w:val="262626"/>
                <w:kern w:val="0"/>
                <w:sz w:val="24"/>
                <w:szCs w:val="24"/>
                <w:u w:val="none"/>
                <w:lang w:val="en-US" w:eastAsia="zh-CN" w:bidi="ar"/>
              </w:rPr>
              <w:t>规格型号（mm）</w:t>
            </w:r>
          </w:p>
        </w:tc>
        <w:tc>
          <w:tcPr>
            <w:tcW w:w="889" w:type="dxa"/>
            <w:tcBorders>
              <w:top w:val="single" w:color="000000" w:sz="4" w:space="0"/>
              <w:left w:val="single" w:color="000000" w:sz="4" w:space="0"/>
              <w:bottom w:val="single" w:color="000000" w:sz="4" w:space="0"/>
              <w:right w:val="single" w:color="000000" w:sz="4" w:space="0"/>
            </w:tcBorders>
            <w:shd w:val="clear" w:color="auto" w:fill="E8E8E8"/>
            <w:vAlign w:val="center"/>
          </w:tcPr>
          <w:p w14:paraId="0D35FCB0">
            <w:pPr>
              <w:keepNext w:val="0"/>
              <w:keepLines w:val="0"/>
              <w:widowControl/>
              <w:suppressLineNumbers w:val="0"/>
              <w:jc w:val="center"/>
              <w:textAlignment w:val="center"/>
              <w:rPr>
                <w:rFonts w:hint="eastAsia" w:ascii="宋体" w:hAnsi="宋体" w:eastAsia="宋体" w:cs="宋体"/>
                <w:b/>
                <w:bCs/>
                <w:i w:val="0"/>
                <w:iCs w:val="0"/>
                <w:color w:val="262626"/>
                <w:sz w:val="24"/>
                <w:szCs w:val="24"/>
                <w:u w:val="none"/>
              </w:rPr>
            </w:pPr>
            <w:r>
              <w:rPr>
                <w:rFonts w:hint="eastAsia" w:ascii="宋体" w:hAnsi="宋体" w:eastAsia="宋体" w:cs="宋体"/>
                <w:b/>
                <w:bCs/>
                <w:i w:val="0"/>
                <w:iCs w:val="0"/>
                <w:color w:val="262626"/>
                <w:kern w:val="0"/>
                <w:sz w:val="24"/>
                <w:szCs w:val="24"/>
                <w:u w:val="none"/>
                <w:lang w:val="en-US" w:eastAsia="zh-CN" w:bidi="ar"/>
              </w:rPr>
              <w:t>单位</w:t>
            </w:r>
          </w:p>
        </w:tc>
        <w:tc>
          <w:tcPr>
            <w:tcW w:w="2363" w:type="dxa"/>
            <w:tcBorders>
              <w:top w:val="single" w:color="000000" w:sz="4" w:space="0"/>
              <w:left w:val="single" w:color="000000" w:sz="4" w:space="0"/>
              <w:bottom w:val="single" w:color="000000" w:sz="4" w:space="0"/>
              <w:right w:val="single" w:color="000000" w:sz="4" w:space="0"/>
            </w:tcBorders>
            <w:shd w:val="clear" w:color="auto" w:fill="E8E8E8"/>
            <w:vAlign w:val="center"/>
          </w:tcPr>
          <w:p w14:paraId="757E2C6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r>
      <w:tr w14:paraId="09C58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81F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水洗烧面芝麻灰立道牙</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155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900*300*150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0D1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4E0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9132.21 </w:t>
            </w:r>
          </w:p>
        </w:tc>
      </w:tr>
      <w:tr w14:paraId="5CEC5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D03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水洗烧面芝麻灰花岗岩整石（安全岛池壁）</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C64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1000*300*500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24D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2B4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30.45 </w:t>
            </w:r>
          </w:p>
        </w:tc>
      </w:tr>
      <w:tr w14:paraId="40463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1C0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水洗烧面芝麻灰平道牙</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C10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600*150*30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485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E56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343.88 </w:t>
            </w:r>
          </w:p>
        </w:tc>
      </w:tr>
      <w:tr w14:paraId="18DCD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10A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水洗烧面芝麻灰平道牙</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87C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900*200*150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35C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795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5646.45 </w:t>
            </w:r>
          </w:p>
        </w:tc>
      </w:tr>
      <w:tr w14:paraId="09D2E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4AE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荔枝面芝麻白花岗岩车止石</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B59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φ200*1200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01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B68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339.00 </w:t>
            </w:r>
          </w:p>
        </w:tc>
      </w:tr>
      <w:tr w14:paraId="386E4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DFE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水洗烧面芝麻灰花岗岩（人行道砖）</w:t>
            </w:r>
          </w:p>
        </w:tc>
        <w:tc>
          <w:tcPr>
            <w:tcW w:w="19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BC92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8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3ED8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FA59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1719.79 </w:t>
            </w:r>
          </w:p>
        </w:tc>
      </w:tr>
      <w:tr w14:paraId="05665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025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水洗烧面芝麻灰花岗岩</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034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83E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8B2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460.97 </w:t>
            </w:r>
          </w:p>
        </w:tc>
      </w:tr>
      <w:tr w14:paraId="1A756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D66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水洗烧面芝麻灰花岗岩（压顶）</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658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A40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3B8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12.79 </w:t>
            </w:r>
          </w:p>
        </w:tc>
      </w:tr>
      <w:tr w14:paraId="011E4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EB4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水洗烧面浪淘沙花岗岩（10*10切角）</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76B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4E6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5C7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124.30 </w:t>
            </w:r>
          </w:p>
        </w:tc>
      </w:tr>
      <w:tr w14:paraId="1918E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38E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水洗烧面芝麻灰花岗岩</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465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34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BB1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192.13 </w:t>
            </w:r>
          </w:p>
        </w:tc>
      </w:tr>
      <w:tr w14:paraId="1838C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F05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水洗烧面山东白麻花岗岩，整石，按形定制</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CD17A">
            <w:pPr>
              <w:rPr>
                <w:rFonts w:hint="eastAsia"/>
              </w:rPr>
            </w:pPr>
            <w:r>
              <w:rPr>
                <w:rFonts w:hint="eastAsia" w:asciiTheme="minorEastAsia" w:hAnsiTheme="minorEastAsia" w:eastAsiaTheme="minorEastAsia" w:cstheme="minorEastAsia"/>
                <w:lang w:val="en-US" w:eastAsia="zh-CN"/>
              </w:rPr>
              <w:t>900*900*400/800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A3A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A59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4.97 </w:t>
            </w:r>
          </w:p>
        </w:tc>
      </w:tr>
      <w:tr w14:paraId="3CEF7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C2C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水洗烧面山东白麻花岗岩，整石，按形定制</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BCA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900*900*400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B0D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5D4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3.45 </w:t>
            </w:r>
          </w:p>
        </w:tc>
      </w:tr>
      <w:tr w14:paraId="42B7F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F79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水洗烧面芝麻灰花岗岩</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605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C21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293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120.00 </w:t>
            </w:r>
          </w:p>
        </w:tc>
      </w:tr>
      <w:tr w14:paraId="46A72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88D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芝麻灰花岗岩水洗烧面排水沟盖板</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5E5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600*380*50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980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AF7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176.00 </w:t>
            </w:r>
          </w:p>
        </w:tc>
      </w:tr>
      <w:tr w14:paraId="7553C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217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水洗烧面芝麻灰花岗岩</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15A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ED4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DCF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89.47 </w:t>
            </w:r>
          </w:p>
        </w:tc>
      </w:tr>
      <w:tr w14:paraId="7C98C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1ED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水洗烧面芝麻白花岗岩整石(异形定制)</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87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L*1200*500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7AF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67E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0.84 </w:t>
            </w:r>
          </w:p>
        </w:tc>
      </w:tr>
      <w:tr w14:paraId="700D8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A4B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水洗烧面芝麻灰花岗岩</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187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5F3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E32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29.85</w:t>
            </w:r>
          </w:p>
        </w:tc>
      </w:tr>
      <w:tr w14:paraId="21DBF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294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水洗烧面芝麻灰花岗岩</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D81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CDA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0D2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91.91</w:t>
            </w:r>
          </w:p>
        </w:tc>
      </w:tr>
      <w:tr w14:paraId="623DE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076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黑金砂花岗岩门槛石</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DAC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E17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F58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2.39 </w:t>
            </w:r>
          </w:p>
        </w:tc>
      </w:tr>
      <w:tr w14:paraId="5F15A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458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水洗烧面芝麻灰花岗岩</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EDA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D43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046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454.02 </w:t>
            </w:r>
          </w:p>
        </w:tc>
      </w:tr>
      <w:tr w14:paraId="557F9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45C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水洗烧面芝麻灰花岗岩（盲道砖）</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2D7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300*300*50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EAF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485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185.99 </w:t>
            </w:r>
          </w:p>
        </w:tc>
      </w:tr>
      <w:tr w14:paraId="35979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BA0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山东白麻哑光面整石坐凳</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A51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1200/1800*600*500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ED0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5CD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16.99</w:t>
            </w:r>
          </w:p>
        </w:tc>
      </w:tr>
      <w:tr w14:paraId="29C40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EB4DD">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水洗烧面芝麻黑花岗岩，整石，按形定制</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084D9">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900*900*400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33CCB">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m3</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A304B">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0.77</w:t>
            </w:r>
          </w:p>
        </w:tc>
      </w:tr>
      <w:tr w14:paraId="771E6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8A2FA">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水洗烧面芝麻灰花岗岩</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B248F">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30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F4209">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05080">
            <w:pPr>
              <w:keepNext w:val="0"/>
              <w:keepLines w:val="0"/>
              <w:widowControl/>
              <w:suppressLineNumbers w:val="0"/>
              <w:jc w:val="center"/>
              <w:textAlignment w:val="center"/>
              <w:rPr>
                <w:rFonts w:hint="default" w:ascii="宋体" w:hAnsi="宋体" w:eastAsia="宋体" w:cs="宋体"/>
                <w:i w:val="0"/>
                <w:iCs w:val="0"/>
                <w:color w:val="262626"/>
                <w:sz w:val="24"/>
                <w:szCs w:val="24"/>
                <w:u w:val="none"/>
                <w:lang w:val="en-US"/>
              </w:rPr>
            </w:pPr>
            <w:r>
              <w:rPr>
                <w:rFonts w:hint="eastAsia" w:ascii="宋体" w:hAnsi="宋体" w:eastAsia="宋体" w:cs="宋体"/>
                <w:i w:val="0"/>
                <w:iCs w:val="0"/>
                <w:color w:val="262626"/>
                <w:kern w:val="0"/>
                <w:sz w:val="24"/>
                <w:szCs w:val="24"/>
                <w:u w:val="none"/>
                <w:lang w:val="en-US" w:eastAsia="zh-CN" w:bidi="ar"/>
              </w:rPr>
              <w:t>28.10</w:t>
            </w:r>
          </w:p>
        </w:tc>
      </w:tr>
      <w:tr w14:paraId="661F4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1547B">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水洗烧面芝麻灰花岗岩</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E6188">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50</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B4C47">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m2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E5975">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6.94</w:t>
            </w:r>
          </w:p>
        </w:tc>
      </w:tr>
    </w:tbl>
    <w:p w14:paraId="1A558DA5">
      <w:pPr>
        <w:pStyle w:val="7"/>
        <w:spacing w:before="0" w:beforeAutospacing="0" w:after="0" w:afterAutospacing="0" w:line="360" w:lineRule="auto"/>
        <w:ind w:firstLine="480" w:firstLineChars="200"/>
        <w:rPr>
          <w:rFonts w:hint="eastAsia" w:ascii="仿宋" w:hAnsi="仿宋" w:eastAsia="仿宋" w:cs="仿宋"/>
        </w:rPr>
      </w:pPr>
    </w:p>
    <w:bookmarkEnd w:id="2"/>
    <w:bookmarkEnd w:id="3"/>
    <w:p w14:paraId="0065C89D">
      <w:pPr>
        <w:pStyle w:val="7"/>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ascii="仿宋" w:hAnsi="仿宋" w:eastAsia="仿宋" w:cs="仿宋"/>
        </w:rPr>
      </w:pPr>
      <w:r>
        <w:rPr>
          <w:rFonts w:hint="eastAsia" w:ascii="仿宋" w:hAnsi="仿宋" w:eastAsia="仿宋" w:cs="仿宋"/>
          <w:b/>
        </w:rPr>
        <w:t>完整具体工程量和施工内容以招标清单和项目进场后</w:t>
      </w:r>
      <w:r>
        <w:rPr>
          <w:rFonts w:hint="eastAsia" w:ascii="仿宋" w:hAnsi="仿宋" w:eastAsia="仿宋" w:cs="仿宋"/>
          <w:b/>
          <w:lang w:val="en-US" w:eastAsia="zh-CN"/>
        </w:rPr>
        <w:t>下发的采购单</w:t>
      </w:r>
      <w:r>
        <w:rPr>
          <w:rFonts w:hint="eastAsia" w:ascii="仿宋" w:hAnsi="仿宋" w:eastAsia="仿宋" w:cs="仿宋"/>
          <w:b/>
        </w:rPr>
        <w:t>为准。</w:t>
      </w:r>
    </w:p>
    <w:bookmarkEnd w:id="4"/>
    <w:bookmarkEnd w:id="5"/>
    <w:p w14:paraId="336EE76B">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sz w:val="24"/>
        </w:rPr>
      </w:pPr>
      <w:r>
        <w:rPr>
          <w:rFonts w:hint="eastAsia" w:ascii="仿宋" w:hAnsi="仿宋" w:eastAsia="仿宋" w:cs="仿宋"/>
          <w:b/>
          <w:kern w:val="0"/>
          <w:sz w:val="24"/>
          <w:szCs w:val="24"/>
          <w:lang w:val="en-US" w:eastAsia="zh-CN" w:bidi="ar-SA"/>
        </w:rPr>
        <w:t>送货时间及数量：</w:t>
      </w:r>
      <w:r>
        <w:rPr>
          <w:rFonts w:hint="eastAsia" w:ascii="仿宋" w:hAnsi="仿宋" w:eastAsia="仿宋"/>
          <w:sz w:val="24"/>
        </w:rPr>
        <w:t>所有产品供货期为</w:t>
      </w:r>
      <w:r>
        <w:rPr>
          <w:rFonts w:hint="eastAsia" w:ascii="仿宋" w:hAnsi="仿宋" w:eastAsia="仿宋"/>
          <w:sz w:val="24"/>
          <w:u w:val="single"/>
          <w:lang w:val="en-US" w:eastAsia="zh-CN"/>
        </w:rPr>
        <w:t xml:space="preserve">228 </w:t>
      </w:r>
      <w:r>
        <w:rPr>
          <w:rFonts w:hint="eastAsia" w:ascii="仿宋" w:hAnsi="仿宋" w:eastAsia="仿宋"/>
          <w:sz w:val="24"/>
        </w:rPr>
        <w:t>个日历天</w:t>
      </w:r>
      <w:r>
        <w:rPr>
          <w:rFonts w:hint="eastAsia" w:ascii="仿宋" w:hAnsi="仿宋" w:eastAsia="仿宋"/>
          <w:sz w:val="24"/>
          <w:lang w:eastAsia="zh-CN"/>
        </w:rPr>
        <w:t>；</w:t>
      </w:r>
      <w:r>
        <w:rPr>
          <w:rFonts w:hint="eastAsia" w:ascii="仿宋" w:hAnsi="仿宋" w:eastAsia="仿宋"/>
          <w:sz w:val="24"/>
          <w:lang w:val="en-US" w:eastAsia="zh-CN"/>
        </w:rPr>
        <w:t>具体送货、备货时间以项目部正式通知为准，乙方承诺无条件配合甲方项目部根据施工进度安排对产品供货期的调整</w:t>
      </w:r>
      <w:r>
        <w:rPr>
          <w:rFonts w:hint="eastAsia" w:ascii="仿宋" w:hAnsi="仿宋" w:eastAsia="仿宋"/>
          <w:sz w:val="24"/>
        </w:rPr>
        <w:t>。</w:t>
      </w:r>
    </w:p>
    <w:p w14:paraId="3C0E9666">
      <w:pPr>
        <w:pStyle w:val="3"/>
        <w:widowControl/>
        <w:spacing w:beforeAutospacing="0" w:after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二、</w:t>
      </w:r>
      <w:r>
        <w:rPr>
          <w:rFonts w:hint="eastAsia" w:ascii="仿宋" w:hAnsi="仿宋" w:eastAsia="仿宋"/>
          <w:b/>
          <w:sz w:val="28"/>
          <w:szCs w:val="28"/>
        </w:rPr>
        <w:t>原材料加工要求</w:t>
      </w:r>
    </w:p>
    <w:p w14:paraId="4863C85E">
      <w:pPr>
        <w:spacing w:line="360" w:lineRule="auto"/>
        <w:ind w:firstLine="435"/>
        <w:rPr>
          <w:rFonts w:hint="eastAsia" w:ascii="仿宋" w:hAnsi="仿宋" w:eastAsia="仿宋"/>
          <w:sz w:val="24"/>
        </w:rPr>
      </w:pPr>
      <w:r>
        <w:rPr>
          <w:rFonts w:hint="eastAsia" w:ascii="仿宋" w:hAnsi="仿宋" w:eastAsia="仿宋"/>
          <w:sz w:val="24"/>
        </w:rPr>
        <w:t>1、石材加工对照深化图纸，每块石材对应编码进行测量复核，合格装车出货，尺寸偏差较大责令返工。</w:t>
      </w:r>
      <w:bookmarkStart w:id="6" w:name="_GoBack"/>
      <w:bookmarkEnd w:id="6"/>
      <w:r>
        <w:rPr>
          <w:rFonts w:ascii="仿宋" w:hAnsi="仿宋" w:eastAsia="仿宋"/>
          <w:sz w:val="24"/>
        </w:rPr>
        <w:cr/>
      </w:r>
      <w:r>
        <w:rPr>
          <w:rFonts w:hint="eastAsia" w:ascii="仿宋" w:hAnsi="仿宋" w:eastAsia="仿宋"/>
          <w:sz w:val="24"/>
        </w:rPr>
        <w:t xml:space="preserve">    2、</w:t>
      </w:r>
      <w:r>
        <w:rPr>
          <w:rFonts w:ascii="仿宋" w:hAnsi="仿宋" w:eastAsia="仿宋"/>
          <w:sz w:val="24"/>
        </w:rPr>
        <w:t>剔除含明显裂纹、色斑、晶洞及色差过大的荒料，优先选择致密均匀的块体。</w:t>
      </w:r>
    </w:p>
    <w:p w14:paraId="7D189128">
      <w:pPr>
        <w:spacing w:line="360" w:lineRule="auto"/>
        <w:ind w:firstLine="435"/>
        <w:rPr>
          <w:rFonts w:hint="eastAsia" w:ascii="仿宋" w:hAnsi="仿宋" w:eastAsia="仿宋"/>
          <w:sz w:val="24"/>
        </w:rPr>
      </w:pPr>
      <w:r>
        <w:rPr>
          <w:rFonts w:hint="eastAsia" w:ascii="仿宋" w:hAnsi="仿宋" w:eastAsia="仿宋"/>
          <w:sz w:val="24"/>
        </w:rPr>
        <w:t>3、</w:t>
      </w:r>
      <w:r>
        <w:rPr>
          <w:rFonts w:ascii="仿宋" w:hAnsi="仿宋" w:eastAsia="仿宋"/>
          <w:sz w:val="24"/>
        </w:rPr>
        <w:t>切割尺寸误差≤±1.0mm（按GB/T 18601-2020标准）。</w:t>
      </w:r>
    </w:p>
    <w:p w14:paraId="24438137">
      <w:pPr>
        <w:spacing w:line="360" w:lineRule="auto"/>
        <w:ind w:firstLine="435"/>
        <w:rPr>
          <w:rFonts w:ascii="仿宋" w:hAnsi="仿宋" w:eastAsia="仿宋"/>
          <w:sz w:val="24"/>
        </w:rPr>
      </w:pPr>
      <w:r>
        <w:rPr>
          <w:rFonts w:ascii="仿宋" w:hAnsi="仿宋" w:eastAsia="仿宋"/>
          <w:sz w:val="24"/>
        </w:rPr>
        <w:t>直角度：相邻边垂直度偏差 ≤0.5mm/100mm；</w:t>
      </w:r>
    </w:p>
    <w:p w14:paraId="55110CF0">
      <w:pPr>
        <w:spacing w:line="360" w:lineRule="auto"/>
        <w:ind w:firstLine="435"/>
        <w:rPr>
          <w:rFonts w:hint="eastAsia" w:ascii="仿宋" w:hAnsi="仿宋" w:eastAsia="仿宋"/>
          <w:sz w:val="24"/>
        </w:rPr>
      </w:pPr>
      <w:r>
        <w:rPr>
          <w:rFonts w:ascii="仿宋" w:hAnsi="仿宋" w:eastAsia="仿宋"/>
          <w:sz w:val="24"/>
        </w:rPr>
        <w:t>倒角/磨边：倒角宽度误差 ≤0.5mm；磨边无崩边、缺角，过渡平滑。</w:t>
      </w:r>
    </w:p>
    <w:p w14:paraId="726F09CD">
      <w:pPr>
        <w:spacing w:line="360" w:lineRule="auto"/>
        <w:ind w:firstLine="435"/>
        <w:rPr>
          <w:rFonts w:hint="eastAsia" w:ascii="仿宋" w:hAnsi="仿宋" w:eastAsia="仿宋"/>
          <w:sz w:val="24"/>
        </w:rPr>
      </w:pPr>
      <w:r>
        <w:rPr>
          <w:rFonts w:hint="eastAsia" w:ascii="仿宋" w:hAnsi="仿宋" w:eastAsia="仿宋"/>
          <w:sz w:val="24"/>
        </w:rPr>
        <w:t>4、石材加工要求平直通角、棱角无损而完整。</w:t>
      </w:r>
    </w:p>
    <w:p w14:paraId="2AABC988">
      <w:pPr>
        <w:spacing w:line="360" w:lineRule="auto"/>
        <w:ind w:firstLine="435"/>
        <w:rPr>
          <w:rFonts w:ascii="仿宋" w:hAnsi="仿宋" w:eastAsia="仿宋"/>
          <w:sz w:val="24"/>
        </w:rPr>
      </w:pPr>
      <w:r>
        <w:rPr>
          <w:rFonts w:hint="eastAsia" w:ascii="仿宋" w:hAnsi="仿宋" w:eastAsia="仿宋"/>
          <w:sz w:val="24"/>
        </w:rPr>
        <w:t>5、</w:t>
      </w:r>
      <w:r>
        <w:rPr>
          <w:rFonts w:hint="eastAsia" w:ascii="仿宋" w:hAnsi="仿宋" w:eastAsia="仿宋"/>
          <w:sz w:val="24"/>
          <w:lang w:val="en-US" w:eastAsia="zh-CN"/>
        </w:rPr>
        <w:t>水洗</w:t>
      </w:r>
      <w:r>
        <w:rPr>
          <w:rFonts w:ascii="仿宋" w:hAnsi="仿宋" w:eastAsia="仿宋"/>
          <w:sz w:val="24"/>
        </w:rPr>
        <w:t>火烧面：乙炔火焰高温灼烧（温度1200-1500</w:t>
      </w:r>
      <w:r>
        <w:rPr>
          <w:rFonts w:hint="eastAsia" w:ascii="仿宋" w:hAnsi="仿宋" w:eastAsia="仿宋"/>
          <w:sz w:val="24"/>
        </w:rPr>
        <w:t>℃</w:t>
      </w:r>
      <w:r>
        <w:rPr>
          <w:rFonts w:ascii="仿宋" w:hAnsi="仿宋" w:eastAsia="仿宋"/>
          <w:sz w:val="24"/>
        </w:rPr>
        <w:t>）</w:t>
      </w:r>
      <w:r>
        <w:rPr>
          <w:rFonts w:hint="eastAsia" w:ascii="仿宋" w:hAnsi="仿宋" w:eastAsia="仿宋"/>
          <w:sz w:val="24"/>
          <w:lang w:val="en-US" w:eastAsia="zh-CN"/>
        </w:rPr>
        <w:t>火烧后立即采用高压水流冲刷灼热或冷却后的石材表面</w:t>
      </w:r>
      <w:r>
        <w:rPr>
          <w:rFonts w:ascii="仿宋" w:hAnsi="仿宋" w:eastAsia="仿宋"/>
          <w:sz w:val="24"/>
        </w:rPr>
        <w:t>，形成均匀凹凸质感；荔枝面：气动凿锤或机械锤击，表面摩擦系数≥0.7（符合公共场所防滑标准）；</w:t>
      </w:r>
    </w:p>
    <w:p w14:paraId="5B082793">
      <w:pPr>
        <w:spacing w:line="360" w:lineRule="auto"/>
        <w:ind w:firstLine="435"/>
        <w:rPr>
          <w:rFonts w:ascii="仿宋" w:hAnsi="仿宋" w:eastAsia="仿宋"/>
          <w:sz w:val="24"/>
        </w:rPr>
      </w:pPr>
      <w:r>
        <w:rPr>
          <w:rFonts w:hint="eastAsia" w:ascii="仿宋" w:hAnsi="仿宋" w:eastAsia="仿宋"/>
          <w:sz w:val="24"/>
        </w:rPr>
        <w:t>6、</w:t>
      </w:r>
      <w:r>
        <w:rPr>
          <w:rFonts w:ascii="仿宋" w:hAnsi="仿宋" w:eastAsia="仿宋"/>
          <w:sz w:val="24"/>
        </w:rPr>
        <w:t>数控加工</w:t>
      </w:r>
    </w:p>
    <w:p w14:paraId="479F09DE">
      <w:pPr>
        <w:spacing w:line="360" w:lineRule="auto"/>
        <w:ind w:firstLine="435"/>
        <w:rPr>
          <w:rFonts w:ascii="仿宋" w:hAnsi="仿宋" w:eastAsia="仿宋"/>
          <w:sz w:val="24"/>
        </w:rPr>
      </w:pPr>
      <w:r>
        <w:rPr>
          <w:rFonts w:ascii="仿宋" w:hAnsi="仿宋" w:eastAsia="仿宋"/>
          <w:sz w:val="24"/>
        </w:rPr>
        <w:t>设备：五轴CNC数控机床，主轴转速≥8000rpm；</w:t>
      </w:r>
    </w:p>
    <w:p w14:paraId="37324F4F">
      <w:pPr>
        <w:spacing w:line="360" w:lineRule="auto"/>
        <w:ind w:firstLine="435"/>
        <w:rPr>
          <w:rFonts w:ascii="仿宋" w:hAnsi="仿宋" w:eastAsia="仿宋"/>
          <w:sz w:val="24"/>
        </w:rPr>
      </w:pPr>
      <w:r>
        <w:rPr>
          <w:rFonts w:ascii="仿宋" w:hAnsi="仿宋" w:eastAsia="仿宋"/>
          <w:sz w:val="24"/>
        </w:rPr>
        <w:t>编程：刀具路径需顺花岗岩晶体走向，避免崩边（预留0.5mm余量）；</w:t>
      </w:r>
    </w:p>
    <w:p w14:paraId="63EFB361">
      <w:pPr>
        <w:spacing w:line="360" w:lineRule="auto"/>
        <w:ind w:firstLine="435"/>
        <w:rPr>
          <w:rFonts w:ascii="仿宋" w:hAnsi="仿宋" w:eastAsia="仿宋"/>
          <w:sz w:val="24"/>
        </w:rPr>
      </w:pPr>
      <w:r>
        <w:rPr>
          <w:rFonts w:ascii="仿宋" w:hAnsi="仿宋" w:eastAsia="仿宋"/>
          <w:sz w:val="24"/>
        </w:rPr>
        <w:t>精度：异形轮廓误差≤0.8mm，雕刻深度误差≤0.3mm。</w:t>
      </w:r>
    </w:p>
    <w:p w14:paraId="3DFBBD6B">
      <w:pPr>
        <w:spacing w:line="360" w:lineRule="auto"/>
        <w:ind w:firstLine="435"/>
        <w:rPr>
          <w:rFonts w:ascii="仿宋" w:hAnsi="仿宋" w:eastAsia="仿宋"/>
          <w:sz w:val="24"/>
        </w:rPr>
      </w:pPr>
      <w:r>
        <w:rPr>
          <w:rFonts w:hint="eastAsia" w:ascii="仿宋" w:hAnsi="仿宋" w:eastAsia="仿宋"/>
          <w:sz w:val="24"/>
        </w:rPr>
        <w:t>7、</w:t>
      </w:r>
      <w:r>
        <w:rPr>
          <w:rFonts w:ascii="仿宋" w:hAnsi="仿宋" w:eastAsia="仿宋"/>
          <w:sz w:val="24"/>
        </w:rPr>
        <w:t>手工修整：</w:t>
      </w:r>
    </w:p>
    <w:p w14:paraId="151EDB96">
      <w:pPr>
        <w:spacing w:line="360" w:lineRule="auto"/>
        <w:ind w:firstLine="435"/>
        <w:rPr>
          <w:rFonts w:ascii="仿宋" w:hAnsi="仿宋" w:eastAsia="仿宋"/>
          <w:sz w:val="24"/>
        </w:rPr>
      </w:pPr>
      <w:r>
        <w:rPr>
          <w:rFonts w:ascii="仿宋" w:hAnsi="仿宋" w:eastAsia="仿宋"/>
          <w:sz w:val="24"/>
        </w:rPr>
        <w:t>使用金刚石锉刀或气动雕刻笔修边；</w:t>
      </w:r>
    </w:p>
    <w:p w14:paraId="7CAC5293">
      <w:pPr>
        <w:spacing w:line="360" w:lineRule="auto"/>
        <w:ind w:firstLine="435"/>
        <w:rPr>
          <w:rFonts w:ascii="仿宋" w:hAnsi="仿宋" w:eastAsia="仿宋"/>
          <w:sz w:val="24"/>
        </w:rPr>
      </w:pPr>
    </w:p>
    <w:p w14:paraId="2F791CC7">
      <w:pPr>
        <w:rPr>
          <w:rFonts w:hint="eastAsia" w:ascii="仿宋" w:hAnsi="仿宋" w:eastAsia="仿宋"/>
          <w:b/>
          <w:sz w:val="28"/>
          <w:szCs w:val="28"/>
        </w:rPr>
      </w:pPr>
      <w:r>
        <w:rPr>
          <w:rFonts w:hint="eastAsia" w:ascii="仿宋" w:hAnsi="仿宋" w:eastAsia="仿宋"/>
          <w:b/>
          <w:sz w:val="28"/>
          <w:szCs w:val="28"/>
        </w:rPr>
        <w:t>三、深化设计要求</w:t>
      </w:r>
    </w:p>
    <w:p w14:paraId="6FA885C5">
      <w:pPr>
        <w:ind w:firstLine="480" w:firstLineChars="200"/>
        <w:rPr>
          <w:rFonts w:ascii="仿宋" w:hAnsi="仿宋" w:eastAsia="仿宋"/>
          <w:sz w:val="24"/>
          <w:szCs w:val="24"/>
        </w:rPr>
      </w:pPr>
      <w:r>
        <w:rPr>
          <w:rFonts w:hint="eastAsia" w:ascii="仿宋" w:hAnsi="仿宋" w:eastAsia="仿宋"/>
          <w:sz w:val="24"/>
          <w:szCs w:val="24"/>
        </w:rPr>
        <w:t>1、根据现场实际情况，配合项目现场实测实量，乙方进行深化设计排版优化，每块异形石材编码并出图，确保尺寸精确。</w:t>
      </w:r>
      <w:r>
        <w:rPr>
          <w:rFonts w:ascii="仿宋" w:hAnsi="仿宋" w:eastAsia="仿宋"/>
          <w:sz w:val="24"/>
          <w:szCs w:val="24"/>
        </w:rPr>
        <w:cr/>
      </w:r>
      <w:r>
        <w:rPr>
          <w:rFonts w:hint="eastAsia" w:ascii="仿宋" w:hAnsi="仿宋" w:eastAsia="仿宋"/>
          <w:sz w:val="24"/>
          <w:szCs w:val="24"/>
        </w:rPr>
        <w:t xml:space="preserve">    2、</w:t>
      </w:r>
      <w:r>
        <w:rPr>
          <w:rFonts w:ascii="仿宋" w:hAnsi="仿宋" w:eastAsia="仿宋"/>
          <w:sz w:val="24"/>
          <w:szCs w:val="24"/>
        </w:rPr>
        <w:t>石材排版图（标注编号、尺寸、纹理方向）；</w:t>
      </w:r>
    </w:p>
    <w:p w14:paraId="1D975730">
      <w:pPr>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节点大样图（收边收口、阴阳角处理）；</w:t>
      </w:r>
    </w:p>
    <w:p w14:paraId="22842C48">
      <w:pPr>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定位图（坐标、标高要求）。</w:t>
      </w:r>
    </w:p>
    <w:p w14:paraId="453C370E">
      <w:pPr>
        <w:ind w:firstLine="480" w:firstLineChars="200"/>
        <w:rPr>
          <w:rFonts w:ascii="仿宋" w:hAnsi="仿宋" w:eastAsia="仿宋"/>
          <w:sz w:val="24"/>
          <w:szCs w:val="24"/>
        </w:rPr>
      </w:pPr>
    </w:p>
    <w:p w14:paraId="30B07446">
      <w:pPr>
        <w:pStyle w:val="7"/>
        <w:spacing w:before="0" w:beforeAutospacing="0" w:after="0" w:afterAutospacing="0" w:line="360" w:lineRule="auto"/>
        <w:rPr>
          <w:rStyle w:val="11"/>
          <w:rFonts w:hint="eastAsia" w:ascii="仿宋" w:hAnsi="仿宋" w:eastAsia="仿宋" w:cs="仿宋"/>
          <w:b/>
          <w:bCs/>
          <w:sz w:val="28"/>
          <w:szCs w:val="28"/>
        </w:rPr>
      </w:pPr>
      <w:r>
        <w:rPr>
          <w:rStyle w:val="11"/>
          <w:rFonts w:hint="eastAsia" w:ascii="仿宋" w:hAnsi="仿宋" w:eastAsia="仿宋" w:cs="仿宋"/>
          <w:b/>
          <w:bCs/>
          <w:sz w:val="28"/>
          <w:szCs w:val="28"/>
        </w:rPr>
        <w:t>四、工程质量与验收标准</w:t>
      </w:r>
    </w:p>
    <w:p w14:paraId="0FA1016A">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1、尺寸与平整度：</w:t>
      </w:r>
    </w:p>
    <w:p w14:paraId="6E6B3971">
      <w:pPr>
        <w:ind w:firstLine="480" w:firstLineChars="200"/>
        <w:rPr>
          <w:rFonts w:ascii="仿宋" w:hAnsi="仿宋" w:eastAsia="仿宋"/>
          <w:sz w:val="24"/>
          <w:szCs w:val="24"/>
        </w:rPr>
      </w:pPr>
      <w:r>
        <w:rPr>
          <w:rFonts w:hint="eastAsia" w:ascii="仿宋" w:hAnsi="仿宋" w:eastAsia="仿宋"/>
          <w:sz w:val="24"/>
          <w:szCs w:val="24"/>
          <w:lang w:val="en-US" w:eastAsia="zh-CN"/>
        </w:rPr>
        <w:t>平板石材：</w:t>
      </w:r>
      <w:r>
        <w:rPr>
          <w:rFonts w:ascii="仿宋" w:hAnsi="仿宋" w:eastAsia="仿宋"/>
          <w:sz w:val="24"/>
          <w:szCs w:val="24"/>
        </w:rPr>
        <w:t>现场实测石材几何尺寸，长度宽度加工偏差±0.8mm ，板平面度不得超过 0.8mm，对角线误差±1.5mm</w:t>
      </w:r>
      <w:r>
        <w:rPr>
          <w:rFonts w:hint="eastAsia" w:ascii="仿宋" w:hAnsi="仿宋" w:eastAsia="仿宋"/>
          <w:sz w:val="24"/>
          <w:szCs w:val="24"/>
          <w:lang w:eastAsia="zh-CN"/>
        </w:rPr>
        <w:t>，</w:t>
      </w:r>
      <w:r>
        <w:rPr>
          <w:rFonts w:hint="eastAsia" w:ascii="仿宋" w:hAnsi="仿宋" w:eastAsia="仿宋"/>
          <w:sz w:val="24"/>
          <w:szCs w:val="24"/>
          <w:lang w:val="en-US" w:eastAsia="zh-CN"/>
        </w:rPr>
        <w:t>石材厚度误差不得超过厚度尺寸的10%</w:t>
      </w:r>
      <w:r>
        <w:rPr>
          <w:rFonts w:ascii="仿宋" w:hAnsi="仿宋" w:eastAsia="仿宋"/>
          <w:sz w:val="24"/>
          <w:szCs w:val="24"/>
        </w:rPr>
        <w:t>。</w:t>
      </w:r>
    </w:p>
    <w:p w14:paraId="4EE29270">
      <w:pPr>
        <w:ind w:firstLine="480" w:firstLineChars="200"/>
        <w:rPr>
          <w:rFonts w:hint="default" w:ascii="仿宋" w:hAnsi="仿宋" w:eastAsia="仿宋"/>
          <w:sz w:val="24"/>
          <w:szCs w:val="24"/>
          <w:lang w:val="en-US" w:eastAsia="zh-CN"/>
        </w:rPr>
      </w:pPr>
      <w:r>
        <w:rPr>
          <w:rFonts w:hint="eastAsia" w:ascii="仿宋" w:hAnsi="仿宋" w:eastAsia="仿宋"/>
          <w:sz w:val="24"/>
          <w:szCs w:val="24"/>
          <w:lang w:val="en-US" w:eastAsia="zh-CN"/>
        </w:rPr>
        <w:t>石材道牙：</w:t>
      </w:r>
      <w:r>
        <w:rPr>
          <w:rFonts w:ascii="仿宋" w:hAnsi="仿宋" w:eastAsia="仿宋"/>
          <w:sz w:val="24"/>
          <w:szCs w:val="24"/>
        </w:rPr>
        <w:t>现场实测石材几何尺寸</w:t>
      </w:r>
      <w:r>
        <w:rPr>
          <w:rFonts w:hint="eastAsia" w:ascii="仿宋" w:hAnsi="仿宋" w:eastAsia="仿宋"/>
          <w:sz w:val="24"/>
          <w:szCs w:val="24"/>
          <w:lang w:eastAsia="zh-CN"/>
        </w:rPr>
        <w:t>，‌长度：</w:t>
      </w:r>
      <w:r>
        <w:rPr>
          <w:rFonts w:hint="eastAsia" w:ascii="仿宋" w:hAnsi="仿宋" w:eastAsia="仿宋" w:cs="仿宋"/>
          <w:i w:val="0"/>
          <w:iCs w:val="0"/>
          <w:caps w:val="0"/>
          <w:color w:val="333333"/>
          <w:spacing w:val="0"/>
          <w:sz w:val="24"/>
          <w:szCs w:val="24"/>
          <w:shd w:val="clear" w:fill="FFFFFF"/>
        </w:rPr>
        <w:t>±5mm</w:t>
      </w:r>
      <w:r>
        <w:rPr>
          <w:rFonts w:hint="eastAsia" w:ascii="仿宋" w:hAnsi="仿宋" w:eastAsia="仿宋" w:cs="仿宋"/>
          <w:sz w:val="24"/>
          <w:szCs w:val="24"/>
          <w:lang w:eastAsia="zh-CN"/>
        </w:rPr>
        <w:t>/宽度：</w:t>
      </w:r>
      <w:r>
        <w:rPr>
          <w:rFonts w:hint="eastAsia" w:ascii="仿宋" w:hAnsi="仿宋" w:eastAsia="仿宋" w:cs="仿宋"/>
          <w:i w:val="0"/>
          <w:iCs w:val="0"/>
          <w:caps w:val="0"/>
          <w:color w:val="333333"/>
          <w:spacing w:val="0"/>
          <w:sz w:val="24"/>
          <w:szCs w:val="24"/>
          <w:shd w:val="clear" w:fill="FFFFFF"/>
        </w:rPr>
        <w:t>±3mm</w:t>
      </w:r>
      <w:r>
        <w:rPr>
          <w:rFonts w:hint="eastAsia" w:ascii="仿宋" w:hAnsi="仿宋" w:eastAsia="仿宋" w:cs="仿宋"/>
          <w:sz w:val="24"/>
          <w:szCs w:val="24"/>
          <w:lang w:eastAsia="zh-CN"/>
        </w:rPr>
        <w:t>/</w:t>
      </w:r>
      <w:r>
        <w:rPr>
          <w:rFonts w:hint="eastAsia" w:ascii="仿宋" w:hAnsi="仿宋" w:eastAsia="仿宋"/>
          <w:sz w:val="24"/>
          <w:szCs w:val="24"/>
          <w:lang w:eastAsia="zh-CN"/>
        </w:rPr>
        <w:t>高度：±3mm，平整度‌：≤1.0mm，</w:t>
      </w:r>
      <w:r>
        <w:rPr>
          <w:rFonts w:hint="eastAsia" w:ascii="仿宋" w:hAnsi="仿宋" w:eastAsia="仿宋"/>
          <w:sz w:val="24"/>
          <w:szCs w:val="24"/>
          <w:lang w:val="en-US" w:eastAsia="zh-CN"/>
        </w:rPr>
        <w:t>垂直度：</w:t>
      </w:r>
      <w:r>
        <w:rPr>
          <w:rFonts w:hint="eastAsia" w:ascii="仿宋" w:hAnsi="仿宋" w:eastAsia="仿宋"/>
          <w:sz w:val="24"/>
          <w:szCs w:val="24"/>
          <w:lang w:eastAsia="zh-CN"/>
        </w:rPr>
        <w:t>≤1.</w:t>
      </w:r>
      <w:r>
        <w:rPr>
          <w:rFonts w:hint="eastAsia" w:ascii="仿宋" w:hAnsi="仿宋" w:eastAsia="仿宋"/>
          <w:sz w:val="24"/>
          <w:szCs w:val="24"/>
          <w:lang w:val="en-US" w:eastAsia="zh-CN"/>
        </w:rPr>
        <w:t>5</w:t>
      </w:r>
      <w:r>
        <w:rPr>
          <w:rFonts w:hint="eastAsia" w:ascii="仿宋" w:hAnsi="仿宋" w:eastAsia="仿宋"/>
          <w:sz w:val="24"/>
          <w:szCs w:val="24"/>
          <w:lang w:eastAsia="zh-CN"/>
        </w:rPr>
        <w:t>mm，</w:t>
      </w:r>
      <w:r>
        <w:rPr>
          <w:rFonts w:hint="eastAsia" w:ascii="仿宋" w:hAnsi="仿宋" w:eastAsia="仿宋"/>
          <w:sz w:val="24"/>
          <w:szCs w:val="24"/>
          <w:lang w:val="en-US" w:eastAsia="zh-CN"/>
        </w:rPr>
        <w:t>直角度：</w:t>
      </w:r>
      <w:r>
        <w:rPr>
          <w:rFonts w:hint="eastAsia" w:ascii="仿宋" w:hAnsi="仿宋" w:eastAsia="仿宋"/>
          <w:sz w:val="24"/>
          <w:szCs w:val="24"/>
          <w:lang w:eastAsia="zh-CN"/>
        </w:rPr>
        <w:t>≤</w:t>
      </w:r>
      <w:r>
        <w:rPr>
          <w:rFonts w:hint="eastAsia" w:ascii="仿宋" w:hAnsi="仿宋" w:eastAsia="仿宋"/>
          <w:sz w:val="24"/>
          <w:szCs w:val="24"/>
          <w:lang w:val="en-US" w:eastAsia="zh-CN"/>
        </w:rPr>
        <w:t>0</w:t>
      </w:r>
      <w:r>
        <w:rPr>
          <w:rFonts w:hint="eastAsia" w:ascii="仿宋" w:hAnsi="仿宋" w:eastAsia="仿宋"/>
          <w:sz w:val="24"/>
          <w:szCs w:val="24"/>
          <w:lang w:eastAsia="zh-CN"/>
        </w:rPr>
        <w:t>.</w:t>
      </w:r>
      <w:r>
        <w:rPr>
          <w:rFonts w:hint="eastAsia" w:ascii="仿宋" w:hAnsi="仿宋" w:eastAsia="仿宋"/>
          <w:sz w:val="24"/>
          <w:szCs w:val="24"/>
          <w:lang w:val="en-US" w:eastAsia="zh-CN"/>
        </w:rPr>
        <w:t>5</w:t>
      </w:r>
      <w:r>
        <w:rPr>
          <w:rFonts w:hint="eastAsia" w:ascii="仿宋" w:hAnsi="仿宋" w:eastAsia="仿宋"/>
          <w:sz w:val="24"/>
          <w:szCs w:val="24"/>
          <w:lang w:eastAsia="zh-CN"/>
        </w:rPr>
        <w:t>mm。</w:t>
      </w:r>
    </w:p>
    <w:p w14:paraId="4B3292D5">
      <w:pPr>
        <w:pStyle w:val="7"/>
        <w:spacing w:before="0" w:beforeAutospacing="0" w:after="0" w:afterAutospacing="0" w:line="360" w:lineRule="auto"/>
        <w:rPr>
          <w:rStyle w:val="11"/>
          <w:rFonts w:hint="eastAsia" w:ascii="仿宋" w:hAnsi="仿宋" w:eastAsia="仿宋" w:cs="仿宋"/>
          <w:b w:val="0"/>
          <w:bCs w:val="0"/>
          <w:lang w:eastAsia="zh-CN"/>
        </w:rPr>
      </w:pPr>
      <w:r>
        <w:rPr>
          <w:rStyle w:val="11"/>
          <w:rFonts w:hint="eastAsia" w:ascii="仿宋" w:hAnsi="仿宋" w:eastAsia="仿宋" w:cs="仿宋"/>
          <w:b w:val="0"/>
          <w:bCs w:val="0"/>
        </w:rPr>
        <w:t>2、表面质量：</w:t>
      </w:r>
      <w:r>
        <w:rPr>
          <w:rFonts w:hint="eastAsia" w:ascii="仿宋" w:hAnsi="仿宋" w:eastAsia="仿宋"/>
          <w:sz w:val="24"/>
          <w:szCs w:val="24"/>
          <w:lang w:eastAsia="zh-CN"/>
        </w:rPr>
        <w:t>‌</w:t>
      </w:r>
    </w:p>
    <w:p w14:paraId="1F7F8513">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火烧面/荔枝面：纹理均匀，无过度灼烧或机械损伤。</w:t>
      </w:r>
    </w:p>
    <w:p w14:paraId="4CCDCBBE">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3、物理性能测试：</w:t>
      </w:r>
    </w:p>
    <w:p w14:paraId="62951B83">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耐磨性：按GB/T 9966.4测试，磨坑深度≤25mm；</w:t>
      </w:r>
    </w:p>
    <w:p w14:paraId="5404DDF6">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4、抽样方法</w:t>
      </w:r>
    </w:p>
    <w:p w14:paraId="2FFC758F">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批量检验：同一品种、规格、批次抽检5%（不少于10块）；</w:t>
      </w:r>
    </w:p>
    <w:p w14:paraId="09B34013">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单项检验：裂纹、色差等逐块目视检查。</w:t>
      </w:r>
    </w:p>
    <w:p w14:paraId="5867D833">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5、检测工具</w:t>
      </w:r>
    </w:p>
    <w:p w14:paraId="483538F9">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量具：游标卡尺（精度0.02mm）、钢卷尺、2m靠尺；</w:t>
      </w:r>
    </w:p>
    <w:p w14:paraId="47978C71">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6、判定规则</w:t>
      </w:r>
    </w:p>
    <w:p w14:paraId="0F5437FB">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主控项目（一票否决）：</w:t>
      </w:r>
    </w:p>
    <w:p w14:paraId="36BA3ACD">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放射性超标；</w:t>
      </w:r>
    </w:p>
    <w:p w14:paraId="08367AD7">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贯穿性裂纹；</w:t>
      </w:r>
    </w:p>
    <w:p w14:paraId="73F0C478">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抗压/抗弯强度不达标。</w:t>
      </w:r>
    </w:p>
    <w:p w14:paraId="05A302B9">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一般项目（允许偏差）：</w:t>
      </w:r>
    </w:p>
    <w:p w14:paraId="718F6421">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尺寸超差、色差等，不合格率≤5%可让步接收。</w:t>
      </w:r>
    </w:p>
    <w:p w14:paraId="2F5D7B78">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7、常见不合格项处理</w:t>
      </w:r>
    </w:p>
    <w:p w14:paraId="430AC958">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尺寸规格、</w:t>
      </w:r>
      <w:r>
        <w:rPr>
          <w:rStyle w:val="11"/>
          <w:rFonts w:hint="eastAsia" w:ascii="仿宋" w:hAnsi="仿宋" w:eastAsia="仿宋" w:cs="仿宋"/>
          <w:b w:val="0"/>
          <w:bCs w:val="0"/>
        </w:rPr>
        <w:t>色差</w:t>
      </w:r>
      <w:r>
        <w:rPr>
          <w:rStyle w:val="11"/>
          <w:rFonts w:hint="eastAsia" w:ascii="仿宋" w:hAnsi="仿宋" w:eastAsia="仿宋" w:cs="仿宋"/>
          <w:b w:val="0"/>
          <w:bCs w:val="0"/>
          <w:lang w:val="en-US" w:eastAsia="zh-CN"/>
        </w:rPr>
        <w:t>偏差、破损较大</w:t>
      </w:r>
      <w:r>
        <w:rPr>
          <w:rStyle w:val="11"/>
          <w:rFonts w:hint="eastAsia" w:ascii="仿宋" w:hAnsi="仿宋" w:eastAsia="仿宋" w:cs="仿宋"/>
          <w:b w:val="0"/>
          <w:bCs w:val="0"/>
        </w:rPr>
        <w:t>：返厂更换同批次板材；</w:t>
      </w:r>
    </w:p>
    <w:p w14:paraId="76DEA089">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8、国家标准：</w:t>
      </w:r>
    </w:p>
    <w:p w14:paraId="7F9001BB">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GB/T 18601-2020《天然花岗岩建筑板材》；</w:t>
      </w:r>
    </w:p>
    <w:p w14:paraId="5593E379">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GB 6566-2010《建筑材料放射性核素限量》；</w:t>
      </w:r>
    </w:p>
    <w:p w14:paraId="3DC09CFE">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9、行业规范：</w:t>
      </w:r>
    </w:p>
    <w:p w14:paraId="21B32FDD">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JC/T 847-2013《异型装饰石材》；</w:t>
      </w:r>
    </w:p>
    <w:p w14:paraId="06EAC78C">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JC/T 973-2005《建筑装饰用天然石材防护剂》。</w:t>
      </w:r>
    </w:p>
    <w:p w14:paraId="382F134C">
      <w:pPr>
        <w:pStyle w:val="7"/>
        <w:spacing w:before="0" w:beforeAutospacing="0" w:after="0" w:afterAutospacing="0" w:line="360" w:lineRule="auto"/>
        <w:rPr>
          <w:rStyle w:val="11"/>
          <w:rFonts w:hint="eastAsia" w:ascii="仿宋" w:hAnsi="仿宋" w:eastAsia="仿宋" w:cs="仿宋"/>
          <w:b w:val="0"/>
          <w:bCs w:val="0"/>
        </w:rPr>
      </w:pPr>
    </w:p>
    <w:p w14:paraId="03536C54">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五</w:t>
      </w:r>
      <w:r>
        <w:rPr>
          <w:rStyle w:val="11"/>
          <w:rFonts w:ascii="仿宋" w:hAnsi="仿宋" w:eastAsia="仿宋" w:cs="仿宋"/>
          <w:b/>
          <w:bCs/>
          <w:sz w:val="28"/>
          <w:szCs w:val="28"/>
        </w:rPr>
        <w:t>、安全文明施工要求</w:t>
      </w:r>
    </w:p>
    <w:p w14:paraId="66E7E99C">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rPr>
        <w:t>1、安全操作及人员管理：</w:t>
      </w:r>
      <w:r>
        <w:rPr>
          <w:rStyle w:val="11"/>
          <w:rFonts w:hint="eastAsia" w:ascii="仿宋" w:hAnsi="仿宋" w:eastAsia="仿宋" w:cs="仿宋"/>
          <w:b w:val="0"/>
          <w:bCs w:val="0"/>
        </w:rPr>
        <w:t>；特殊工种（</w:t>
      </w:r>
      <w:r>
        <w:rPr>
          <w:rStyle w:val="11"/>
          <w:rFonts w:hint="eastAsia" w:ascii="仿宋" w:hAnsi="仿宋" w:eastAsia="仿宋" w:cs="仿宋"/>
          <w:b w:val="0"/>
          <w:bCs w:val="0"/>
          <w:lang w:val="en-US" w:eastAsia="zh-CN"/>
        </w:rPr>
        <w:t>叉车</w:t>
      </w:r>
      <w:r>
        <w:rPr>
          <w:rStyle w:val="11"/>
          <w:rFonts w:hint="eastAsia" w:ascii="仿宋" w:hAnsi="仿宋" w:eastAsia="仿宋" w:cs="仿宋"/>
          <w:b w:val="0"/>
          <w:bCs w:val="0"/>
        </w:rPr>
        <w:t>、起重机等设备操作人员）必须持有效证件，人证合一。机械操作人员必须身体健康，无妨碍安全操作的疾病（如心脏病、癫痫、色盲等）。严禁疲劳驾驶、酒后驾驶。现场机械设备作业及运输车辆工作必须严格遵守甲方安全管理要求，包括现场机械设备作业时必须配备专职人员进行旁站指挥，运输车辆工作时交通安全，过程中如因乙方违反安全驾驶、机械设备违规操作等原因产生的事故损失完全由乙方承担。</w:t>
      </w:r>
    </w:p>
    <w:p w14:paraId="4AC66838">
      <w:pPr>
        <w:pStyle w:val="7"/>
        <w:spacing w:before="0" w:beforeAutospacing="0" w:after="0" w:afterAutospacing="0" w:line="360" w:lineRule="auto"/>
        <w:ind w:firstLine="482" w:firstLineChars="200"/>
        <w:rPr>
          <w:rFonts w:ascii="仿宋" w:hAnsi="仿宋" w:eastAsia="仿宋"/>
        </w:rPr>
      </w:pPr>
      <w:r>
        <w:rPr>
          <w:rStyle w:val="11"/>
          <w:rFonts w:hint="eastAsia" w:ascii="仿宋" w:hAnsi="仿宋" w:eastAsia="仿宋" w:cs="仿宋"/>
        </w:rPr>
        <w:t>2、机械设备管理：</w:t>
      </w:r>
      <w:r>
        <w:rPr>
          <w:rFonts w:hint="eastAsia" w:ascii="仿宋" w:hAnsi="仿宋" w:eastAsia="仿宋"/>
        </w:rPr>
        <w:t>本项目所有机械设备（</w:t>
      </w:r>
      <w:r>
        <w:rPr>
          <w:rFonts w:hint="eastAsia" w:ascii="仿宋" w:hAnsi="仿宋" w:eastAsia="仿宋"/>
          <w:lang w:val="en-US" w:eastAsia="zh-CN"/>
        </w:rPr>
        <w:t>材料运输车辆、起重设备、叉车</w:t>
      </w:r>
      <w:r>
        <w:rPr>
          <w:rFonts w:hint="eastAsia" w:ascii="仿宋" w:hAnsi="仿宋" w:eastAsia="仿宋"/>
        </w:rPr>
        <w:t>等）必须已在国家相关部门注册登记，拥有有效的行驶证/登记证（</w:t>
      </w:r>
      <w:r>
        <w:rPr>
          <w:rFonts w:hint="eastAsia" w:ascii="仿宋" w:hAnsi="仿宋" w:eastAsia="仿宋"/>
          <w:lang w:val="en-US" w:eastAsia="zh-CN"/>
        </w:rPr>
        <w:t>运输</w:t>
      </w:r>
      <w:r>
        <w:rPr>
          <w:rFonts w:hint="eastAsia" w:ascii="仿宋" w:hAnsi="仿宋" w:eastAsia="仿宋"/>
        </w:rPr>
        <w:t>车</w:t>
      </w:r>
      <w:r>
        <w:rPr>
          <w:rFonts w:hint="eastAsia" w:ascii="仿宋" w:hAnsi="仿宋" w:eastAsia="仿宋"/>
          <w:lang w:val="en-US" w:eastAsia="zh-CN"/>
        </w:rPr>
        <w:t>辆</w:t>
      </w:r>
      <w:r>
        <w:rPr>
          <w:rFonts w:hint="eastAsia" w:ascii="仿宋" w:hAnsi="仿宋" w:eastAsia="仿宋"/>
        </w:rPr>
        <w:t>）等相关证件。</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5A2BC79D">
      <w:pPr>
        <w:pStyle w:val="7"/>
        <w:spacing w:line="360" w:lineRule="auto"/>
        <w:ind w:firstLine="482" w:firstLineChars="200"/>
        <w:rPr>
          <w:rStyle w:val="11"/>
          <w:rFonts w:hint="eastAsia" w:ascii="仿宋" w:hAnsi="仿宋" w:eastAsia="仿宋" w:cs="仿宋"/>
          <w:b w:val="0"/>
          <w:bCs w:val="0"/>
        </w:rPr>
      </w:pPr>
      <w:r>
        <w:rPr>
          <w:rStyle w:val="11"/>
          <w:rFonts w:hint="eastAsia" w:ascii="仿宋" w:hAnsi="仿宋" w:eastAsia="仿宋" w:cs="仿宋"/>
          <w:bCs w:val="0"/>
        </w:rPr>
        <w:t>3、文明施工管理：</w:t>
      </w:r>
      <w:r>
        <w:rPr>
          <w:rStyle w:val="11"/>
          <w:rFonts w:hint="eastAsia" w:ascii="仿宋" w:hAnsi="仿宋" w:eastAsia="仿宋" w:cs="仿宋"/>
          <w:b w:val="0"/>
          <w:bCs w:val="0"/>
        </w:rPr>
        <w:t>严格执行“工完场清”制度。</w:t>
      </w:r>
      <w:r>
        <w:rPr>
          <w:rStyle w:val="11"/>
          <w:rFonts w:hint="eastAsia" w:ascii="仿宋" w:hAnsi="仿宋" w:eastAsia="仿宋" w:cs="仿宋"/>
          <w:b w:val="0"/>
          <w:bCs w:val="0"/>
          <w:lang w:val="en-US" w:eastAsia="zh-CN"/>
        </w:rPr>
        <w:t>材料运输、转运、卸货等过程中产生的杂物垃圾在完成卸货后自行打扫清理外运</w:t>
      </w:r>
      <w:r>
        <w:rPr>
          <w:rStyle w:val="11"/>
          <w:rFonts w:hint="eastAsia" w:ascii="仿宋" w:hAnsi="仿宋" w:eastAsia="仿宋" w:cs="仿宋"/>
          <w:b w:val="0"/>
          <w:bCs w:val="0"/>
        </w:rPr>
        <w:t>。</w:t>
      </w:r>
    </w:p>
    <w:p w14:paraId="532D1DDE">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rPr>
        <w:t>4、环境保护</w:t>
      </w:r>
      <w:r>
        <w:rPr>
          <w:rStyle w:val="11"/>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1"/>
          <w:rFonts w:hint="eastAsia" w:ascii="仿宋" w:hAnsi="仿宋" w:eastAsia="仿宋" w:cs="仿宋"/>
          <w:b w:val="0"/>
          <w:bCs w:val="0"/>
        </w:rPr>
        <w:t>。施工噪音控制严格执行《建筑施工场界环境噪声排放标准》GB12523，合理安排作业时间，避免夜间（22:00-6:00）高噪音作业。</w:t>
      </w:r>
    </w:p>
    <w:p w14:paraId="79510D70">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六</w:t>
      </w:r>
      <w:r>
        <w:rPr>
          <w:rStyle w:val="11"/>
          <w:rFonts w:ascii="仿宋" w:hAnsi="仿宋" w:eastAsia="仿宋" w:cs="仿宋"/>
          <w:b/>
          <w:bCs/>
          <w:sz w:val="28"/>
          <w:szCs w:val="28"/>
        </w:rPr>
        <w:t>、施工配合要求</w:t>
      </w:r>
    </w:p>
    <w:bookmarkEnd w:id="0"/>
    <w:bookmarkEnd w:id="1"/>
    <w:p w14:paraId="1C5C7BC3">
      <w:pPr>
        <w:pStyle w:val="7"/>
        <w:spacing w:before="0" w:beforeAutospacing="0" w:after="0" w:afterAutospacing="0" w:line="360" w:lineRule="auto"/>
        <w:rPr>
          <w:rFonts w:hint="eastAsia" w:ascii="仿宋" w:hAnsi="仿宋" w:eastAsia="仿宋"/>
        </w:rPr>
      </w:pPr>
      <w:r>
        <w:rPr>
          <w:rFonts w:hint="eastAsia" w:ascii="仿宋" w:hAnsi="仿宋" w:eastAsia="仿宋"/>
        </w:rPr>
        <w:t>1、</w:t>
      </w:r>
      <w:r>
        <w:rPr>
          <w:rFonts w:hint="eastAsia" w:ascii="仿宋" w:hAnsi="仿宋" w:eastAsia="仿宋"/>
          <w:lang w:val="en-US" w:eastAsia="zh-CN"/>
        </w:rPr>
        <w:t>供货周期：</w:t>
      </w:r>
      <w:r>
        <w:rPr>
          <w:rFonts w:hint="eastAsia" w:ascii="仿宋" w:hAnsi="仿宋" w:eastAsia="仿宋"/>
        </w:rPr>
        <w:t>项目部下单，必须1</w:t>
      </w:r>
      <w:r>
        <w:rPr>
          <w:rFonts w:hint="eastAsia" w:ascii="仿宋" w:hAnsi="仿宋" w:eastAsia="仿宋"/>
          <w:lang w:val="en-US" w:eastAsia="zh-CN"/>
        </w:rPr>
        <w:t>5</w:t>
      </w:r>
      <w:r>
        <w:rPr>
          <w:rFonts w:hint="eastAsia" w:ascii="仿宋" w:hAnsi="仿宋" w:eastAsia="仿宋"/>
        </w:rPr>
        <w:t>天内到场，特殊情况需7天内进场；</w:t>
      </w:r>
    </w:p>
    <w:p w14:paraId="0118A22C">
      <w:pPr>
        <w:pStyle w:val="7"/>
        <w:spacing w:before="0" w:beforeAutospacing="0" w:after="0" w:afterAutospacing="0" w:line="360" w:lineRule="auto"/>
        <w:rPr>
          <w:rFonts w:hint="eastAsia" w:ascii="仿宋" w:hAnsi="仿宋" w:eastAsia="仿宋"/>
        </w:rPr>
      </w:pPr>
      <w:r>
        <w:rPr>
          <w:rFonts w:hint="eastAsia" w:ascii="仿宋" w:hAnsi="仿宋" w:eastAsia="仿宋"/>
        </w:rPr>
        <w:t>2、</w:t>
      </w:r>
      <w:r>
        <w:rPr>
          <w:rFonts w:hint="eastAsia" w:ascii="仿宋" w:hAnsi="仿宋" w:eastAsia="仿宋"/>
          <w:lang w:val="en-US" w:eastAsia="zh-CN"/>
        </w:rPr>
        <w:t>现场配合：</w:t>
      </w:r>
      <w:r>
        <w:rPr>
          <w:rFonts w:hint="eastAsia" w:ascii="仿宋" w:hAnsi="仿宋" w:eastAsia="仿宋"/>
        </w:rPr>
        <w:t>供应商无条件配合现场施工进度要求；</w:t>
      </w:r>
    </w:p>
    <w:p w14:paraId="72D152C6">
      <w:pPr>
        <w:pStyle w:val="7"/>
        <w:spacing w:before="0" w:beforeAutospacing="0" w:after="0" w:afterAutospacing="0" w:line="360" w:lineRule="auto"/>
        <w:rPr>
          <w:rFonts w:ascii="仿宋" w:hAnsi="仿宋" w:eastAsia="仿宋"/>
        </w:rPr>
      </w:pPr>
      <w:r>
        <w:rPr>
          <w:rFonts w:hint="eastAsia" w:ascii="仿宋" w:hAnsi="仿宋" w:eastAsia="仿宋"/>
        </w:rPr>
        <w:t>3、</w:t>
      </w:r>
      <w:r>
        <w:rPr>
          <w:rFonts w:ascii="仿宋" w:hAnsi="仿宋" w:eastAsia="仿宋"/>
        </w:rPr>
        <w:t>加工延迟：要求供应商分阶段提供加工进度照片（荒料切割→打磨→防护）；</w:t>
      </w:r>
    </w:p>
    <w:p w14:paraId="33868952">
      <w:pPr>
        <w:pStyle w:val="7"/>
        <w:spacing w:before="0" w:beforeAutospacing="0" w:after="0" w:afterAutospacing="0" w:line="360" w:lineRule="auto"/>
        <w:rPr>
          <w:rFonts w:ascii="仿宋" w:hAnsi="仿宋" w:eastAsia="仿宋"/>
        </w:rPr>
      </w:pPr>
      <w:r>
        <w:rPr>
          <w:rFonts w:hint="eastAsia" w:ascii="仿宋" w:hAnsi="仿宋" w:eastAsia="仿宋"/>
        </w:rPr>
        <w:t>4、</w:t>
      </w:r>
      <w:r>
        <w:rPr>
          <w:rFonts w:ascii="仿宋" w:hAnsi="仿宋" w:eastAsia="仿宋"/>
        </w:rPr>
        <w:t>质量异常：到场发现批量色差/破损时，48小时内完成退换货；</w:t>
      </w:r>
    </w:p>
    <w:p w14:paraId="0F42888F">
      <w:pPr>
        <w:pStyle w:val="7"/>
        <w:spacing w:before="0" w:beforeAutospacing="0" w:after="0" w:afterAutospacing="0" w:line="360" w:lineRule="auto"/>
        <w:rPr>
          <w:rFonts w:ascii="仿宋" w:hAnsi="仿宋" w:eastAsia="仿宋"/>
        </w:rPr>
      </w:pPr>
      <w:r>
        <w:rPr>
          <w:rFonts w:hint="eastAsia" w:ascii="仿宋" w:hAnsi="仿宋" w:eastAsia="仿宋"/>
        </w:rPr>
        <w:t>5、</w:t>
      </w:r>
      <w:r>
        <w:rPr>
          <w:rFonts w:ascii="仿宋" w:hAnsi="仿宋" w:eastAsia="仿宋"/>
        </w:rPr>
        <w:t>供应商延迟到货：按合同价0.1%/天扣款，超3天启动应急采购；</w:t>
      </w:r>
    </w:p>
    <w:p w14:paraId="65FD33AE">
      <w:pPr>
        <w:pStyle w:val="7"/>
        <w:spacing w:before="0" w:beforeAutospacing="0" w:after="0" w:afterAutospacing="0" w:line="360" w:lineRule="auto"/>
        <w:rPr>
          <w:rFonts w:ascii="仿宋" w:hAnsi="仿宋" w:eastAsia="仿宋"/>
        </w:rPr>
      </w:pPr>
      <w:r>
        <w:rPr>
          <w:rFonts w:hint="eastAsia" w:ascii="仿宋" w:hAnsi="仿宋" w:eastAsia="仿宋"/>
        </w:rPr>
        <w:t>6、</w:t>
      </w:r>
      <w:r>
        <w:rPr>
          <w:rFonts w:ascii="仿宋" w:hAnsi="仿宋" w:eastAsia="仿宋"/>
        </w:rPr>
        <w:t>路线规划：提前勘察道路限高/限宽，夜间运输避开市区高峰；</w:t>
      </w:r>
    </w:p>
    <w:p w14:paraId="7D9B6379">
      <w:pPr>
        <w:pStyle w:val="7"/>
        <w:spacing w:before="0" w:beforeAutospacing="0" w:after="0" w:afterAutospacing="0" w:line="360" w:lineRule="auto"/>
        <w:rPr>
          <w:rFonts w:ascii="仿宋" w:hAnsi="仿宋" w:eastAsia="仿宋"/>
        </w:rPr>
      </w:pPr>
      <w:r>
        <w:rPr>
          <w:rFonts w:hint="eastAsia" w:ascii="仿宋" w:hAnsi="仿宋" w:eastAsia="仿宋"/>
        </w:rPr>
        <w:t>7、</w:t>
      </w:r>
      <w:r>
        <w:rPr>
          <w:rFonts w:ascii="仿宋" w:hAnsi="仿宋" w:eastAsia="仿宋"/>
        </w:rPr>
        <w:t>到货通知：提前24小时发送货车车牌号、司机电话、预计抵达时间、货物清单及发货照片。</w:t>
      </w:r>
    </w:p>
    <w:p w14:paraId="34E91A76">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8、材料照管：在货物移交给采购人并经采购人验收合格前，货物的损耗、毁损、灭失的风险和责任均由供应商自行承担。</w:t>
      </w:r>
    </w:p>
    <w:p w14:paraId="6EFDE7A8">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9、材料运输及卸货：材料运输及卸货过程中供应商需做好必要的材料的成品保护，材料到场后及时通知采购人进行材料验收，验收合格后安排人员、机械将材料进行卸货转运至指定地点。</w:t>
      </w:r>
    </w:p>
    <w:p w14:paraId="1847302E">
      <w:pPr>
        <w:pStyle w:val="7"/>
        <w:spacing w:before="0" w:beforeAutospacing="0" w:after="0" w:afterAutospacing="0" w:line="360" w:lineRule="auto"/>
        <w:rPr>
          <w:rFonts w:hint="default" w:ascii="仿宋" w:hAnsi="仿宋" w:eastAsia="仿宋"/>
          <w:lang w:val="en-US" w:eastAsia="zh-CN"/>
        </w:rPr>
      </w:pPr>
      <w:r>
        <w:rPr>
          <w:rFonts w:hint="eastAsia" w:ascii="仿宋" w:hAnsi="仿宋" w:eastAsia="仿宋"/>
          <w:lang w:val="en-US" w:eastAsia="zh-CN"/>
        </w:rPr>
        <w:t>10、选型定样和材料检测：合同签订后供应商必须配合采购人7天内完成各品种、规格材料选型送样，无条件配合直至最终项目甲方、监理、设计验收合格签字确认。工程实施过程中也必须根据项目的检测方案无条件配合材料送检并保证合格。</w:t>
      </w:r>
    </w:p>
    <w:p w14:paraId="1BE8C50F">
      <w:pPr>
        <w:pStyle w:val="7"/>
        <w:spacing w:before="0" w:beforeAutospacing="0" w:after="0" w:afterAutospacing="0" w:line="360" w:lineRule="auto"/>
        <w:rPr>
          <w:rFonts w:hint="eastAsia" w:ascii="仿宋" w:hAnsi="仿宋" w:eastAsia="仿宋"/>
          <w:lang w:val="en-US" w:eastAsia="zh-CN"/>
        </w:rPr>
      </w:pPr>
    </w:p>
    <w:p w14:paraId="44EEB6CB">
      <w:pPr>
        <w:pStyle w:val="7"/>
        <w:spacing w:before="0" w:beforeAutospacing="0" w:after="0" w:afterAutospacing="0"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086275"/>
    <w:rsid w:val="000E4CB1"/>
    <w:rsid w:val="000F2BB9"/>
    <w:rsid w:val="000F369B"/>
    <w:rsid w:val="00124AF1"/>
    <w:rsid w:val="0012534E"/>
    <w:rsid w:val="00136D61"/>
    <w:rsid w:val="001378AF"/>
    <w:rsid w:val="00185134"/>
    <w:rsid w:val="00191122"/>
    <w:rsid w:val="001B0CF8"/>
    <w:rsid w:val="001D6D5C"/>
    <w:rsid w:val="001F2A1C"/>
    <w:rsid w:val="00216324"/>
    <w:rsid w:val="00235C18"/>
    <w:rsid w:val="002425CE"/>
    <w:rsid w:val="002D10A6"/>
    <w:rsid w:val="00326FF9"/>
    <w:rsid w:val="00352A0A"/>
    <w:rsid w:val="0037692F"/>
    <w:rsid w:val="003B6F40"/>
    <w:rsid w:val="003E2E43"/>
    <w:rsid w:val="003E4701"/>
    <w:rsid w:val="0046074E"/>
    <w:rsid w:val="00486014"/>
    <w:rsid w:val="004B4B28"/>
    <w:rsid w:val="004C5E17"/>
    <w:rsid w:val="004F170C"/>
    <w:rsid w:val="00516990"/>
    <w:rsid w:val="005923A5"/>
    <w:rsid w:val="005B5964"/>
    <w:rsid w:val="0062192F"/>
    <w:rsid w:val="00630DA8"/>
    <w:rsid w:val="00654478"/>
    <w:rsid w:val="00672139"/>
    <w:rsid w:val="006A7F96"/>
    <w:rsid w:val="006B204B"/>
    <w:rsid w:val="006B6E0A"/>
    <w:rsid w:val="006C762D"/>
    <w:rsid w:val="006D4FB8"/>
    <w:rsid w:val="006E131A"/>
    <w:rsid w:val="006F5757"/>
    <w:rsid w:val="006F67C2"/>
    <w:rsid w:val="00717FDD"/>
    <w:rsid w:val="007829AA"/>
    <w:rsid w:val="007E7F97"/>
    <w:rsid w:val="0082146A"/>
    <w:rsid w:val="00827F4B"/>
    <w:rsid w:val="008464FF"/>
    <w:rsid w:val="00852BD2"/>
    <w:rsid w:val="0085450D"/>
    <w:rsid w:val="00893CFC"/>
    <w:rsid w:val="008D2FC5"/>
    <w:rsid w:val="008D4FD8"/>
    <w:rsid w:val="00912145"/>
    <w:rsid w:val="00920412"/>
    <w:rsid w:val="009D2AC5"/>
    <w:rsid w:val="00A31730"/>
    <w:rsid w:val="00A54748"/>
    <w:rsid w:val="00A7697F"/>
    <w:rsid w:val="00AA4DEF"/>
    <w:rsid w:val="00AA7C5B"/>
    <w:rsid w:val="00AC3F9D"/>
    <w:rsid w:val="00AD5D11"/>
    <w:rsid w:val="00AF0B17"/>
    <w:rsid w:val="00B02FD5"/>
    <w:rsid w:val="00B0440A"/>
    <w:rsid w:val="00B33B37"/>
    <w:rsid w:val="00B44603"/>
    <w:rsid w:val="00B87DF7"/>
    <w:rsid w:val="00BB52D1"/>
    <w:rsid w:val="00BE54E2"/>
    <w:rsid w:val="00C136B6"/>
    <w:rsid w:val="00C13A0D"/>
    <w:rsid w:val="00C15281"/>
    <w:rsid w:val="00C21EFF"/>
    <w:rsid w:val="00C27C37"/>
    <w:rsid w:val="00C52062"/>
    <w:rsid w:val="00C5307E"/>
    <w:rsid w:val="00CB1153"/>
    <w:rsid w:val="00CE60E4"/>
    <w:rsid w:val="00D13746"/>
    <w:rsid w:val="00D3242E"/>
    <w:rsid w:val="00D41D5B"/>
    <w:rsid w:val="00D60186"/>
    <w:rsid w:val="00DF04C7"/>
    <w:rsid w:val="00DF1C21"/>
    <w:rsid w:val="00E1166C"/>
    <w:rsid w:val="00E67EAE"/>
    <w:rsid w:val="00E862C5"/>
    <w:rsid w:val="00E95C77"/>
    <w:rsid w:val="00EC4B0F"/>
    <w:rsid w:val="00F03E80"/>
    <w:rsid w:val="00F402FA"/>
    <w:rsid w:val="00F45C11"/>
    <w:rsid w:val="00F51507"/>
    <w:rsid w:val="00F612A9"/>
    <w:rsid w:val="00F77B37"/>
    <w:rsid w:val="00F8764A"/>
    <w:rsid w:val="00FD4393"/>
    <w:rsid w:val="00FE0222"/>
    <w:rsid w:val="00FE1BD5"/>
    <w:rsid w:val="00FF4C2D"/>
    <w:rsid w:val="0C290216"/>
    <w:rsid w:val="0DF239EF"/>
    <w:rsid w:val="14A22215"/>
    <w:rsid w:val="1BE72100"/>
    <w:rsid w:val="2EA20D1C"/>
    <w:rsid w:val="363863F5"/>
    <w:rsid w:val="3E75078E"/>
    <w:rsid w:val="454750F0"/>
    <w:rsid w:val="63D76E38"/>
    <w:rsid w:val="70C0247E"/>
    <w:rsid w:val="78595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link w:val="14"/>
    <w:semiHidden/>
    <w:unhideWhenUsed/>
    <w:qFormat/>
    <w:uiPriority w:val="9"/>
    <w:pPr>
      <w:keepNext/>
      <w:keepLines/>
      <w:spacing w:before="260" w:after="260" w:line="416" w:lineRule="auto"/>
      <w:outlineLvl w:val="2"/>
    </w:pPr>
    <w:rPr>
      <w:b/>
      <w:bCs/>
      <w:sz w:val="32"/>
      <w:szCs w:val="32"/>
    </w:rPr>
  </w:style>
  <w:style w:type="paragraph" w:styleId="5">
    <w:name w:val="heading 4"/>
    <w:basedOn w:val="1"/>
    <w:link w:val="13"/>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5"/>
    <w:semiHidden/>
    <w:unhideWhenUsed/>
    <w:qFormat/>
    <w:uiPriority w:val="99"/>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paragraph" w:styleId="12">
    <w:name w:val="List Paragraph"/>
    <w:basedOn w:val="1"/>
    <w:qFormat/>
    <w:uiPriority w:val="34"/>
    <w:pPr>
      <w:ind w:firstLine="420" w:firstLineChars="200"/>
    </w:pPr>
  </w:style>
  <w:style w:type="character" w:customStyle="1" w:styleId="13">
    <w:name w:val="标题 4 Char"/>
    <w:basedOn w:val="10"/>
    <w:link w:val="5"/>
    <w:qFormat/>
    <w:uiPriority w:val="9"/>
    <w:rPr>
      <w:rFonts w:ascii="宋体" w:hAnsi="宋体" w:eastAsia="宋体" w:cs="宋体"/>
      <w:b/>
      <w:bCs/>
      <w:kern w:val="0"/>
      <w:sz w:val="24"/>
      <w:szCs w:val="24"/>
    </w:rPr>
  </w:style>
  <w:style w:type="character" w:customStyle="1" w:styleId="14">
    <w:name w:val="标题 3 Char"/>
    <w:basedOn w:val="10"/>
    <w:link w:val="4"/>
    <w:semiHidden/>
    <w:qFormat/>
    <w:uiPriority w:val="9"/>
    <w:rPr>
      <w:b/>
      <w:bCs/>
      <w:sz w:val="32"/>
      <w:szCs w:val="32"/>
    </w:rPr>
  </w:style>
  <w:style w:type="character" w:customStyle="1" w:styleId="15">
    <w:name w:val="批注框文本 Char"/>
    <w:basedOn w:val="10"/>
    <w:link w:val="6"/>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9A05A1-2D50-4C0B-8057-398231BEE3AD}">
  <ds:schemaRefs/>
</ds:datastoreItem>
</file>

<file path=docProps/app.xml><?xml version="1.0" encoding="utf-8"?>
<Properties xmlns="http://schemas.openxmlformats.org/officeDocument/2006/extended-properties" xmlns:vt="http://schemas.openxmlformats.org/officeDocument/2006/docPropsVTypes">
  <Template>Normal</Template>
  <Pages>5</Pages>
  <Words>2464</Words>
  <Characters>2932</Characters>
  <Lines>37</Lines>
  <Paragraphs>10</Paragraphs>
  <TotalTime>1</TotalTime>
  <ScaleCrop>false</ScaleCrop>
  <LinksUpToDate>false</LinksUpToDate>
  <CharactersWithSpaces>2969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Lenovo</cp:lastModifiedBy>
  <cp:lastPrinted>2025-07-11T09:29:00Z</cp:lastPrinted>
  <dcterms:modified xsi:type="dcterms:W3CDTF">2025-08-04T08:38:18Z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eyJoZGlkIjoiYmRhODFmNzRmN2ZlNjc1OGE0YWUxNWEzMmNlMTZlZGUiLCJ1c2VySWQiOiIzNDgwMDA2NDgifQ==</vt:lpwstr>
  </property>
  <property fmtid="{D5CDD505-2E9C-101B-9397-08002B2CF9AE}" pid="3" name="KSOProductBuildVer">
    <vt:lpwstr>2052-12.1.0.21915</vt:lpwstr>
  </property>
  <property fmtid="{D5CDD505-2E9C-101B-9397-08002B2CF9AE}" pid="4" name="ICV">
    <vt:lpwstr>8367BC67ED624A2F850087B2C8490984_12</vt:lpwstr>
  </property>
</Properties>
</file>