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EBF6A">
      <w:pPr>
        <w:jc w:val="center"/>
        <w:rPr>
          <w:rFonts w:hint="eastAsia" w:ascii="仿宋_GB2312" w:hAnsi="仿宋_GB2312" w:eastAsia="仿宋_GB2312" w:cs="仿宋_GB2312"/>
          <w:b/>
          <w:bCs/>
          <w:sz w:val="32"/>
        </w:rPr>
      </w:pPr>
      <w:r>
        <w:rPr>
          <w:rFonts w:hint="eastAsia" w:ascii="仿宋_GB2312" w:hAnsi="仿宋_GB2312" w:eastAsia="仿宋_GB2312" w:cs="仿宋_GB2312"/>
          <w:b/>
          <w:bCs/>
          <w:sz w:val="32"/>
        </w:rPr>
        <w:t>采购公告</w:t>
      </w:r>
    </w:p>
    <w:p w14:paraId="5403031F">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72E0D38E">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lang w:val="en-US" w:eastAsia="zh-CN"/>
        </w:rPr>
        <w:t xml:space="preserve">  东莞军分区民兵装备仓库综合整治工程综合材料采购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lang w:val="en-US" w:eastAsia="zh-CN"/>
        </w:rPr>
        <w:t>公开</w:t>
      </w:r>
      <w:r>
        <w:rPr>
          <w:rFonts w:hint="eastAsia" w:ascii="仿宋_GB2312" w:hAnsi="仿宋_GB2312" w:eastAsia="仿宋_GB2312" w:cs="仿宋_GB2312"/>
          <w:kern w:val="0"/>
          <w:szCs w:val="21"/>
          <w:u w:val="single"/>
        </w:rPr>
        <w:t xml:space="preserve">采购 </w:t>
      </w:r>
      <w:r>
        <w:rPr>
          <w:rFonts w:hint="eastAsia" w:ascii="仿宋_GB2312" w:hAnsi="仿宋_GB2312" w:eastAsia="仿宋_GB2312" w:cs="仿宋_GB2312"/>
          <w:kern w:val="0"/>
          <w:szCs w:val="21"/>
        </w:rPr>
        <w:t>现将有关事项说明如下：</w:t>
      </w:r>
    </w:p>
    <w:p w14:paraId="7C7AB980">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项目名称</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东莞军分区民兵装备仓库综合整治工程综合材料采购 </w:t>
      </w:r>
    </w:p>
    <w:p w14:paraId="39D631C5">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项目编号：</w:t>
      </w:r>
      <w:r>
        <w:rPr>
          <w:rFonts w:hint="eastAsia" w:ascii="仿宋_GB2312" w:hAnsi="仿宋_GB2312" w:eastAsia="仿宋_GB2312" w:cs="仿宋_GB2312"/>
          <w:color w:val="auto"/>
          <w:kern w:val="0"/>
          <w:sz w:val="21"/>
          <w:szCs w:val="21"/>
          <w:u w:val="single"/>
        </w:rPr>
        <w:t xml:space="preserve"> ZBCG-</w:t>
      </w:r>
      <w:r>
        <w:rPr>
          <w:rFonts w:hint="eastAsia" w:ascii="仿宋_GB2312" w:hAnsi="仿宋_GB2312" w:eastAsia="仿宋_GB2312" w:cs="仿宋_GB2312"/>
          <w:color w:val="auto"/>
          <w:kern w:val="0"/>
          <w:sz w:val="21"/>
          <w:szCs w:val="21"/>
          <w:u w:val="single"/>
          <w:lang w:eastAsia="zh-CN"/>
        </w:rPr>
        <w:t>2025</w:t>
      </w:r>
      <w:r>
        <w:rPr>
          <w:rFonts w:hint="eastAsia" w:ascii="仿宋_GB2312" w:hAnsi="仿宋_GB2312" w:eastAsia="仿宋_GB2312" w:cs="仿宋_GB2312"/>
          <w:color w:val="auto"/>
          <w:kern w:val="0"/>
          <w:sz w:val="21"/>
          <w:szCs w:val="21"/>
          <w:u w:val="single"/>
        </w:rPr>
        <w:t>-</w:t>
      </w:r>
      <w:r>
        <w:rPr>
          <w:rFonts w:hint="eastAsia" w:ascii="仿宋_GB2312" w:hAnsi="仿宋_GB2312" w:eastAsia="仿宋_GB2312" w:cs="仿宋_GB2312"/>
          <w:color w:val="auto"/>
          <w:kern w:val="0"/>
          <w:sz w:val="21"/>
          <w:szCs w:val="21"/>
          <w:u w:val="single"/>
          <w:lang w:val="en-US" w:eastAsia="zh-CN"/>
        </w:rPr>
        <w:t>171</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lang w:val="en-US" w:eastAsia="zh-CN"/>
        </w:rPr>
        <w:t xml:space="preserve">  </w:t>
      </w:r>
    </w:p>
    <w:p w14:paraId="3469E859">
      <w:pPr>
        <w:widowControl/>
        <w:numPr>
          <w:ilvl w:val="0"/>
          <w:numId w:val="0"/>
        </w:numPr>
        <w:snapToGrid w:val="0"/>
        <w:spacing w:line="360" w:lineRule="auto"/>
        <w:ind w:left="420" w:leftChars="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三、</w:t>
      </w:r>
      <w:r>
        <w:rPr>
          <w:rFonts w:hint="eastAsia" w:ascii="仿宋_GB2312" w:hAnsi="仿宋_GB2312" w:eastAsia="仿宋_GB2312" w:cs="仿宋_GB2312"/>
          <w:b/>
          <w:bCs/>
          <w:color w:val="auto"/>
          <w:kern w:val="0"/>
          <w:sz w:val="21"/>
          <w:szCs w:val="21"/>
        </w:rPr>
        <w:t>工程地点：</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u w:val="single"/>
        </w:rPr>
        <w:t>东莞国防教育训练基</w:t>
      </w:r>
      <w:r>
        <w:rPr>
          <w:rFonts w:hint="eastAsia" w:ascii="仿宋_GB2312" w:hAnsi="仿宋_GB2312" w:eastAsia="仿宋_GB2312" w:cs="仿宋_GB2312"/>
          <w:color w:val="auto"/>
          <w:kern w:val="0"/>
          <w:sz w:val="21"/>
          <w:szCs w:val="21"/>
          <w:u w:val="single"/>
          <w:lang w:val="en-US" w:eastAsia="zh-CN"/>
        </w:rPr>
        <w:t xml:space="preserve">地                     </w:t>
      </w:r>
      <w:bookmarkStart w:id="0" w:name="_GoBack"/>
      <w:bookmarkEnd w:id="0"/>
    </w:p>
    <w:p w14:paraId="0258B72D">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rPr>
        <w:t>四、</w:t>
      </w:r>
      <w:r>
        <w:rPr>
          <w:rFonts w:hint="eastAsia" w:ascii="仿宋_GB2312" w:hAnsi="仿宋_GB2312" w:eastAsia="仿宋_GB2312" w:cs="仿宋_GB2312"/>
          <w:b/>
          <w:bCs/>
          <w:color w:val="auto"/>
          <w:kern w:val="0"/>
          <w:sz w:val="21"/>
          <w:szCs w:val="21"/>
          <w:lang w:val="en-US" w:eastAsia="zh-CN"/>
        </w:rPr>
        <w:t>采购限价</w:t>
      </w:r>
    </w:p>
    <w:p w14:paraId="7A26EB3F">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本项目</w:t>
      </w:r>
      <w:r>
        <w:rPr>
          <w:rFonts w:hint="eastAsia" w:ascii="仿宋_GB2312" w:hAnsi="仿宋_GB2312" w:eastAsia="仿宋_GB2312" w:cs="仿宋_GB2312"/>
          <w:color w:val="auto"/>
          <w:kern w:val="0"/>
          <w:sz w:val="21"/>
          <w:szCs w:val="21"/>
          <w:lang w:val="en-US" w:eastAsia="zh-CN"/>
        </w:rPr>
        <w:t>采购限价为</w:t>
      </w:r>
      <w:r>
        <w:rPr>
          <w:rFonts w:hint="eastAsia" w:ascii="仿宋_GB2312" w:hAnsi="仿宋_GB2312" w:eastAsia="仿宋_GB2312" w:cs="仿宋_GB2312"/>
          <w:color w:val="auto"/>
          <w:kern w:val="0"/>
          <w:sz w:val="21"/>
          <w:szCs w:val="21"/>
          <w:u w:val="single"/>
          <w:lang w:val="en-US" w:eastAsia="zh-CN"/>
        </w:rPr>
        <w:t xml:space="preserve">¥  </w:t>
      </w:r>
      <w:r>
        <w:rPr>
          <w:rFonts w:hint="default" w:ascii="仿宋_GB2312" w:hAnsi="仿宋_GB2312" w:eastAsia="仿宋_GB2312" w:cs="仿宋_GB2312"/>
          <w:color w:val="auto"/>
          <w:kern w:val="0"/>
          <w:sz w:val="21"/>
          <w:szCs w:val="21"/>
          <w:u w:val="single"/>
          <w:lang w:val="en-US" w:eastAsia="zh-CN"/>
        </w:rPr>
        <w:t>698829.16</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元（含税</w:t>
      </w:r>
      <w:r>
        <w:rPr>
          <w:rFonts w:hint="eastAsia" w:ascii="仿宋_GB2312" w:hAnsi="仿宋_GB2312" w:eastAsia="仿宋_GB2312" w:cs="仿宋_GB2312"/>
          <w:color w:val="auto"/>
          <w:kern w:val="0"/>
          <w:sz w:val="21"/>
          <w:szCs w:val="21"/>
          <w:u w:val="single"/>
          <w:lang w:val="en-US" w:eastAsia="zh-CN"/>
        </w:rPr>
        <w:t xml:space="preserve">  13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陆拾玖万捌仟捌佰贰拾玖元壹角陆分 </w:t>
      </w:r>
      <w:r>
        <w:rPr>
          <w:rFonts w:hint="eastAsia" w:ascii="仿宋_GB2312" w:hAnsi="仿宋_GB2312" w:eastAsia="仿宋_GB2312" w:cs="仿宋_GB2312"/>
          <w:color w:val="auto"/>
          <w:kern w:val="0"/>
          <w:sz w:val="21"/>
          <w:szCs w:val="21"/>
          <w:u w:val="none"/>
          <w:lang w:val="en-US" w:eastAsia="zh-CN"/>
        </w:rPr>
        <w:t>;其中不含税价款为:(小写</w:t>
      </w:r>
      <w:r>
        <w:rPr>
          <w:rFonts w:hint="eastAsia" w:ascii="仿宋_GB2312" w:hAnsi="仿宋_GB2312" w:eastAsia="仿宋_GB2312" w:cs="仿宋_GB2312"/>
          <w:color w:val="auto"/>
          <w:kern w:val="0"/>
          <w:sz w:val="21"/>
          <w:szCs w:val="21"/>
          <w:u w:val="single"/>
          <w:lang w:val="en-US" w:eastAsia="zh-CN"/>
        </w:rPr>
        <w:t>)¥ 618432.88 元</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陆拾壹万捌仟肆佰叁拾贰元捌角捌分  </w:t>
      </w:r>
      <w:r>
        <w:rPr>
          <w:rFonts w:hint="eastAsia" w:ascii="仿宋_GB2312" w:hAnsi="仿宋_GB2312" w:eastAsia="仿宋_GB2312" w:cs="仿宋_GB2312"/>
          <w:color w:val="auto"/>
          <w:kern w:val="0"/>
          <w:sz w:val="21"/>
          <w:szCs w:val="21"/>
          <w:u w:val="none"/>
          <w:lang w:val="en-US" w:eastAsia="zh-CN"/>
        </w:rPr>
        <w:t>;税金:(小写)</w:t>
      </w:r>
      <w:r>
        <w:rPr>
          <w:rFonts w:hint="eastAsia" w:ascii="仿宋_GB2312" w:hAnsi="仿宋_GB2312" w:eastAsia="仿宋_GB2312" w:cs="仿宋_GB2312"/>
          <w:color w:val="auto"/>
          <w:kern w:val="0"/>
          <w:sz w:val="21"/>
          <w:szCs w:val="21"/>
          <w:u w:val="single"/>
          <w:lang w:val="en-US" w:eastAsia="zh-CN"/>
        </w:rPr>
        <w:t>¥ 80396.27 元</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捌万零叁佰玖拾陆元贰角柒分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kern w:val="0"/>
          <w:szCs w:val="21"/>
          <w:lang w:val="en-US" w:eastAsia="zh-CN"/>
        </w:rPr>
        <w:t>（投标人报价不得高于采购限价）</w:t>
      </w:r>
    </w:p>
    <w:p w14:paraId="46886650">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ind w:left="40" w:leftChars="0" w:right="0" w:rightChars="0" w:firstLine="422" w:firstLineChars="200"/>
        <w:jc w:val="left"/>
        <w:rPr>
          <w:rFonts w:hint="eastAsia" w:ascii="仿宋_GB2312" w:hAnsi="仿宋_GB2312" w:eastAsia="仿宋_GB2312" w:cs="仿宋_GB2312"/>
          <w:color w:val="auto"/>
          <w:sz w:val="21"/>
          <w:szCs w:val="21"/>
          <w:u w:val="single"/>
          <w:lang w:val="en-US" w:eastAsia="zh-CN"/>
        </w:rPr>
      </w:pPr>
      <w:r>
        <w:rPr>
          <w:rFonts w:hint="eastAsia" w:ascii="仿宋_GB2312" w:hAnsi="仿宋_GB2312" w:eastAsia="仿宋_GB2312" w:cs="仿宋_GB2312"/>
          <w:b/>
          <w:bCs/>
          <w:color w:val="auto"/>
          <w:kern w:val="0"/>
          <w:sz w:val="21"/>
          <w:szCs w:val="21"/>
          <w:lang w:val="en-US" w:eastAsia="zh-CN"/>
        </w:rPr>
        <w:t>五、</w:t>
      </w:r>
      <w:r>
        <w:rPr>
          <w:rFonts w:hint="eastAsia" w:ascii="仿宋_GB2312" w:hAnsi="仿宋_GB2312" w:eastAsia="仿宋_GB2312" w:cs="仿宋_GB2312"/>
          <w:b/>
          <w:bCs/>
          <w:color w:val="auto"/>
          <w:kern w:val="0"/>
          <w:sz w:val="21"/>
          <w:szCs w:val="21"/>
        </w:rPr>
        <w:t>工程概况</w:t>
      </w:r>
      <w:r>
        <w:rPr>
          <w:rFonts w:hint="eastAsia" w:ascii="仿宋_GB2312" w:hAnsi="仿宋_GB2312" w:eastAsia="仿宋_GB2312" w:cs="仿宋_GB2312"/>
          <w:b/>
          <w:bCs/>
          <w:color w:val="auto"/>
          <w:kern w:val="0"/>
          <w:sz w:val="21"/>
          <w:szCs w:val="21"/>
          <w:lang w:eastAsia="zh-CN"/>
        </w:rPr>
        <w:t>：</w:t>
      </w:r>
      <w:r>
        <w:rPr>
          <w:rFonts w:hint="eastAsia" w:ascii="仿宋_GB2312" w:hAnsi="仿宋_GB2312" w:eastAsia="仿宋_GB2312" w:cs="仿宋_GB2312"/>
          <w:color w:val="auto"/>
          <w:sz w:val="21"/>
          <w:szCs w:val="21"/>
          <w:u w:val="single"/>
          <w:lang w:val="en-US" w:eastAsia="zh-CN"/>
        </w:rPr>
        <w:t xml:space="preserve">  办公楼首层改造为宿舍、办公室、资料室、储藏室、封闭开敞楼梯间等，办公楼二层局部改造为宿舍、翻新卫生间、封闭楼梯间与走廊。电房西侧新建临时储藏室、停车位、道路等 。</w:t>
      </w:r>
    </w:p>
    <w:p w14:paraId="3D27EA62">
      <w:pPr>
        <w:pStyle w:val="2"/>
        <w:keepNext w:val="0"/>
        <w:keepLines w:val="0"/>
        <w:pageBreakBefore w:val="0"/>
        <w:widowControl/>
        <w:kinsoku w:val="0"/>
        <w:wordWrap/>
        <w:overflowPunct/>
        <w:topLinePunct w:val="0"/>
        <w:autoSpaceDE w:val="0"/>
        <w:autoSpaceDN w:val="0"/>
        <w:bidi w:val="0"/>
        <w:adjustRightInd w:val="0"/>
        <w:snapToGrid w:val="0"/>
        <w:spacing w:before="98" w:line="288" w:lineRule="auto"/>
        <w:ind w:left="61" w:firstLine="422" w:firstLineChars="200"/>
        <w:textAlignment w:val="baseline"/>
        <w:rPr>
          <w:rFonts w:hint="eastAsia"/>
          <w:spacing w:val="7"/>
          <w:sz w:val="24"/>
          <w:szCs w:val="24"/>
          <w:lang w:val="en-US" w:eastAsia="zh-CN"/>
        </w:rPr>
      </w:pPr>
      <w:r>
        <w:rPr>
          <w:rFonts w:hint="eastAsia" w:ascii="仿宋_GB2312" w:hAnsi="仿宋_GB2312" w:eastAsia="仿宋_GB2312" w:cs="仿宋_GB2312"/>
          <w:b/>
          <w:bCs/>
          <w:color w:val="auto"/>
          <w:kern w:val="0"/>
          <w:sz w:val="21"/>
          <w:szCs w:val="21"/>
          <w:lang w:val="en-US" w:eastAsia="zh-CN"/>
        </w:rPr>
        <w:t>六、采购</w:t>
      </w:r>
      <w:r>
        <w:rPr>
          <w:rFonts w:hint="eastAsia" w:ascii="仿宋_GB2312" w:hAnsi="仿宋_GB2312" w:eastAsia="仿宋_GB2312" w:cs="仿宋_GB2312"/>
          <w:b/>
          <w:bCs/>
          <w:color w:val="auto"/>
          <w:kern w:val="0"/>
          <w:sz w:val="21"/>
          <w:szCs w:val="21"/>
        </w:rPr>
        <w:t>范围</w:t>
      </w:r>
      <w:r>
        <w:rPr>
          <w:rFonts w:hint="eastAsia" w:ascii="仿宋_GB2312" w:hAnsi="仿宋_GB2312" w:eastAsia="仿宋_GB2312" w:cs="仿宋_GB2312"/>
          <w:b/>
          <w:bCs/>
          <w:color w:val="auto"/>
          <w:kern w:val="0"/>
          <w:sz w:val="21"/>
          <w:szCs w:val="21"/>
          <w:lang w:eastAsia="zh-CN"/>
        </w:rPr>
        <w:t>：</w:t>
      </w:r>
      <w:r>
        <w:rPr>
          <w:rFonts w:hint="eastAsia" w:ascii="仿宋_GB2312" w:hAnsi="仿宋_GB2312" w:eastAsia="仿宋_GB2312" w:cs="仿宋_GB2312"/>
          <w:color w:val="auto"/>
          <w:kern w:val="0"/>
          <w:sz w:val="21"/>
          <w:szCs w:val="21"/>
          <w:u w:val="single"/>
          <w:lang w:val="en-US" w:eastAsia="zh-CN" w:bidi="ar"/>
        </w:rPr>
        <w:t xml:space="preserve">   东莞军分区民兵装备仓库综合整治工程综合材料采购，包括土建材料（砖块、碎石、瓷砖、防水材料等）、安装材料 （ 给水管、排水管、面板灯、开关插坐、电线、配电柜等），详见附件采购清单。</w:t>
      </w:r>
    </w:p>
    <w:p w14:paraId="57242C0F">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200"/>
        <w:textAlignment w:val="auto"/>
        <w:rPr>
          <w:rFonts w:hint="eastAsia" w:ascii="仿宋_GB2312" w:hAnsi="仿宋_GB2312" w:eastAsia="仿宋_GB2312" w:cs="仿宋_GB2312"/>
          <w:b/>
          <w:bCs/>
          <w:color w:val="auto"/>
          <w:kern w:val="0"/>
          <w:sz w:val="21"/>
          <w:szCs w:val="21"/>
        </w:rPr>
      </w:pPr>
    </w:p>
    <w:p w14:paraId="73444FA3">
      <w:pPr>
        <w:widowControl/>
        <w:numPr>
          <w:ilvl w:val="0"/>
          <w:numId w:val="0"/>
        </w:numPr>
        <w:snapToGrid w:val="0"/>
        <w:spacing w:line="360" w:lineRule="auto"/>
        <w:ind w:left="40" w:leftChars="0" w:firstLine="422" w:firstLineChars="200"/>
        <w:rPr>
          <w:rFonts w:hint="default"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七、服务</w:t>
      </w:r>
      <w:r>
        <w:rPr>
          <w:rFonts w:hint="eastAsia" w:ascii="仿宋_GB2312" w:hAnsi="仿宋_GB2312" w:eastAsia="仿宋_GB2312" w:cs="仿宋_GB2312"/>
          <w:b/>
          <w:bCs/>
          <w:color w:val="auto"/>
          <w:kern w:val="0"/>
          <w:sz w:val="21"/>
          <w:szCs w:val="21"/>
        </w:rPr>
        <w:t>期</w:t>
      </w:r>
      <w:r>
        <w:rPr>
          <w:rFonts w:hint="eastAsia" w:ascii="仿宋_GB2312" w:hAnsi="仿宋_GB2312" w:eastAsia="仿宋_GB2312" w:cs="仿宋_GB2312"/>
          <w:b/>
          <w:bCs/>
          <w:color w:val="auto"/>
          <w:kern w:val="0"/>
          <w:sz w:val="21"/>
          <w:szCs w:val="21"/>
          <w:lang w:val="en-US" w:eastAsia="zh-CN"/>
        </w:rPr>
        <w:t>及数量</w:t>
      </w:r>
    </w:p>
    <w:p w14:paraId="07B9EEC0">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val="en-US" w:eastAsia="zh-CN"/>
        </w:rPr>
        <w:t>送货时间及数量</w:t>
      </w:r>
      <w:r>
        <w:rPr>
          <w:rFonts w:hint="eastAsia" w:ascii="仿宋_GB2312" w:hAnsi="仿宋_GB2312" w:eastAsia="仿宋_GB2312" w:cs="仿宋_GB2312"/>
          <w:color w:val="auto"/>
          <w:kern w:val="0"/>
          <w:sz w:val="21"/>
          <w:szCs w:val="21"/>
          <w:highlight w:val="none"/>
        </w:rPr>
        <w:t>：所有产品供货期自</w:t>
      </w:r>
      <w:r>
        <w:rPr>
          <w:rFonts w:hint="eastAsia" w:ascii="仿宋_GB2312" w:hAnsi="仿宋_GB2312" w:eastAsia="仿宋_GB2312" w:cs="仿宋_GB2312"/>
          <w:color w:val="auto"/>
          <w:kern w:val="0"/>
          <w:sz w:val="21"/>
          <w:szCs w:val="21"/>
          <w:highlight w:val="none"/>
          <w:lang w:val="en-US" w:eastAsia="zh-CN"/>
        </w:rPr>
        <w:t>项目单项需求下单后3天内送达项目现场，</w:t>
      </w:r>
      <w:r>
        <w:rPr>
          <w:rFonts w:hint="eastAsia" w:ascii="仿宋_GB2312" w:hAnsi="仿宋_GB2312" w:eastAsia="仿宋_GB2312" w:cs="仿宋_GB2312"/>
          <w:color w:val="auto"/>
          <w:kern w:val="0"/>
          <w:sz w:val="21"/>
          <w:szCs w:val="21"/>
          <w:highlight w:val="none"/>
        </w:rPr>
        <w:t>工期为</w:t>
      </w:r>
      <w:r>
        <w:rPr>
          <w:rFonts w:hint="eastAsia" w:ascii="仿宋_GB2312" w:hAnsi="仿宋_GB2312" w:eastAsia="仿宋_GB2312" w:cs="仿宋_GB2312"/>
          <w:color w:val="auto"/>
          <w:kern w:val="0"/>
          <w:sz w:val="21"/>
          <w:szCs w:val="21"/>
          <w:highlight w:val="none"/>
          <w:u w:val="single"/>
          <w:lang w:val="en-US" w:eastAsia="zh-CN"/>
        </w:rPr>
        <w:t xml:space="preserve">  3 </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val="en-US" w:eastAsia="zh-CN"/>
        </w:rPr>
        <w:t>内</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lang w:val="en-US" w:eastAsia="zh-CN"/>
        </w:rPr>
        <w:t>具体送货、备货时间以项目部正式通知为准，乙方承诺无条件配合甲方项目部根据施工进度安排对产品供货期的调整</w:t>
      </w:r>
      <w:r>
        <w:rPr>
          <w:rFonts w:hint="eastAsia" w:ascii="仿宋_GB2312" w:hAnsi="仿宋_GB2312" w:eastAsia="仿宋_GB2312" w:cs="仿宋_GB2312"/>
          <w:color w:val="auto"/>
          <w:kern w:val="0"/>
          <w:sz w:val="21"/>
          <w:szCs w:val="21"/>
        </w:rPr>
        <w:t>。</w:t>
      </w:r>
    </w:p>
    <w:p w14:paraId="52594C40">
      <w:pPr>
        <w:widowControl/>
        <w:numPr>
          <w:ilvl w:val="0"/>
          <w:numId w:val="0"/>
        </w:numPr>
        <w:snapToGrid w:val="0"/>
        <w:spacing w:line="360" w:lineRule="auto"/>
        <w:ind w:left="0" w:leftChars="0" w:firstLine="422" w:firstLineChars="200"/>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lang w:val="en-US" w:eastAsia="zh-CN"/>
        </w:rPr>
        <w:t>八、</w:t>
      </w:r>
      <w:r>
        <w:rPr>
          <w:rFonts w:hint="eastAsia" w:ascii="仿宋_GB2312" w:hAnsi="仿宋_GB2312" w:eastAsia="仿宋_GB2312" w:cs="仿宋_GB2312"/>
          <w:b/>
          <w:bCs/>
          <w:color w:val="auto"/>
          <w:kern w:val="0"/>
          <w:sz w:val="21"/>
          <w:szCs w:val="21"/>
        </w:rPr>
        <w:t>投标</w:t>
      </w:r>
      <w:r>
        <w:rPr>
          <w:rFonts w:hint="eastAsia" w:ascii="仿宋_GB2312" w:hAnsi="仿宋_GB2312" w:eastAsia="仿宋_GB2312" w:cs="仿宋_GB2312"/>
          <w:b/>
          <w:bCs/>
          <w:color w:val="auto"/>
          <w:kern w:val="0"/>
          <w:sz w:val="21"/>
          <w:szCs w:val="21"/>
          <w:highlight w:val="none"/>
        </w:rPr>
        <w:t>文件的递交时间及开标地点</w:t>
      </w:r>
    </w:p>
    <w:p w14:paraId="116E5618">
      <w:pPr>
        <w:widowControl/>
        <w:numPr>
          <w:ilvl w:val="0"/>
          <w:numId w:val="0"/>
        </w:numPr>
        <w:snapToGrid w:val="0"/>
        <w:spacing w:line="360" w:lineRule="auto"/>
        <w:ind w:left="0" w:leftChars="0" w:firstLine="420" w:firstLineChars="2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以密封形式于</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07 </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   27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 xml:space="preserve">  10  </w:t>
      </w:r>
      <w:r>
        <w:rPr>
          <w:rFonts w:hint="eastAsia" w:ascii="仿宋_GB2312" w:hAnsi="仿宋_GB2312" w:eastAsia="仿宋_GB2312" w:cs="仿宋_GB2312"/>
          <w:color w:val="auto"/>
          <w:kern w:val="0"/>
          <w:sz w:val="21"/>
          <w:szCs w:val="21"/>
          <w:highlight w:val="none"/>
          <w:u w:val="single"/>
        </w:rPr>
        <w:t>时</w:t>
      </w:r>
      <w:r>
        <w:rPr>
          <w:rFonts w:hint="eastAsia" w:ascii="仿宋_GB2312" w:hAnsi="仿宋_GB2312" w:eastAsia="仿宋_GB2312" w:cs="仿宋_GB2312"/>
          <w:color w:val="auto"/>
          <w:kern w:val="0"/>
          <w:sz w:val="21"/>
          <w:szCs w:val="21"/>
          <w:highlight w:val="none"/>
          <w:u w:val="single"/>
          <w:lang w:val="en-US" w:eastAsia="zh-CN"/>
        </w:rPr>
        <w:t xml:space="preserve"> 40  </w:t>
      </w:r>
      <w:r>
        <w:rPr>
          <w:rFonts w:hint="eastAsia" w:ascii="仿宋_GB2312" w:hAnsi="仿宋_GB2312" w:eastAsia="仿宋_GB2312" w:cs="仿宋_GB2312"/>
          <w:color w:val="auto"/>
          <w:kern w:val="0"/>
          <w:sz w:val="21"/>
          <w:szCs w:val="21"/>
          <w:highlight w:val="none"/>
          <w:u w:val="single"/>
        </w:rPr>
        <w:t>分</w:t>
      </w:r>
      <w:r>
        <w:rPr>
          <w:rFonts w:hint="eastAsia" w:ascii="仿宋_GB2312" w:hAnsi="仿宋_GB2312" w:eastAsia="仿宋_GB2312" w:cs="仿宋_GB2312"/>
          <w:color w:val="auto"/>
          <w:kern w:val="0"/>
          <w:sz w:val="21"/>
          <w:szCs w:val="21"/>
          <w:highlight w:val="none"/>
        </w:rPr>
        <w:t>前递交，截止时间为</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u w:val="single"/>
          <w:lang w:val="en-US" w:eastAsia="zh-CN"/>
        </w:rPr>
        <w:t xml:space="preserve"> 07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u w:val="single"/>
          <w:lang w:val="en-US" w:eastAsia="zh-CN"/>
        </w:rPr>
        <w:t xml:space="preserve"> 27 </w:t>
      </w:r>
      <w:r>
        <w:rPr>
          <w:rFonts w:hint="eastAsia" w:ascii="仿宋_GB2312" w:hAnsi="仿宋_GB2312" w:eastAsia="仿宋_GB2312" w:cs="仿宋_GB2312"/>
          <w:color w:val="auto"/>
          <w:kern w:val="0"/>
          <w:sz w:val="21"/>
          <w:szCs w:val="21"/>
          <w:highlight w:val="none"/>
        </w:rPr>
        <w:t>日</w:t>
      </w:r>
      <w:r>
        <w:rPr>
          <w:rFonts w:hint="eastAsia" w:ascii="仿宋_GB2312" w:hAnsi="仿宋_GB2312" w:eastAsia="仿宋_GB2312" w:cs="仿宋_GB2312"/>
          <w:color w:val="auto"/>
          <w:kern w:val="0"/>
          <w:sz w:val="21"/>
          <w:szCs w:val="21"/>
          <w:highlight w:val="none"/>
          <w:u w:val="single"/>
          <w:lang w:val="en-US" w:eastAsia="zh-CN"/>
        </w:rPr>
        <w:t xml:space="preserve">  10 </w:t>
      </w:r>
      <w:r>
        <w:rPr>
          <w:rFonts w:hint="eastAsia" w:ascii="仿宋_GB2312" w:hAnsi="仿宋_GB2312" w:eastAsia="仿宋_GB2312" w:cs="仿宋_GB2312"/>
          <w:color w:val="auto"/>
          <w:kern w:val="0"/>
          <w:sz w:val="21"/>
          <w:szCs w:val="21"/>
          <w:highlight w:val="none"/>
        </w:rPr>
        <w:t>时</w:t>
      </w:r>
      <w:r>
        <w:rPr>
          <w:rFonts w:hint="eastAsia" w:ascii="仿宋_GB2312" w:hAnsi="仿宋_GB2312" w:eastAsia="仿宋_GB2312" w:cs="仿宋_GB2312"/>
          <w:color w:val="auto"/>
          <w:kern w:val="0"/>
          <w:sz w:val="21"/>
          <w:szCs w:val="21"/>
          <w:highlight w:val="none"/>
          <w:u w:val="single"/>
          <w:lang w:val="en-US" w:eastAsia="zh-CN"/>
        </w:rPr>
        <w:t xml:space="preserve"> 40  </w:t>
      </w:r>
      <w:r>
        <w:rPr>
          <w:rFonts w:hint="eastAsia" w:ascii="仿宋_GB2312" w:hAnsi="仿宋_GB2312" w:eastAsia="仿宋_GB2312" w:cs="仿宋_GB2312"/>
          <w:color w:val="auto"/>
          <w:kern w:val="0"/>
          <w:sz w:val="21"/>
          <w:szCs w:val="21"/>
          <w:highlight w:val="none"/>
        </w:rPr>
        <w:t>分，所有报价文件必须在规定的递交截止时间前按规定送达采购方，逾期恕不接受。</w:t>
      </w:r>
    </w:p>
    <w:p w14:paraId="10A88A1A">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开标地址：东莞市南城</w:t>
      </w:r>
      <w:r>
        <w:rPr>
          <w:rFonts w:hint="eastAsia" w:ascii="仿宋_GB2312" w:hAnsi="仿宋_GB2312" w:eastAsia="仿宋_GB2312" w:cs="仿宋_GB2312"/>
          <w:color w:val="auto"/>
          <w:kern w:val="0"/>
          <w:sz w:val="21"/>
          <w:szCs w:val="21"/>
          <w:highlight w:val="none"/>
          <w:lang w:val="en-US" w:eastAsia="zh-CN"/>
        </w:rPr>
        <w:t>街道城市风景街8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开标室。</w:t>
      </w:r>
    </w:p>
    <w:p w14:paraId="7639C53E">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lang w:val="en-US" w:eastAsia="zh-CN"/>
        </w:rPr>
        <w:t>九</w:t>
      </w:r>
      <w:r>
        <w:rPr>
          <w:rFonts w:hint="eastAsia" w:ascii="仿宋_GB2312" w:hAnsi="仿宋_GB2312" w:eastAsia="仿宋_GB2312" w:cs="仿宋_GB2312"/>
          <w:b/>
          <w:bCs/>
          <w:color w:val="auto"/>
          <w:kern w:val="0"/>
          <w:sz w:val="21"/>
          <w:szCs w:val="21"/>
          <w:highlight w:val="none"/>
        </w:rPr>
        <w:t>、注意事项</w:t>
      </w:r>
    </w:p>
    <w:p w14:paraId="75B711E8">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1、投标人必须全面响应采购文件要求，投标人任何附加条件采购人一律不接受或视为废标。</w:t>
      </w:r>
    </w:p>
    <w:p w14:paraId="4E37C434">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2、投标文件严禁出现不平衡报价。</w:t>
      </w:r>
    </w:p>
    <w:p w14:paraId="2E17959B">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、质量要求：现行的施工规范要求。</w:t>
      </w:r>
    </w:p>
    <w:p w14:paraId="63BE91E0">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采购</w:t>
      </w:r>
      <w:r>
        <w:rPr>
          <w:rFonts w:hint="eastAsia" w:ascii="仿宋_GB2312" w:hAnsi="仿宋_GB2312" w:eastAsia="仿宋_GB2312" w:cs="仿宋_GB2312"/>
          <w:b/>
          <w:bCs/>
          <w:color w:val="auto"/>
          <w:kern w:val="0"/>
          <w:sz w:val="21"/>
          <w:szCs w:val="21"/>
          <w:highlight w:val="none"/>
        </w:rPr>
        <w:t>文件获取</w:t>
      </w:r>
    </w:p>
    <w:p w14:paraId="09EB6E40">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官网（http:</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www.</w:t>
      </w:r>
      <w:r>
        <w:rPr>
          <w:rFonts w:hint="eastAsia" w:ascii="仿宋_GB2312" w:hAnsi="仿宋_GB2312" w:eastAsia="仿宋_GB2312" w:cs="仿宋_GB2312"/>
          <w:color w:val="auto"/>
          <w:kern w:val="0"/>
          <w:sz w:val="21"/>
          <w:szCs w:val="21"/>
          <w:highlight w:val="none"/>
        </w:rPr>
        <w:t>dggcc.cn）。</w:t>
      </w:r>
    </w:p>
    <w:p w14:paraId="08B3B3C7">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一</w:t>
      </w:r>
      <w:r>
        <w:rPr>
          <w:rFonts w:hint="eastAsia" w:ascii="仿宋_GB2312" w:hAnsi="仿宋_GB2312" w:eastAsia="仿宋_GB2312" w:cs="仿宋_GB2312"/>
          <w:b/>
          <w:bCs/>
          <w:color w:val="auto"/>
          <w:kern w:val="0"/>
          <w:sz w:val="21"/>
          <w:szCs w:val="21"/>
          <w:highlight w:val="none"/>
        </w:rPr>
        <w:t>、</w:t>
      </w:r>
      <w:r>
        <w:rPr>
          <w:rFonts w:hint="eastAsia" w:ascii="仿宋_GB2312" w:hAnsi="仿宋_GB2312" w:eastAsia="仿宋_GB2312" w:cs="仿宋_GB2312"/>
          <w:b/>
          <w:bCs/>
          <w:color w:val="auto"/>
          <w:kern w:val="0"/>
          <w:sz w:val="21"/>
          <w:szCs w:val="21"/>
          <w:highlight w:val="none"/>
          <w:lang w:val="en-US" w:eastAsia="zh-CN"/>
        </w:rPr>
        <w:t>其他及特别内容说明</w:t>
      </w:r>
    </w:p>
    <w:p w14:paraId="1DAF9E6E">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参考品牌：</w:t>
      </w:r>
      <w:r>
        <w:rPr>
          <w:rFonts w:hint="eastAsia" w:ascii="仿宋_GB2312" w:hAnsi="仿宋_GB2312" w:eastAsia="仿宋_GB2312" w:cs="仿宋_GB2312"/>
          <w:b w:val="0"/>
          <w:bCs w:val="0"/>
          <w:color w:val="auto"/>
          <w:kern w:val="0"/>
          <w:sz w:val="21"/>
          <w:szCs w:val="21"/>
          <w:highlight w:val="none"/>
          <w:u w:val="single"/>
          <w:lang w:val="en-US" w:eastAsia="zh-CN"/>
        </w:rPr>
        <w:t xml:space="preserve">  /   </w:t>
      </w:r>
      <w:r>
        <w:rPr>
          <w:rFonts w:hint="eastAsia" w:ascii="仿宋_GB2312" w:hAnsi="仿宋_GB2312" w:eastAsia="仿宋_GB2312" w:cs="仿宋_GB2312"/>
          <w:b w:val="0"/>
          <w:bCs w:val="0"/>
          <w:color w:val="auto"/>
          <w:kern w:val="0"/>
          <w:sz w:val="21"/>
          <w:szCs w:val="21"/>
          <w:highlight w:val="none"/>
          <w:lang w:val="en-US" w:eastAsia="zh-CN"/>
        </w:rPr>
        <w:t>；进场需经采购人审核同意方可使用。</w:t>
      </w:r>
    </w:p>
    <w:p w14:paraId="634F67D1">
      <w:pPr>
        <w:widowControl/>
        <w:snapToGrid w:val="0"/>
        <w:spacing w:line="360" w:lineRule="auto"/>
        <w:ind w:left="0" w:leftChars="0" w:firstLine="369"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二</w:t>
      </w:r>
      <w:r>
        <w:rPr>
          <w:rFonts w:hint="eastAsia" w:ascii="仿宋_GB2312" w:hAnsi="仿宋_GB2312" w:eastAsia="仿宋_GB2312" w:cs="仿宋_GB2312"/>
          <w:color w:val="auto"/>
          <w:kern w:val="0"/>
          <w:sz w:val="21"/>
          <w:szCs w:val="21"/>
          <w:highlight w:val="none"/>
        </w:rPr>
        <w:t xml:space="preserve">、有关此次采购答疑事宜，按下列地址以书面或电话形式向采购人查询：  </w:t>
      </w:r>
    </w:p>
    <w:p w14:paraId="598FF94E">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采购人：</w:t>
      </w:r>
      <w:r>
        <w:rPr>
          <w:rFonts w:hint="eastAsia" w:ascii="仿宋_GB2312" w:hAnsi="仿宋_GB2312" w:eastAsia="仿宋_GB2312" w:cs="仿宋_GB2312"/>
          <w:color w:val="auto"/>
          <w:kern w:val="0"/>
          <w:sz w:val="21"/>
          <w:szCs w:val="21"/>
          <w:highlight w:val="none"/>
          <w:lang w:eastAsia="zh-CN"/>
        </w:rPr>
        <w:t>东莞市城市工程建设集团有限公司</w:t>
      </w:r>
    </w:p>
    <w:p w14:paraId="45B91765">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地址：东莞市南城区城市风景街</w:t>
      </w:r>
      <w:r>
        <w:rPr>
          <w:rFonts w:hint="eastAsia" w:ascii="仿宋_GB2312" w:hAnsi="仿宋_GB2312" w:eastAsia="仿宋_GB2312" w:cs="仿宋_GB2312"/>
          <w:color w:val="auto"/>
          <w:kern w:val="0"/>
          <w:sz w:val="21"/>
          <w:szCs w:val="21"/>
          <w:highlight w:val="none"/>
          <w:lang w:val="en-US" w:eastAsia="zh-CN"/>
        </w:rPr>
        <w:t>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b w:val="0"/>
          <w:bCs w:val="0"/>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w:t>
      </w:r>
    </w:p>
    <w:p w14:paraId="30C2805D">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联系人：</w:t>
      </w:r>
      <w:r>
        <w:rPr>
          <w:rFonts w:hint="eastAsia" w:ascii="仿宋_GB2312" w:hAnsi="仿宋_GB2312" w:eastAsia="仿宋_GB2312" w:cs="仿宋_GB2312"/>
          <w:color w:val="auto"/>
          <w:kern w:val="0"/>
          <w:sz w:val="21"/>
          <w:szCs w:val="21"/>
          <w:highlight w:val="none"/>
          <w:lang w:val="en-US" w:eastAsia="zh-CN"/>
        </w:rPr>
        <w:t>黄工</w:t>
      </w:r>
      <w:r>
        <w:rPr>
          <w:rFonts w:hint="eastAsia" w:ascii="仿宋_GB2312" w:hAnsi="仿宋_GB2312" w:eastAsia="仿宋_GB2312" w:cs="仿宋_GB2312"/>
          <w:color w:val="auto"/>
          <w:kern w:val="0"/>
          <w:sz w:val="21"/>
          <w:szCs w:val="21"/>
          <w:highlight w:val="none"/>
        </w:rPr>
        <w:t xml:space="preserve">                   邮政编码：</w:t>
      </w:r>
      <w:r>
        <w:rPr>
          <w:rFonts w:hint="eastAsia" w:ascii="仿宋_GB2312" w:hAnsi="仿宋_GB2312" w:eastAsia="仿宋_GB2312" w:cs="仿宋_GB2312"/>
          <w:color w:val="auto"/>
          <w:kern w:val="0"/>
          <w:sz w:val="21"/>
          <w:szCs w:val="21"/>
          <w:highlight w:val="none"/>
          <w:lang w:val="en-US" w:eastAsia="zh-CN"/>
        </w:rPr>
        <w:t>523000</w:t>
      </w:r>
    </w:p>
    <w:p w14:paraId="488F52E9">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联系方式：</w:t>
      </w:r>
      <w:r>
        <w:rPr>
          <w:rFonts w:hint="eastAsia" w:ascii="仿宋_GB2312" w:hAnsi="仿宋_GB2312" w:eastAsia="仿宋_GB2312" w:cs="仿宋_GB2312"/>
          <w:color w:val="auto"/>
          <w:kern w:val="0"/>
          <w:sz w:val="21"/>
          <w:szCs w:val="21"/>
          <w:highlight w:val="none"/>
          <w:lang w:val="en-US" w:eastAsia="zh-CN"/>
        </w:rPr>
        <w:t>15017133726</w:t>
      </w:r>
      <w:r>
        <w:rPr>
          <w:rFonts w:hint="eastAsia"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rPr>
        <w:t>传真：0769-39009090</w:t>
      </w:r>
    </w:p>
    <w:p w14:paraId="75F313BC">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452F5DE4">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2D347F81">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2DF903E5">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东莞市城市工程建设集团有限公司</w:t>
      </w:r>
    </w:p>
    <w:p w14:paraId="564E1042">
      <w:pPr>
        <w:jc w:val="right"/>
      </w:pPr>
      <w:r>
        <w:rPr>
          <w:rFonts w:hint="eastAsia" w:ascii="仿宋_GB2312" w:hAnsi="仿宋_GB2312" w:eastAsia="仿宋_GB2312" w:cs="仿宋_GB2312"/>
          <w:color w:val="auto"/>
          <w:kern w:val="0"/>
          <w:sz w:val="21"/>
          <w:szCs w:val="21"/>
          <w:highlight w:val="non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07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lang w:val="en-US" w:eastAsia="zh-CN"/>
        </w:rPr>
        <w:t xml:space="preserve"> 23  </w:t>
      </w:r>
      <w:r>
        <w:rPr>
          <w:rFonts w:hint="eastAsia" w:ascii="仿宋_GB2312" w:hAnsi="仿宋_GB2312" w:eastAsia="仿宋_GB2312" w:cs="仿宋_GB2312"/>
          <w:color w:val="auto"/>
          <w:kern w:val="0"/>
          <w:sz w:val="21"/>
          <w:szCs w:val="21"/>
          <w:highlight w:val="none"/>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000000"/>
    <w:rsid w:val="29E93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2025-07-23T07:17:41Z</dcterms:created>
  <dc:creator>lenovo</dc:creator>
  <cp:lastModifiedBy>黄惠东</cp:lastModifiedBy>
  <dcterms:modified xsi:type="dcterms:W3CDTF">2025-07-23T07:18:05Z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064C01E9497F4EEFA8B6F5B21B9B8129_12</vt:lpwstr>
  </property>
</Properties>
</file>