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8852F3">
      <w:pPr>
        <w:jc w:val="center"/>
        <w:rPr>
          <w:rFonts w:hint="eastAsia" w:ascii="仿宋_GB2312" w:hAnsi="仿宋_GB2312" w:eastAsia="仿宋_GB2312" w:cs="仿宋_GB2312"/>
          <w:b w:val="0"/>
          <w:bCs w:val="0"/>
          <w:sz w:val="32"/>
        </w:rPr>
      </w:pPr>
      <w:r>
        <w:rPr>
          <w:rFonts w:hint="eastAsia" w:ascii="仿宋_GB2312" w:hAnsi="仿宋_GB2312" w:eastAsia="仿宋_GB2312" w:cs="仿宋_GB2312"/>
          <w:b w:val="0"/>
          <w:bCs w:val="0"/>
          <w:sz w:val="32"/>
        </w:rPr>
        <w:t>采购公告</w:t>
      </w:r>
    </w:p>
    <w:p w14:paraId="33D63E4C">
      <w:pPr>
        <w:widowControl/>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至：投标人</w:t>
      </w:r>
    </w:p>
    <w:p w14:paraId="46B3B27D">
      <w:pPr>
        <w:widowControl/>
        <w:snapToGrid w:val="0"/>
        <w:spacing w:line="360" w:lineRule="auto"/>
        <w:ind w:firstLine="525" w:firstLineChars="25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eastAsia="zh-CN"/>
        </w:rPr>
        <w:t>东莞市城市工程建设集团有限公司</w:t>
      </w:r>
      <w:r>
        <w:rPr>
          <w:rFonts w:hint="eastAsia" w:ascii="仿宋_GB2312" w:hAnsi="仿宋_GB2312" w:eastAsia="仿宋_GB2312" w:cs="仿宋_GB2312"/>
          <w:kern w:val="0"/>
          <w:szCs w:val="21"/>
        </w:rPr>
        <w:t>就</w:t>
      </w:r>
      <w:r>
        <w:rPr>
          <w:rFonts w:hint="eastAsia" w:ascii="仿宋_GB2312" w:hAnsi="仿宋_GB2312" w:eastAsia="仿宋_GB2312" w:cs="仿宋_GB2312"/>
          <w:kern w:val="0"/>
          <w:szCs w:val="21"/>
          <w:u w:val="single"/>
          <w:lang w:val="en-US" w:eastAsia="zh-CN"/>
        </w:rPr>
        <w:t xml:space="preserve">    东莞市沙田中学（暂定名）瓷砖采购   </w:t>
      </w:r>
      <w:r>
        <w:rPr>
          <w:rFonts w:hint="eastAsia" w:ascii="仿宋_GB2312" w:hAnsi="仿宋_GB2312" w:eastAsia="仿宋_GB2312" w:cs="仿宋_GB2312"/>
          <w:kern w:val="0"/>
          <w:szCs w:val="21"/>
        </w:rPr>
        <w:t>进行</w:t>
      </w:r>
      <w:r>
        <w:rPr>
          <w:rFonts w:hint="eastAsia" w:ascii="仿宋_GB2312" w:hAnsi="仿宋_GB2312" w:eastAsia="仿宋_GB2312" w:cs="仿宋_GB2312"/>
          <w:kern w:val="0"/>
          <w:szCs w:val="21"/>
          <w:u w:val="single"/>
          <w:lang w:val="en-US" w:eastAsia="zh-CN"/>
        </w:rPr>
        <w:t>公开</w:t>
      </w:r>
      <w:r>
        <w:rPr>
          <w:rFonts w:hint="eastAsia" w:ascii="仿宋_GB2312" w:hAnsi="仿宋_GB2312" w:eastAsia="仿宋_GB2312" w:cs="仿宋_GB2312"/>
          <w:kern w:val="0"/>
          <w:szCs w:val="21"/>
          <w:u w:val="single"/>
        </w:rPr>
        <w:t xml:space="preserve">采购 </w:t>
      </w:r>
      <w:r>
        <w:rPr>
          <w:rFonts w:hint="eastAsia" w:ascii="仿宋_GB2312" w:hAnsi="仿宋_GB2312" w:eastAsia="仿宋_GB2312" w:cs="仿宋_GB2312"/>
          <w:kern w:val="0"/>
          <w:szCs w:val="21"/>
        </w:rPr>
        <w:t>现将有关事项说明如下：</w:t>
      </w:r>
    </w:p>
    <w:p w14:paraId="1E121759">
      <w:pPr>
        <w:widowControl/>
        <w:numPr>
          <w:ilvl w:val="0"/>
          <w:numId w:val="1"/>
        </w:numPr>
        <w:snapToGrid w:val="0"/>
        <w:spacing w:line="360" w:lineRule="auto"/>
        <w:ind w:left="0" w:leftChars="0" w:firstLine="420" w:firstLineChars="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项目名称：</w:t>
      </w:r>
      <w:r>
        <w:rPr>
          <w:rFonts w:hint="eastAsia" w:ascii="仿宋_GB2312" w:hAnsi="仿宋_GB2312" w:eastAsia="仿宋_GB2312" w:cs="仿宋_GB2312"/>
          <w:color w:val="auto"/>
          <w:kern w:val="0"/>
          <w:sz w:val="21"/>
          <w:szCs w:val="21"/>
          <w:u w:val="single"/>
        </w:rPr>
        <w:t xml:space="preserve">  </w:t>
      </w:r>
      <w:bookmarkStart w:id="0" w:name="OLE_LINK1"/>
      <w:r>
        <w:rPr>
          <w:rFonts w:hint="eastAsia" w:ascii="仿宋_GB2312" w:hAnsi="仿宋_GB2312" w:eastAsia="仿宋_GB2312" w:cs="仿宋_GB2312"/>
          <w:color w:val="auto"/>
          <w:kern w:val="0"/>
          <w:sz w:val="21"/>
          <w:szCs w:val="21"/>
          <w:u w:val="single"/>
          <w:lang w:val="en-US" w:eastAsia="zh-CN"/>
        </w:rPr>
        <w:t>东莞市沙田中学（暂定名）瓷砖采购</w:t>
      </w:r>
      <w:bookmarkEnd w:id="0"/>
    </w:p>
    <w:p w14:paraId="5FFC853E">
      <w:pPr>
        <w:widowControl/>
        <w:numPr>
          <w:ilvl w:val="0"/>
          <w:numId w:val="1"/>
        </w:numPr>
        <w:snapToGrid w:val="0"/>
        <w:spacing w:line="360" w:lineRule="auto"/>
        <w:ind w:left="0" w:leftChars="0" w:firstLine="420" w:firstLineChars="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项目编号：</w:t>
      </w:r>
      <w:r>
        <w:rPr>
          <w:rFonts w:hint="eastAsia" w:ascii="仿宋_GB2312" w:hAnsi="仿宋_GB2312" w:eastAsia="仿宋_GB2312" w:cs="仿宋_GB2312"/>
          <w:color w:val="auto"/>
          <w:kern w:val="0"/>
          <w:sz w:val="21"/>
          <w:szCs w:val="21"/>
          <w:u w:val="single"/>
        </w:rPr>
        <w:t xml:space="preserve">  ZBCG-20</w:t>
      </w:r>
      <w:r>
        <w:rPr>
          <w:rFonts w:hint="eastAsia" w:ascii="仿宋_GB2312" w:hAnsi="仿宋_GB2312" w:eastAsia="仿宋_GB2312" w:cs="仿宋_GB2312"/>
          <w:color w:val="auto"/>
          <w:kern w:val="0"/>
          <w:sz w:val="21"/>
          <w:szCs w:val="21"/>
          <w:u w:val="single"/>
          <w:lang w:val="en-US" w:eastAsia="zh-CN"/>
        </w:rPr>
        <w:t xml:space="preserve">25-144 </w:t>
      </w:r>
      <w:r>
        <w:rPr>
          <w:rFonts w:hint="eastAsia" w:ascii="仿宋_GB2312" w:hAnsi="仿宋_GB2312" w:eastAsia="仿宋_GB2312" w:cs="仿宋_GB2312"/>
          <w:color w:val="auto"/>
          <w:kern w:val="0"/>
          <w:sz w:val="21"/>
          <w:szCs w:val="21"/>
          <w:lang w:val="en-US" w:eastAsia="zh-CN"/>
        </w:rPr>
        <w:t xml:space="preserve">  </w:t>
      </w:r>
    </w:p>
    <w:p w14:paraId="49789F99">
      <w:pPr>
        <w:widowControl/>
        <w:numPr>
          <w:ilvl w:val="0"/>
          <w:numId w:val="0"/>
        </w:numPr>
        <w:snapToGrid w:val="0"/>
        <w:spacing w:line="360" w:lineRule="auto"/>
        <w:ind w:left="420" w:leftChars="0"/>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三、</w:t>
      </w:r>
      <w:r>
        <w:rPr>
          <w:rFonts w:hint="eastAsia" w:ascii="仿宋_GB2312" w:hAnsi="仿宋_GB2312" w:eastAsia="仿宋_GB2312" w:cs="仿宋_GB2312"/>
          <w:color w:val="auto"/>
          <w:kern w:val="0"/>
          <w:sz w:val="21"/>
          <w:szCs w:val="21"/>
        </w:rPr>
        <w:t>工程地点：</w:t>
      </w:r>
      <w:r>
        <w:rPr>
          <w:rFonts w:hint="eastAsia" w:ascii="仿宋_GB2312" w:hAnsi="仿宋_GB2312" w:eastAsia="仿宋_GB2312" w:cs="仿宋_GB2312"/>
          <w:color w:val="auto"/>
          <w:kern w:val="0"/>
          <w:sz w:val="21"/>
          <w:szCs w:val="21"/>
          <w:u w:val="single"/>
          <w:lang w:val="en-US" w:eastAsia="zh-CN"/>
        </w:rPr>
        <w:t xml:space="preserve">  东莞沙田                </w:t>
      </w:r>
    </w:p>
    <w:p w14:paraId="20EF8E70">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rPr>
        <w:t>四、</w:t>
      </w:r>
      <w:r>
        <w:rPr>
          <w:rFonts w:hint="eastAsia" w:ascii="仿宋_GB2312" w:hAnsi="仿宋_GB2312" w:eastAsia="仿宋_GB2312" w:cs="仿宋_GB2312"/>
          <w:color w:val="auto"/>
          <w:kern w:val="0"/>
          <w:sz w:val="21"/>
          <w:szCs w:val="21"/>
          <w:lang w:val="en-US" w:eastAsia="zh-CN"/>
        </w:rPr>
        <w:t>采购限价：</w:t>
      </w:r>
      <w:r>
        <w:rPr>
          <w:rFonts w:hint="eastAsia" w:ascii="仿宋_GB2312" w:hAnsi="仿宋_GB2312" w:eastAsia="仿宋_GB2312" w:cs="仿宋_GB2312"/>
          <w:color w:val="auto"/>
          <w:kern w:val="0"/>
          <w:sz w:val="21"/>
          <w:szCs w:val="21"/>
        </w:rPr>
        <w:t>本项目</w:t>
      </w:r>
      <w:r>
        <w:rPr>
          <w:rFonts w:hint="eastAsia" w:ascii="仿宋_GB2312" w:hAnsi="仿宋_GB2312" w:eastAsia="仿宋_GB2312" w:cs="仿宋_GB2312"/>
          <w:color w:val="auto"/>
          <w:kern w:val="0"/>
          <w:sz w:val="21"/>
          <w:szCs w:val="21"/>
          <w:lang w:val="en-US" w:eastAsia="zh-CN"/>
        </w:rPr>
        <w:t>采购限价为</w:t>
      </w:r>
      <w:r>
        <w:rPr>
          <w:rFonts w:hint="eastAsia" w:ascii="仿宋_GB2312" w:hAnsi="仿宋_GB2312" w:eastAsia="仿宋_GB2312" w:cs="仿宋_GB2312"/>
          <w:color w:val="auto"/>
          <w:kern w:val="0"/>
          <w:sz w:val="21"/>
          <w:szCs w:val="21"/>
          <w:u w:val="single"/>
          <w:lang w:val="en-US" w:eastAsia="zh-CN"/>
        </w:rPr>
        <w:t xml:space="preserve">¥  </w:t>
      </w:r>
      <w:bookmarkStart w:id="1" w:name="OLE_LINK7"/>
      <w:r>
        <w:rPr>
          <w:rFonts w:hint="eastAsia" w:ascii="仿宋_GB2312" w:hAnsi="仿宋_GB2312" w:eastAsia="仿宋_GB2312" w:cs="仿宋_GB2312"/>
          <w:color w:val="auto"/>
          <w:kern w:val="0"/>
          <w:sz w:val="21"/>
          <w:szCs w:val="21"/>
          <w:u w:val="single"/>
          <w:lang w:val="en-US" w:eastAsia="zh-CN"/>
        </w:rPr>
        <w:t>11851449.44</w:t>
      </w:r>
      <w:bookmarkEnd w:id="1"/>
      <w:r>
        <w:rPr>
          <w:rFonts w:hint="eastAsia" w:ascii="仿宋_GB2312" w:hAnsi="仿宋_GB2312" w:eastAsia="仿宋_GB2312" w:cs="仿宋_GB2312"/>
          <w:color w:val="auto"/>
          <w:kern w:val="0"/>
          <w:sz w:val="21"/>
          <w:szCs w:val="21"/>
          <w:u w:val="single"/>
          <w:lang w:val="en-US" w:eastAsia="zh-CN"/>
        </w:rPr>
        <w:t xml:space="preserve"> </w:t>
      </w:r>
      <w:r>
        <w:rPr>
          <w:rFonts w:hint="eastAsia" w:ascii="仿宋_GB2312" w:hAnsi="仿宋_GB2312" w:eastAsia="仿宋_GB2312" w:cs="仿宋_GB2312"/>
          <w:color w:val="auto"/>
          <w:kern w:val="0"/>
          <w:sz w:val="21"/>
          <w:szCs w:val="21"/>
          <w:lang w:val="en-US" w:eastAsia="zh-CN"/>
        </w:rPr>
        <w:t>元（含税</w:t>
      </w:r>
      <w:r>
        <w:rPr>
          <w:rFonts w:hint="eastAsia" w:ascii="仿宋_GB2312" w:hAnsi="仿宋_GB2312" w:eastAsia="仿宋_GB2312" w:cs="仿宋_GB2312"/>
          <w:color w:val="auto"/>
          <w:kern w:val="0"/>
          <w:sz w:val="21"/>
          <w:szCs w:val="21"/>
          <w:u w:val="single"/>
          <w:lang w:val="en-US" w:eastAsia="zh-CN"/>
        </w:rPr>
        <w:t xml:space="preserve"> 13   </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color w:val="auto"/>
          <w:kern w:val="0"/>
          <w:sz w:val="21"/>
          <w:szCs w:val="21"/>
          <w:u w:val="single"/>
          <w:lang w:val="en-US" w:eastAsia="zh-CN"/>
        </w:rPr>
        <w:t>(大写) 壹仟壹佰捌拾伍万壹仟肆佰肆拾玖元肆角肆分  ;</w:t>
      </w:r>
      <w:r>
        <w:rPr>
          <w:rFonts w:hint="eastAsia" w:ascii="仿宋_GB2312" w:hAnsi="仿宋_GB2312" w:eastAsia="仿宋_GB2312" w:cs="仿宋_GB2312"/>
          <w:color w:val="auto"/>
          <w:kern w:val="0"/>
          <w:sz w:val="21"/>
          <w:szCs w:val="21"/>
          <w:u w:val="none"/>
          <w:lang w:val="en-US" w:eastAsia="zh-CN"/>
        </w:rPr>
        <w:t>其中不含税工程价款为:</w:t>
      </w:r>
      <w:r>
        <w:rPr>
          <w:rFonts w:hint="eastAsia" w:ascii="仿宋_GB2312" w:hAnsi="仿宋_GB2312" w:eastAsia="仿宋_GB2312" w:cs="仿宋_GB2312"/>
          <w:color w:val="auto"/>
          <w:kern w:val="0"/>
          <w:sz w:val="21"/>
          <w:szCs w:val="21"/>
          <w:u w:val="single"/>
          <w:lang w:val="en-US" w:eastAsia="zh-CN"/>
        </w:rPr>
        <w:t xml:space="preserve">(小写)¥ </w:t>
      </w:r>
      <w:bookmarkStart w:id="2" w:name="OLE_LINK8"/>
      <w:r>
        <w:rPr>
          <w:rFonts w:hint="eastAsia" w:ascii="仿宋_GB2312" w:hAnsi="仿宋_GB2312" w:eastAsia="仿宋_GB2312" w:cs="仿宋_GB2312"/>
          <w:color w:val="auto"/>
          <w:kern w:val="0"/>
          <w:sz w:val="21"/>
          <w:szCs w:val="21"/>
          <w:u w:val="single"/>
          <w:lang w:val="en-US" w:eastAsia="zh-CN"/>
        </w:rPr>
        <w:t xml:space="preserve"> 10488008.35</w:t>
      </w:r>
      <w:bookmarkEnd w:id="2"/>
      <w:r>
        <w:rPr>
          <w:rFonts w:hint="eastAsia" w:ascii="仿宋_GB2312" w:hAnsi="仿宋_GB2312" w:eastAsia="仿宋_GB2312" w:cs="仿宋_GB2312"/>
          <w:color w:val="auto"/>
          <w:kern w:val="0"/>
          <w:sz w:val="21"/>
          <w:szCs w:val="21"/>
          <w:u w:val="single"/>
          <w:lang w:val="en-US" w:eastAsia="zh-CN"/>
        </w:rPr>
        <w:t xml:space="preserve">  </w:t>
      </w:r>
      <w:r>
        <w:rPr>
          <w:rFonts w:hint="eastAsia" w:ascii="仿宋_GB2312" w:hAnsi="仿宋_GB2312" w:eastAsia="仿宋_GB2312" w:cs="仿宋_GB2312"/>
          <w:color w:val="auto"/>
          <w:kern w:val="0"/>
          <w:sz w:val="21"/>
          <w:szCs w:val="21"/>
          <w:lang w:val="en-US" w:eastAsia="zh-CN"/>
        </w:rPr>
        <w:t>元</w:t>
      </w:r>
      <w:r>
        <w:rPr>
          <w:rFonts w:hint="eastAsia" w:ascii="仿宋_GB2312" w:hAnsi="仿宋_GB2312" w:eastAsia="仿宋_GB2312" w:cs="仿宋_GB2312"/>
          <w:color w:val="auto"/>
          <w:kern w:val="0"/>
          <w:sz w:val="21"/>
          <w:szCs w:val="21"/>
          <w:u w:val="none"/>
          <w:lang w:val="en-US" w:eastAsia="zh-CN"/>
        </w:rPr>
        <w:t>，</w:t>
      </w:r>
      <w:r>
        <w:rPr>
          <w:rFonts w:hint="eastAsia" w:ascii="仿宋_GB2312" w:hAnsi="仿宋_GB2312" w:eastAsia="仿宋_GB2312" w:cs="仿宋_GB2312"/>
          <w:color w:val="auto"/>
          <w:kern w:val="0"/>
          <w:sz w:val="21"/>
          <w:szCs w:val="21"/>
          <w:u w:val="single"/>
          <w:lang w:val="en-US" w:eastAsia="zh-CN"/>
        </w:rPr>
        <w:t>(大写) 壹仟零肆拾捌万捌仟零捌元叁角伍分  ;</w:t>
      </w:r>
      <w:r>
        <w:rPr>
          <w:rFonts w:hint="eastAsia" w:ascii="仿宋_GB2312" w:hAnsi="仿宋_GB2312" w:eastAsia="仿宋_GB2312" w:cs="仿宋_GB2312"/>
          <w:color w:val="auto"/>
          <w:kern w:val="0"/>
          <w:sz w:val="21"/>
          <w:szCs w:val="21"/>
          <w:u w:val="none"/>
          <w:lang w:val="en-US" w:eastAsia="zh-CN"/>
        </w:rPr>
        <w:t>税金:(小写)</w:t>
      </w:r>
      <w:r>
        <w:rPr>
          <w:rFonts w:hint="eastAsia" w:ascii="仿宋_GB2312" w:hAnsi="仿宋_GB2312" w:eastAsia="仿宋_GB2312" w:cs="仿宋_GB2312"/>
          <w:color w:val="auto"/>
          <w:kern w:val="0"/>
          <w:sz w:val="21"/>
          <w:szCs w:val="21"/>
          <w:u w:val="single"/>
          <w:lang w:val="en-US" w:eastAsia="zh-CN"/>
        </w:rPr>
        <w:t xml:space="preserve">¥  1363441.09  </w:t>
      </w:r>
      <w:r>
        <w:rPr>
          <w:rFonts w:hint="eastAsia" w:ascii="仿宋_GB2312" w:hAnsi="仿宋_GB2312" w:eastAsia="仿宋_GB2312" w:cs="仿宋_GB2312"/>
          <w:color w:val="auto"/>
          <w:kern w:val="0"/>
          <w:sz w:val="21"/>
          <w:szCs w:val="21"/>
          <w:lang w:val="en-US" w:eastAsia="zh-CN"/>
        </w:rPr>
        <w:t>元，</w:t>
      </w:r>
      <w:r>
        <w:rPr>
          <w:rFonts w:hint="eastAsia" w:ascii="仿宋_GB2312" w:hAnsi="仿宋_GB2312" w:eastAsia="仿宋_GB2312" w:cs="仿宋_GB2312"/>
          <w:color w:val="auto"/>
          <w:kern w:val="0"/>
          <w:sz w:val="21"/>
          <w:szCs w:val="21"/>
          <w:u w:val="single"/>
          <w:lang w:val="en-US" w:eastAsia="zh-CN"/>
        </w:rPr>
        <w:t xml:space="preserve">(大写)  壹佰叁拾陆万叁仟肆佰肆拾壹元零玖分  </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kern w:val="0"/>
          <w:szCs w:val="21"/>
          <w:lang w:val="en-US" w:eastAsia="zh-CN"/>
        </w:rPr>
        <w:t>（投标人报价不得高于采购限价）</w:t>
      </w:r>
    </w:p>
    <w:p w14:paraId="6C9F7DA7">
      <w:pPr>
        <w:widowControl/>
        <w:tabs>
          <w:tab w:val="left" w:pos="361"/>
        </w:tabs>
        <w:snapToGrid w:val="0"/>
        <w:spacing w:line="360" w:lineRule="auto"/>
        <w:ind w:left="0" w:leftChars="0" w:firstLine="367" w:firstLineChars="175"/>
        <w:jc w:val="left"/>
        <w:rPr>
          <w:rFonts w:hint="eastAsia" w:ascii="仿宋_GB2312" w:hAnsi="仿宋_GB2312" w:eastAsia="仿宋_GB2312" w:cs="仿宋_GB2312"/>
          <w:color w:val="auto"/>
          <w:sz w:val="21"/>
          <w:szCs w:val="21"/>
          <w:u w:val="single"/>
          <w:lang w:val="en-US" w:eastAsia="zh-CN"/>
        </w:rPr>
      </w:pPr>
      <w:r>
        <w:rPr>
          <w:rFonts w:hint="eastAsia" w:ascii="仿宋_GB2312" w:hAnsi="仿宋_GB2312" w:eastAsia="仿宋_GB2312" w:cs="仿宋_GB2312"/>
          <w:color w:val="auto"/>
          <w:kern w:val="0"/>
          <w:sz w:val="21"/>
          <w:szCs w:val="21"/>
        </w:rPr>
        <w:t>五、工程概况：</w:t>
      </w:r>
      <w:r>
        <w:rPr>
          <w:rFonts w:hint="eastAsia" w:ascii="仿宋_GB2312" w:hAnsi="仿宋_GB2312" w:eastAsia="仿宋_GB2312" w:cs="仿宋_GB2312"/>
          <w:color w:val="auto"/>
          <w:sz w:val="21"/>
          <w:szCs w:val="21"/>
          <w:u w:val="single"/>
          <w:lang w:val="en-US" w:eastAsia="zh-CN"/>
        </w:rPr>
        <w:t xml:space="preserve">  本项目总用地面积为 92727.86 平方米，总建筑面积 146572.85 平方米，拟建设内容主要包括：1 号食堂宿舍楼、2 号宿舍楼、3 号体育馆、4 号图书馆、5 号高中教学楼、6 号初中教学楼、7 号报告厅、8~10 号门卫、11 号地下车库等单体以及辅助功能建筑等，同时建设室外绿化、道路、停车场、室外管线等室外配套工程。其中最大建筑物层数为 12 层，最大建筑高度约 49.50 米，结构最大单跨跨度约 42 米，最大单体建筑面积为 47387.09 平方米。</w:t>
      </w:r>
    </w:p>
    <w:p w14:paraId="492B303F">
      <w:pPr>
        <w:widowControl/>
        <w:tabs>
          <w:tab w:val="left" w:pos="361"/>
        </w:tabs>
        <w:snapToGrid w:val="0"/>
        <w:spacing w:line="360" w:lineRule="auto"/>
        <w:ind w:left="0" w:leftChars="0" w:firstLine="577" w:firstLineChars="275"/>
        <w:jc w:val="left"/>
        <w:rPr>
          <w:rFonts w:hint="eastAsia" w:ascii="仿宋_GB2312" w:hAnsi="仿宋_GB2312" w:eastAsia="仿宋_GB2312" w:cs="仿宋_GB2312"/>
          <w:color w:val="auto"/>
          <w:kern w:val="0"/>
          <w:sz w:val="21"/>
          <w:szCs w:val="21"/>
          <w:lang w:val="en-US"/>
        </w:rPr>
      </w:pPr>
      <w:bookmarkStart w:id="3" w:name="OLE_LINK2"/>
      <w:r>
        <w:rPr>
          <w:rFonts w:hint="eastAsia" w:ascii="仿宋_GB2312" w:hAnsi="仿宋_GB2312" w:eastAsia="仿宋_GB2312" w:cs="仿宋_GB2312"/>
          <w:color w:val="auto"/>
          <w:sz w:val="21"/>
          <w:szCs w:val="21"/>
          <w:u w:val="single"/>
          <w:lang w:val="en-US" w:eastAsia="zh-CN"/>
        </w:rPr>
        <w:t>本次采购涉及到</w:t>
      </w:r>
      <w:r>
        <w:rPr>
          <w:rFonts w:hint="eastAsia" w:ascii="仿宋" w:hAnsi="仿宋" w:eastAsia="仿宋" w:cs="宋体"/>
          <w:color w:val="000000"/>
          <w:kern w:val="0"/>
          <w:szCs w:val="21"/>
          <w:lang w:val="en-US" w:eastAsia="zh-CN" w:bidi="ar"/>
        </w:rPr>
        <w:t>各单体的楼地面、屋面、内墙以及外墙，瓷砖类型概括有防滑砖、木纹砖、哑光砖、釉面砖、通体砖等，其中地砖约115673.51㎡，墙面砖约96079.20㎡。</w:t>
      </w:r>
    </w:p>
    <w:bookmarkEnd w:id="3"/>
    <w:p w14:paraId="774218EE">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六、</w:t>
      </w:r>
      <w:r>
        <w:rPr>
          <w:rFonts w:hint="eastAsia" w:ascii="仿宋_GB2312" w:hAnsi="仿宋_GB2312" w:eastAsia="仿宋_GB2312" w:cs="仿宋_GB2312"/>
          <w:color w:val="auto"/>
          <w:kern w:val="0"/>
          <w:sz w:val="21"/>
          <w:szCs w:val="21"/>
          <w:lang w:val="en-US" w:eastAsia="zh-CN"/>
        </w:rPr>
        <w:t>采购</w:t>
      </w:r>
      <w:r>
        <w:rPr>
          <w:rFonts w:hint="eastAsia" w:ascii="仿宋_GB2312" w:hAnsi="仿宋_GB2312" w:eastAsia="仿宋_GB2312" w:cs="仿宋_GB2312"/>
          <w:color w:val="auto"/>
          <w:kern w:val="0"/>
          <w:sz w:val="21"/>
          <w:szCs w:val="21"/>
        </w:rPr>
        <w:t>范围：</w:t>
      </w:r>
      <w:bookmarkStart w:id="4" w:name="OLE_LINK16"/>
      <w:r>
        <w:rPr>
          <w:rFonts w:hint="eastAsia" w:ascii="仿宋" w:hAnsi="仿宋" w:eastAsia="仿宋" w:cs="宋体"/>
          <w:color w:val="000000"/>
          <w:kern w:val="0"/>
          <w:szCs w:val="21"/>
          <w:lang w:bidi="ar"/>
        </w:rPr>
        <w:t>沙田中学（暂定名）1</w:t>
      </w:r>
      <w:r>
        <w:rPr>
          <w:rFonts w:ascii="仿宋" w:hAnsi="仿宋" w:eastAsia="仿宋" w:cs="宋体"/>
          <w:color w:val="000000"/>
          <w:kern w:val="0"/>
          <w:szCs w:val="21"/>
          <w:lang w:bidi="ar"/>
        </w:rPr>
        <w:t>#~11#</w:t>
      </w:r>
      <w:r>
        <w:rPr>
          <w:rFonts w:hint="eastAsia" w:ascii="仿宋" w:hAnsi="仿宋" w:eastAsia="仿宋" w:cs="宋体"/>
          <w:color w:val="000000"/>
          <w:kern w:val="0"/>
          <w:szCs w:val="21"/>
          <w:lang w:bidi="ar"/>
        </w:rPr>
        <w:t>楼室内外（不含总坪景观）墙地砖</w:t>
      </w:r>
      <w:r>
        <w:rPr>
          <w:rFonts w:hint="eastAsia" w:ascii="仿宋" w:hAnsi="仿宋" w:eastAsia="仿宋" w:cs="宋体"/>
          <w:color w:val="000000"/>
          <w:kern w:val="0"/>
          <w:szCs w:val="21"/>
          <w:lang w:eastAsia="zh-CN" w:bidi="ar"/>
        </w:rPr>
        <w:t>，</w:t>
      </w:r>
      <w:bookmarkStart w:id="5" w:name="OLE_LINK11"/>
      <w:bookmarkStart w:id="6" w:name="OLE_LINK12"/>
      <w:r>
        <w:rPr>
          <w:rFonts w:hint="eastAsia" w:ascii="仿宋" w:hAnsi="仿宋" w:eastAsia="仿宋" w:cs="宋体"/>
          <w:color w:val="000000"/>
          <w:kern w:val="0"/>
          <w:szCs w:val="21"/>
          <w:lang w:val="en-US" w:eastAsia="zh-CN" w:bidi="ar"/>
        </w:rPr>
        <w:t>各单体的楼地面、屋面、内墙以及外墙，瓷砖类型概括有防滑砖、木纹砖、哑光砖、釉面砖、通体砖等，其中地砖约115673.51㎡，墙面砖约96079.20㎡。</w:t>
      </w:r>
      <w:bookmarkEnd w:id="5"/>
      <w:r>
        <w:rPr>
          <w:rFonts w:hint="eastAsia" w:ascii="仿宋" w:hAnsi="仿宋" w:eastAsia="仿宋" w:cs="宋体"/>
          <w:color w:val="000000"/>
          <w:kern w:val="0"/>
          <w:szCs w:val="21"/>
          <w:lang w:val="en-US" w:eastAsia="zh-CN" w:bidi="ar"/>
        </w:rPr>
        <w:t>，</w:t>
      </w:r>
      <w:bookmarkEnd w:id="6"/>
      <w:r>
        <w:rPr>
          <w:rFonts w:hint="eastAsia" w:ascii="仿宋" w:hAnsi="仿宋" w:eastAsia="仿宋" w:cs="宋体"/>
          <w:color w:val="000000"/>
          <w:kern w:val="0"/>
          <w:szCs w:val="21"/>
          <w:lang w:val="en-US" w:eastAsia="zh-CN" w:bidi="ar"/>
        </w:rPr>
        <w:t>详见需求书及采购清单。</w:t>
      </w:r>
      <w:bookmarkEnd w:id="4"/>
    </w:p>
    <w:p w14:paraId="2158E304">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七、服务</w:t>
      </w:r>
      <w:r>
        <w:rPr>
          <w:rFonts w:hint="eastAsia" w:ascii="仿宋_GB2312" w:hAnsi="仿宋_GB2312" w:eastAsia="仿宋_GB2312" w:cs="仿宋_GB2312"/>
          <w:color w:val="auto"/>
          <w:kern w:val="0"/>
          <w:sz w:val="21"/>
          <w:szCs w:val="21"/>
        </w:rPr>
        <w:t>期：</w:t>
      </w:r>
      <w:r>
        <w:rPr>
          <w:rFonts w:hint="eastAsia" w:ascii="仿宋_GB2312" w:hAnsi="仿宋_GB2312" w:eastAsia="仿宋_GB2312" w:cs="仿宋_GB2312"/>
          <w:color w:val="auto"/>
          <w:kern w:val="0"/>
          <w:sz w:val="21"/>
          <w:szCs w:val="21"/>
          <w:highlight w:val="none"/>
        </w:rPr>
        <w:t>计划开</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竣工日期：</w:t>
      </w:r>
      <w:bookmarkStart w:id="7" w:name="OLE_LINK15"/>
      <w:r>
        <w:rPr>
          <w:rFonts w:hint="eastAsia" w:ascii="仿宋_GB2312" w:hAnsi="仿宋_GB2312" w:eastAsia="仿宋_GB2312" w:cs="仿宋_GB2312"/>
          <w:color w:val="auto"/>
          <w:kern w:val="0"/>
          <w:sz w:val="21"/>
          <w:szCs w:val="21"/>
          <w:highlight w:val="none"/>
        </w:rPr>
        <w:t>所有产品供货期自</w:t>
      </w:r>
      <w:r>
        <w:rPr>
          <w:rFonts w:hint="eastAsia" w:ascii="仿宋_GB2312" w:hAnsi="仿宋_GB2312" w:eastAsia="仿宋_GB2312" w:cs="仿宋_GB2312"/>
          <w:color w:val="auto"/>
          <w:kern w:val="0"/>
          <w:sz w:val="21"/>
          <w:szCs w:val="21"/>
          <w:highlight w:val="none"/>
          <w:u w:val="single"/>
          <w:lang w:val="en-US" w:eastAsia="zh-CN"/>
        </w:rPr>
        <w:t xml:space="preserve"> 2025</w:t>
      </w:r>
      <w:r>
        <w:rPr>
          <w:rFonts w:hint="eastAsia" w:ascii="仿宋_GB2312" w:hAnsi="仿宋_GB2312" w:eastAsia="仿宋_GB2312" w:cs="仿宋_GB2312"/>
          <w:color w:val="auto"/>
          <w:kern w:val="0"/>
          <w:sz w:val="21"/>
          <w:szCs w:val="21"/>
          <w:highlight w:val="none"/>
          <w:u w:val="single"/>
        </w:rPr>
        <w:t>年</w:t>
      </w:r>
      <w:r>
        <w:rPr>
          <w:rFonts w:hint="eastAsia" w:ascii="仿宋_GB2312" w:hAnsi="仿宋_GB2312" w:eastAsia="仿宋_GB2312" w:cs="仿宋_GB2312"/>
          <w:color w:val="auto"/>
          <w:kern w:val="0"/>
          <w:sz w:val="21"/>
          <w:szCs w:val="21"/>
          <w:highlight w:val="none"/>
          <w:u w:val="single"/>
          <w:lang w:val="en-US" w:eastAsia="zh-CN"/>
        </w:rPr>
        <w:t xml:space="preserve"> 6 </w:t>
      </w:r>
      <w:r>
        <w:rPr>
          <w:rFonts w:hint="eastAsia" w:ascii="仿宋_GB2312" w:hAnsi="仿宋_GB2312" w:eastAsia="仿宋_GB2312" w:cs="仿宋_GB2312"/>
          <w:color w:val="auto"/>
          <w:kern w:val="0"/>
          <w:sz w:val="21"/>
          <w:szCs w:val="21"/>
          <w:highlight w:val="none"/>
          <w:u w:val="single"/>
        </w:rPr>
        <w:t>月 至</w:t>
      </w:r>
      <w:r>
        <w:rPr>
          <w:rFonts w:hint="eastAsia" w:ascii="仿宋_GB2312" w:hAnsi="仿宋_GB2312" w:eastAsia="仿宋_GB2312" w:cs="仿宋_GB2312"/>
          <w:color w:val="auto"/>
          <w:kern w:val="0"/>
          <w:sz w:val="21"/>
          <w:szCs w:val="21"/>
          <w:highlight w:val="none"/>
          <w:u w:val="single"/>
          <w:lang w:val="en-US" w:eastAsia="zh-CN"/>
        </w:rPr>
        <w:t xml:space="preserve"> 2026</w:t>
      </w:r>
      <w:r>
        <w:rPr>
          <w:rFonts w:hint="eastAsia" w:ascii="仿宋_GB2312" w:hAnsi="仿宋_GB2312" w:eastAsia="仿宋_GB2312" w:cs="仿宋_GB2312"/>
          <w:color w:val="auto"/>
          <w:kern w:val="0"/>
          <w:sz w:val="21"/>
          <w:szCs w:val="21"/>
          <w:highlight w:val="none"/>
          <w:u w:val="single"/>
        </w:rPr>
        <w:t>年</w:t>
      </w:r>
      <w:r>
        <w:rPr>
          <w:rFonts w:hint="eastAsia" w:ascii="仿宋_GB2312" w:hAnsi="仿宋_GB2312" w:eastAsia="仿宋_GB2312" w:cs="仿宋_GB2312"/>
          <w:color w:val="auto"/>
          <w:kern w:val="0"/>
          <w:sz w:val="21"/>
          <w:szCs w:val="21"/>
          <w:highlight w:val="none"/>
          <w:u w:val="single"/>
          <w:lang w:val="en-US" w:eastAsia="zh-CN"/>
        </w:rPr>
        <w:t>2</w:t>
      </w:r>
      <w:r>
        <w:rPr>
          <w:rFonts w:hint="eastAsia" w:ascii="仿宋_GB2312" w:hAnsi="仿宋_GB2312" w:eastAsia="仿宋_GB2312" w:cs="仿宋_GB2312"/>
          <w:color w:val="auto"/>
          <w:kern w:val="0"/>
          <w:sz w:val="21"/>
          <w:szCs w:val="21"/>
          <w:highlight w:val="none"/>
          <w:u w:val="single"/>
        </w:rPr>
        <w:t xml:space="preserve">月 </w:t>
      </w:r>
      <w:r>
        <w:rPr>
          <w:rFonts w:hint="eastAsia" w:ascii="仿宋_GB2312" w:hAnsi="仿宋_GB2312" w:eastAsia="仿宋_GB2312" w:cs="仿宋_GB2312"/>
          <w:color w:val="auto"/>
          <w:kern w:val="0"/>
          <w:sz w:val="21"/>
          <w:szCs w:val="21"/>
          <w:highlight w:val="none"/>
        </w:rPr>
        <w:t>，</w:t>
      </w:r>
      <w:r>
        <w:rPr>
          <w:rFonts w:hint="eastAsia" w:ascii="仿宋_GB2312" w:hAnsi="仿宋_GB2312" w:eastAsia="仿宋_GB2312" w:cs="仿宋_GB2312"/>
          <w:color w:val="auto"/>
          <w:kern w:val="0"/>
          <w:sz w:val="21"/>
          <w:szCs w:val="21"/>
          <w:lang w:val="en-US" w:eastAsia="zh-CN"/>
        </w:rPr>
        <w:t>具体送货、备货时间以项目部正式通知为准，乙方承诺无条件配合甲方项目部根据施工进度安排对产品供货期的调整</w:t>
      </w:r>
      <w:r>
        <w:rPr>
          <w:rFonts w:hint="eastAsia" w:ascii="仿宋_GB2312" w:hAnsi="仿宋_GB2312" w:eastAsia="仿宋_GB2312" w:cs="仿宋_GB2312"/>
          <w:color w:val="auto"/>
          <w:kern w:val="0"/>
          <w:sz w:val="21"/>
          <w:szCs w:val="21"/>
        </w:rPr>
        <w:t>。</w:t>
      </w:r>
      <w:r>
        <w:rPr>
          <w:rFonts w:hint="eastAsia" w:ascii="仿宋_GB2312" w:hAnsi="仿宋_GB2312" w:eastAsia="仿宋_GB2312" w:cs="仿宋_GB2312"/>
          <w:color w:val="auto"/>
          <w:kern w:val="0"/>
          <w:sz w:val="21"/>
          <w:szCs w:val="21"/>
          <w:highlight w:val="none"/>
        </w:rPr>
        <w:t>项目部根据施工进度</w:t>
      </w:r>
      <w:r>
        <w:rPr>
          <w:rFonts w:hint="eastAsia" w:ascii="仿宋_GB2312" w:hAnsi="仿宋_GB2312" w:eastAsia="仿宋_GB2312" w:cs="仿宋_GB2312"/>
          <w:color w:val="auto"/>
          <w:kern w:val="0"/>
          <w:sz w:val="21"/>
          <w:szCs w:val="21"/>
          <w:highlight w:val="none"/>
          <w:lang w:val="en-US" w:eastAsia="zh-CN"/>
        </w:rPr>
        <w:t>的实际情况</w:t>
      </w:r>
      <w:r>
        <w:rPr>
          <w:rFonts w:hint="eastAsia" w:ascii="仿宋_GB2312" w:hAnsi="仿宋_GB2312" w:eastAsia="仿宋_GB2312" w:cs="仿宋_GB2312"/>
          <w:color w:val="auto"/>
          <w:kern w:val="0"/>
          <w:sz w:val="21"/>
          <w:szCs w:val="21"/>
          <w:highlight w:val="none"/>
        </w:rPr>
        <w:t>，提前1个月下单采购，分批分类型送货</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lang w:val="en-US" w:eastAsia="zh-CN"/>
        </w:rPr>
        <w:t>其中：</w:t>
      </w:r>
      <w:r>
        <w:rPr>
          <w:rFonts w:hint="eastAsia" w:ascii="仿宋_GB2312" w:hAnsi="仿宋_GB2312" w:eastAsia="仿宋_GB2312" w:cs="仿宋_GB2312"/>
          <w:color w:val="auto"/>
          <w:kern w:val="0"/>
          <w:sz w:val="21"/>
          <w:szCs w:val="21"/>
          <w:highlight w:val="none"/>
        </w:rPr>
        <w:t>异地样板间</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lang w:val="en-US" w:eastAsia="zh-CN"/>
        </w:rPr>
        <w:t>小批量）预计在</w:t>
      </w:r>
      <w:r>
        <w:rPr>
          <w:rFonts w:hint="eastAsia" w:ascii="仿宋_GB2312" w:hAnsi="仿宋_GB2312" w:eastAsia="仿宋_GB2312" w:cs="仿宋_GB2312"/>
          <w:color w:val="auto"/>
          <w:kern w:val="0"/>
          <w:sz w:val="21"/>
          <w:szCs w:val="21"/>
          <w:highlight w:val="none"/>
        </w:rPr>
        <w:t>2025年6月，</w:t>
      </w:r>
      <w:r>
        <w:rPr>
          <w:rFonts w:hint="eastAsia" w:ascii="仿宋_GB2312" w:hAnsi="仿宋_GB2312" w:eastAsia="仿宋_GB2312" w:cs="仿宋_GB2312"/>
          <w:color w:val="auto"/>
          <w:kern w:val="0"/>
          <w:sz w:val="21"/>
          <w:szCs w:val="21"/>
          <w:highlight w:val="none"/>
          <w:lang w:val="en-US" w:eastAsia="zh-CN"/>
        </w:rPr>
        <w:t>大批量预计在</w:t>
      </w:r>
      <w:r>
        <w:rPr>
          <w:rFonts w:hint="eastAsia" w:ascii="仿宋_GB2312" w:hAnsi="仿宋_GB2312" w:eastAsia="仿宋_GB2312" w:cs="仿宋_GB2312"/>
          <w:color w:val="auto"/>
          <w:kern w:val="0"/>
          <w:sz w:val="21"/>
          <w:szCs w:val="21"/>
          <w:highlight w:val="none"/>
        </w:rPr>
        <w:t>2025年8月至2026年2月</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lang w:val="en-US" w:eastAsia="zh-CN"/>
        </w:rPr>
        <w:t>每批次的生产供货周期须在</w:t>
      </w:r>
      <w:r>
        <w:rPr>
          <w:rFonts w:hint="eastAsia" w:ascii="仿宋_GB2312" w:hAnsi="仿宋_GB2312" w:eastAsia="仿宋_GB2312" w:cs="仿宋_GB2312"/>
          <w:color w:val="auto"/>
          <w:kern w:val="0"/>
          <w:sz w:val="21"/>
          <w:szCs w:val="21"/>
          <w:highlight w:val="none"/>
          <w:u w:val="single"/>
          <w:lang w:val="en-US" w:eastAsia="zh-CN"/>
        </w:rPr>
        <w:t xml:space="preserve">  30 </w:t>
      </w:r>
      <w:r>
        <w:rPr>
          <w:rFonts w:hint="eastAsia" w:ascii="仿宋_GB2312" w:hAnsi="仿宋_GB2312" w:eastAsia="仿宋_GB2312" w:cs="仿宋_GB2312"/>
          <w:color w:val="auto"/>
          <w:kern w:val="0"/>
          <w:sz w:val="21"/>
          <w:szCs w:val="21"/>
          <w:highlight w:val="none"/>
          <w:u w:val="single"/>
        </w:rPr>
        <w:t xml:space="preserve"> </w:t>
      </w:r>
      <w:r>
        <w:rPr>
          <w:rFonts w:hint="eastAsia" w:ascii="仿宋_GB2312" w:hAnsi="仿宋_GB2312" w:eastAsia="仿宋_GB2312" w:cs="仿宋_GB2312"/>
          <w:color w:val="auto"/>
          <w:kern w:val="0"/>
          <w:sz w:val="21"/>
          <w:szCs w:val="21"/>
          <w:highlight w:val="none"/>
        </w:rPr>
        <w:t>个日历天</w:t>
      </w:r>
      <w:r>
        <w:rPr>
          <w:rFonts w:hint="eastAsia" w:ascii="仿宋_GB2312" w:hAnsi="仿宋_GB2312" w:eastAsia="仿宋_GB2312" w:cs="仿宋_GB2312"/>
          <w:color w:val="auto"/>
          <w:kern w:val="0"/>
          <w:sz w:val="21"/>
          <w:szCs w:val="21"/>
          <w:highlight w:val="none"/>
          <w:lang w:val="en-US" w:eastAsia="zh-CN"/>
        </w:rPr>
        <w:t>内。</w:t>
      </w:r>
      <w:bookmarkEnd w:id="7"/>
    </w:p>
    <w:p w14:paraId="38E50696">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lang w:val="en-US" w:eastAsia="zh-CN"/>
        </w:rPr>
        <w:t>八</w:t>
      </w:r>
      <w:r>
        <w:rPr>
          <w:rFonts w:hint="eastAsia" w:ascii="仿宋_GB2312" w:hAnsi="仿宋_GB2312" w:eastAsia="仿宋_GB2312" w:cs="仿宋_GB2312"/>
          <w:color w:val="auto"/>
          <w:kern w:val="0"/>
          <w:sz w:val="21"/>
          <w:szCs w:val="21"/>
        </w:rPr>
        <w:t>、投标文件的递交时间及开标地点：以密封形式于</w:t>
      </w:r>
      <w:r>
        <w:rPr>
          <w:rFonts w:hint="eastAsia" w:ascii="仿宋_GB2312" w:hAnsi="仿宋_GB2312" w:eastAsia="仿宋_GB2312" w:cs="仿宋_GB2312"/>
          <w:color w:val="auto"/>
          <w:kern w:val="0"/>
          <w:sz w:val="21"/>
          <w:szCs w:val="21"/>
          <w:u w:val="single"/>
          <w:lang w:val="en-US" w:eastAsia="zh-CN"/>
        </w:rPr>
        <w:t xml:space="preserve">    2025  </w:t>
      </w:r>
      <w:r>
        <w:rPr>
          <w:rFonts w:hint="eastAsia" w:ascii="仿宋_GB2312" w:hAnsi="仿宋_GB2312" w:eastAsia="仿宋_GB2312" w:cs="仿宋_GB2312"/>
          <w:color w:val="auto"/>
          <w:kern w:val="0"/>
          <w:sz w:val="21"/>
          <w:szCs w:val="21"/>
          <w:u w:val="single"/>
        </w:rPr>
        <w:t>年</w:t>
      </w:r>
      <w:r>
        <w:rPr>
          <w:rFonts w:hint="eastAsia" w:ascii="仿宋_GB2312" w:hAnsi="仿宋_GB2312" w:eastAsia="仿宋_GB2312" w:cs="仿宋_GB2312"/>
          <w:color w:val="auto"/>
          <w:kern w:val="0"/>
          <w:sz w:val="21"/>
          <w:szCs w:val="21"/>
          <w:u w:val="single"/>
          <w:lang w:val="en-US" w:eastAsia="zh-CN"/>
        </w:rPr>
        <w:t xml:space="preserve"> 06  </w:t>
      </w:r>
      <w:r>
        <w:rPr>
          <w:rFonts w:hint="eastAsia" w:ascii="仿宋_GB2312" w:hAnsi="仿宋_GB2312" w:eastAsia="仿宋_GB2312" w:cs="仿宋_GB2312"/>
          <w:color w:val="auto"/>
          <w:kern w:val="0"/>
          <w:sz w:val="21"/>
          <w:szCs w:val="21"/>
          <w:u w:val="single"/>
        </w:rPr>
        <w:t>月</w:t>
      </w:r>
      <w:r>
        <w:rPr>
          <w:rFonts w:hint="eastAsia" w:ascii="仿宋_GB2312" w:hAnsi="仿宋_GB2312" w:eastAsia="仿宋_GB2312" w:cs="仿宋_GB2312"/>
          <w:color w:val="auto"/>
          <w:kern w:val="0"/>
          <w:sz w:val="21"/>
          <w:szCs w:val="21"/>
          <w:u w:val="single"/>
          <w:lang w:val="en-US" w:eastAsia="zh-CN"/>
        </w:rPr>
        <w:t xml:space="preserve">  16   </w:t>
      </w:r>
      <w:r>
        <w:rPr>
          <w:rFonts w:hint="eastAsia" w:ascii="仿宋_GB2312" w:hAnsi="仿宋_GB2312" w:eastAsia="仿宋_GB2312" w:cs="仿宋_GB2312"/>
          <w:color w:val="auto"/>
          <w:kern w:val="0"/>
          <w:sz w:val="21"/>
          <w:szCs w:val="21"/>
          <w:u w:val="single"/>
        </w:rPr>
        <w:t>日</w:t>
      </w:r>
      <w:r>
        <w:rPr>
          <w:rFonts w:hint="eastAsia" w:ascii="仿宋_GB2312" w:hAnsi="仿宋_GB2312" w:eastAsia="仿宋_GB2312" w:cs="仿宋_GB2312"/>
          <w:color w:val="auto"/>
          <w:kern w:val="0"/>
          <w:sz w:val="21"/>
          <w:szCs w:val="21"/>
          <w:u w:val="single"/>
          <w:lang w:val="en-US" w:eastAsia="zh-CN"/>
        </w:rPr>
        <w:t xml:space="preserve">  15  </w:t>
      </w:r>
      <w:r>
        <w:rPr>
          <w:rFonts w:hint="eastAsia" w:ascii="仿宋_GB2312" w:hAnsi="仿宋_GB2312" w:eastAsia="仿宋_GB2312" w:cs="仿宋_GB2312"/>
          <w:color w:val="auto"/>
          <w:kern w:val="0"/>
          <w:sz w:val="21"/>
          <w:szCs w:val="21"/>
          <w:u w:val="single"/>
        </w:rPr>
        <w:t>时</w:t>
      </w:r>
      <w:r>
        <w:rPr>
          <w:rFonts w:hint="eastAsia" w:ascii="仿宋_GB2312" w:hAnsi="仿宋_GB2312" w:eastAsia="仿宋_GB2312" w:cs="仿宋_GB2312"/>
          <w:color w:val="auto"/>
          <w:kern w:val="0"/>
          <w:sz w:val="21"/>
          <w:szCs w:val="21"/>
          <w:u w:val="single"/>
          <w:lang w:val="en-US" w:eastAsia="zh-CN"/>
        </w:rPr>
        <w:t xml:space="preserve">   00</w:t>
      </w:r>
      <w:r>
        <w:rPr>
          <w:rFonts w:hint="eastAsia" w:ascii="仿宋_GB2312" w:hAnsi="仿宋_GB2312" w:eastAsia="仿宋_GB2312" w:cs="仿宋_GB2312"/>
          <w:color w:val="auto"/>
          <w:kern w:val="0"/>
          <w:sz w:val="21"/>
          <w:szCs w:val="21"/>
          <w:u w:val="single"/>
        </w:rPr>
        <w:t>分</w:t>
      </w:r>
      <w:r>
        <w:rPr>
          <w:rFonts w:hint="eastAsia" w:ascii="仿宋_GB2312" w:hAnsi="仿宋_GB2312" w:eastAsia="仿宋_GB2312" w:cs="仿宋_GB2312"/>
          <w:color w:val="auto"/>
          <w:kern w:val="0"/>
          <w:sz w:val="21"/>
          <w:szCs w:val="21"/>
        </w:rPr>
        <w:t>前递交，截止时间为</w:t>
      </w:r>
      <w:r>
        <w:rPr>
          <w:rFonts w:hint="eastAsia" w:ascii="仿宋_GB2312" w:hAnsi="仿宋_GB2312" w:eastAsia="仿宋_GB2312" w:cs="仿宋_GB2312"/>
          <w:color w:val="auto"/>
          <w:kern w:val="0"/>
          <w:sz w:val="21"/>
          <w:szCs w:val="21"/>
          <w:u w:val="single"/>
          <w:lang w:val="en-US" w:eastAsia="zh-CN"/>
        </w:rPr>
        <w:t xml:space="preserve">   2025  </w:t>
      </w:r>
      <w:r>
        <w:rPr>
          <w:rFonts w:hint="eastAsia" w:ascii="仿宋_GB2312" w:hAnsi="仿宋_GB2312" w:eastAsia="仿宋_GB2312" w:cs="仿宋_GB2312"/>
          <w:color w:val="auto"/>
          <w:kern w:val="0"/>
          <w:sz w:val="21"/>
          <w:szCs w:val="21"/>
        </w:rPr>
        <w:t>年</w:t>
      </w:r>
      <w:r>
        <w:rPr>
          <w:rFonts w:hint="eastAsia" w:ascii="仿宋_GB2312" w:hAnsi="仿宋_GB2312" w:eastAsia="仿宋_GB2312" w:cs="仿宋_GB2312"/>
          <w:color w:val="auto"/>
          <w:kern w:val="0"/>
          <w:sz w:val="21"/>
          <w:szCs w:val="21"/>
          <w:u w:val="single"/>
          <w:lang w:val="en-US" w:eastAsia="zh-CN"/>
        </w:rPr>
        <w:t xml:space="preserve"> 06 </w:t>
      </w:r>
      <w:r>
        <w:rPr>
          <w:rFonts w:hint="eastAsia" w:ascii="仿宋_GB2312" w:hAnsi="仿宋_GB2312" w:eastAsia="仿宋_GB2312" w:cs="仿宋_GB2312"/>
          <w:color w:val="auto"/>
          <w:kern w:val="0"/>
          <w:sz w:val="21"/>
          <w:szCs w:val="21"/>
        </w:rPr>
        <w:t>月</w:t>
      </w:r>
      <w:r>
        <w:rPr>
          <w:rFonts w:hint="eastAsia" w:ascii="仿宋_GB2312" w:hAnsi="仿宋_GB2312" w:eastAsia="仿宋_GB2312" w:cs="仿宋_GB2312"/>
          <w:color w:val="auto"/>
          <w:kern w:val="0"/>
          <w:sz w:val="21"/>
          <w:szCs w:val="21"/>
          <w:u w:val="single"/>
          <w:lang w:val="en-US" w:eastAsia="zh-CN"/>
        </w:rPr>
        <w:t xml:space="preserve"> 16 </w:t>
      </w:r>
      <w:r>
        <w:rPr>
          <w:rFonts w:hint="eastAsia" w:ascii="仿宋_GB2312" w:hAnsi="仿宋_GB2312" w:eastAsia="仿宋_GB2312" w:cs="仿宋_GB2312"/>
          <w:color w:val="auto"/>
          <w:kern w:val="0"/>
          <w:sz w:val="21"/>
          <w:szCs w:val="21"/>
        </w:rPr>
        <w:t>日</w:t>
      </w:r>
      <w:r>
        <w:rPr>
          <w:rFonts w:hint="eastAsia" w:ascii="仿宋_GB2312" w:hAnsi="仿宋_GB2312" w:eastAsia="仿宋_GB2312" w:cs="仿宋_GB2312"/>
          <w:color w:val="auto"/>
          <w:kern w:val="0"/>
          <w:sz w:val="21"/>
          <w:szCs w:val="21"/>
          <w:u w:val="single"/>
          <w:lang w:val="en-US" w:eastAsia="zh-CN"/>
        </w:rPr>
        <w:t xml:space="preserve"> 15  </w:t>
      </w:r>
      <w:r>
        <w:rPr>
          <w:rFonts w:hint="eastAsia" w:ascii="仿宋_GB2312" w:hAnsi="仿宋_GB2312" w:eastAsia="仿宋_GB2312" w:cs="仿宋_GB2312"/>
          <w:color w:val="auto"/>
          <w:kern w:val="0"/>
          <w:sz w:val="21"/>
          <w:szCs w:val="21"/>
        </w:rPr>
        <w:t>时</w:t>
      </w:r>
      <w:r>
        <w:rPr>
          <w:rFonts w:hint="eastAsia" w:ascii="仿宋_GB2312" w:hAnsi="仿宋_GB2312" w:eastAsia="仿宋_GB2312" w:cs="仿宋_GB2312"/>
          <w:color w:val="auto"/>
          <w:kern w:val="0"/>
          <w:sz w:val="21"/>
          <w:szCs w:val="21"/>
          <w:u w:val="single"/>
          <w:lang w:val="en-US" w:eastAsia="zh-CN"/>
        </w:rPr>
        <w:t xml:space="preserve"> 00  </w:t>
      </w:r>
      <w:r>
        <w:rPr>
          <w:rFonts w:hint="eastAsia" w:ascii="仿宋_GB2312" w:hAnsi="仿宋_GB2312" w:eastAsia="仿宋_GB2312" w:cs="仿宋_GB2312"/>
          <w:color w:val="auto"/>
          <w:kern w:val="0"/>
          <w:sz w:val="21"/>
          <w:szCs w:val="21"/>
        </w:rPr>
        <w:t>分，所有报价文件必须在规定的递交截止时间前按规定送达采购方，逾期恕不接受。</w:t>
      </w:r>
    </w:p>
    <w:p w14:paraId="5F56D6FE">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开标地址：东莞市南城</w:t>
      </w:r>
      <w:r>
        <w:rPr>
          <w:rFonts w:hint="eastAsia" w:ascii="仿宋_GB2312" w:hAnsi="仿宋_GB2312" w:eastAsia="仿宋_GB2312" w:cs="仿宋_GB2312"/>
          <w:color w:val="auto"/>
          <w:kern w:val="0"/>
          <w:sz w:val="21"/>
          <w:szCs w:val="21"/>
          <w:lang w:val="en-US" w:eastAsia="zh-CN"/>
        </w:rPr>
        <w:t>街道城市风景街8</w:t>
      </w:r>
      <w:r>
        <w:rPr>
          <w:rFonts w:hint="eastAsia" w:ascii="仿宋_GB2312" w:hAnsi="仿宋_GB2312" w:eastAsia="仿宋_GB2312" w:cs="仿宋_GB2312"/>
          <w:color w:val="auto"/>
          <w:kern w:val="0"/>
          <w:sz w:val="21"/>
          <w:szCs w:val="21"/>
        </w:rPr>
        <w:t>栋</w:t>
      </w:r>
      <w:r>
        <w:rPr>
          <w:rFonts w:hint="eastAsia" w:ascii="仿宋_GB2312" w:hAnsi="仿宋_GB2312" w:eastAsia="仿宋_GB2312" w:cs="仿宋_GB2312"/>
          <w:color w:val="auto"/>
          <w:kern w:val="0"/>
          <w:sz w:val="21"/>
          <w:szCs w:val="21"/>
          <w:lang w:val="en-US" w:eastAsia="zh-CN"/>
        </w:rPr>
        <w:t>3</w:t>
      </w:r>
      <w:r>
        <w:rPr>
          <w:rFonts w:hint="eastAsia" w:ascii="仿宋_GB2312" w:hAnsi="仿宋_GB2312" w:eastAsia="仿宋_GB2312" w:cs="仿宋_GB2312"/>
          <w:color w:val="auto"/>
          <w:kern w:val="0"/>
          <w:sz w:val="21"/>
          <w:szCs w:val="21"/>
        </w:rPr>
        <w:t>层</w:t>
      </w:r>
      <w:r>
        <w:rPr>
          <w:rFonts w:hint="eastAsia" w:ascii="仿宋_GB2312" w:hAnsi="仿宋_GB2312" w:eastAsia="仿宋_GB2312" w:cs="仿宋_GB2312"/>
          <w:color w:val="auto"/>
          <w:kern w:val="0"/>
          <w:sz w:val="21"/>
          <w:szCs w:val="21"/>
          <w:lang w:eastAsia="zh-CN"/>
        </w:rPr>
        <w:t>城工集团</w:t>
      </w:r>
      <w:r>
        <w:rPr>
          <w:rFonts w:hint="eastAsia" w:ascii="仿宋_GB2312" w:hAnsi="仿宋_GB2312" w:eastAsia="仿宋_GB2312" w:cs="仿宋_GB2312"/>
          <w:color w:val="auto"/>
          <w:kern w:val="0"/>
          <w:sz w:val="21"/>
          <w:szCs w:val="21"/>
        </w:rPr>
        <w:t>开标室。</w:t>
      </w:r>
    </w:p>
    <w:p w14:paraId="1F464BC0">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lang w:val="en-US" w:eastAsia="zh-CN"/>
        </w:rPr>
        <w:t>九</w:t>
      </w:r>
      <w:r>
        <w:rPr>
          <w:rFonts w:hint="eastAsia" w:ascii="仿宋_GB2312" w:hAnsi="仿宋_GB2312" w:eastAsia="仿宋_GB2312" w:cs="仿宋_GB2312"/>
          <w:color w:val="auto"/>
          <w:kern w:val="0"/>
          <w:sz w:val="21"/>
          <w:szCs w:val="21"/>
        </w:rPr>
        <w:t>、注意事项：</w:t>
      </w:r>
    </w:p>
    <w:p w14:paraId="05E28440">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1、投标人必须全面响应采购文件要求，投标人任何附加条件采购人一律不接受或视为废标。</w:t>
      </w:r>
    </w:p>
    <w:p w14:paraId="0D4EBE08">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2、中标人严禁有挂靠或者违法转包行为。</w:t>
      </w:r>
    </w:p>
    <w:p w14:paraId="2E26545B">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3、投标文件严禁出现不平衡报价。</w:t>
      </w:r>
    </w:p>
    <w:p w14:paraId="7C21DFEF">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lang w:val="en-US" w:eastAsia="zh-CN"/>
        </w:rPr>
        <w:t>4</w:t>
      </w:r>
      <w:r>
        <w:rPr>
          <w:rFonts w:hint="eastAsia" w:ascii="仿宋_GB2312" w:hAnsi="仿宋_GB2312" w:eastAsia="仿宋_GB2312" w:cs="仿宋_GB2312"/>
          <w:color w:val="auto"/>
          <w:kern w:val="0"/>
          <w:sz w:val="21"/>
          <w:szCs w:val="21"/>
        </w:rPr>
        <w:t>、质量要求：现行的施工规范要求。</w:t>
      </w:r>
    </w:p>
    <w:p w14:paraId="4CB2DDE9">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十、</w:t>
      </w:r>
      <w:r>
        <w:rPr>
          <w:rFonts w:hint="eastAsia" w:ascii="仿宋_GB2312" w:hAnsi="仿宋_GB2312" w:eastAsia="仿宋_GB2312" w:cs="仿宋_GB2312"/>
          <w:color w:val="auto"/>
          <w:kern w:val="0"/>
          <w:sz w:val="21"/>
          <w:szCs w:val="21"/>
          <w:lang w:val="en-US" w:eastAsia="zh-CN"/>
        </w:rPr>
        <w:t>采购</w:t>
      </w:r>
      <w:r>
        <w:rPr>
          <w:rFonts w:hint="eastAsia" w:ascii="仿宋_GB2312" w:hAnsi="仿宋_GB2312" w:eastAsia="仿宋_GB2312" w:cs="仿宋_GB2312"/>
          <w:color w:val="auto"/>
          <w:kern w:val="0"/>
          <w:sz w:val="21"/>
          <w:szCs w:val="21"/>
        </w:rPr>
        <w:t>文件获取：</w:t>
      </w:r>
      <w:r>
        <w:rPr>
          <w:rFonts w:hint="eastAsia" w:ascii="仿宋_GB2312" w:hAnsi="仿宋_GB2312" w:eastAsia="仿宋_GB2312" w:cs="仿宋_GB2312"/>
          <w:color w:val="auto"/>
          <w:kern w:val="0"/>
          <w:sz w:val="21"/>
          <w:szCs w:val="21"/>
          <w:lang w:eastAsia="zh-CN"/>
        </w:rPr>
        <w:t>城工集团</w:t>
      </w:r>
      <w:r>
        <w:rPr>
          <w:rFonts w:hint="eastAsia" w:ascii="仿宋_GB2312" w:hAnsi="仿宋_GB2312" w:eastAsia="仿宋_GB2312" w:cs="仿宋_GB2312"/>
          <w:color w:val="auto"/>
          <w:kern w:val="0"/>
          <w:sz w:val="21"/>
          <w:szCs w:val="21"/>
        </w:rPr>
        <w:t>官网（http:</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color w:val="auto"/>
          <w:kern w:val="0"/>
          <w:sz w:val="21"/>
          <w:szCs w:val="21"/>
        </w:rPr>
        <w:t>/</w:t>
      </w:r>
      <w:r>
        <w:rPr>
          <w:rFonts w:hint="eastAsia" w:ascii="仿宋_GB2312" w:hAnsi="仿宋_GB2312" w:eastAsia="仿宋_GB2312" w:cs="仿宋_GB2312"/>
          <w:color w:val="auto"/>
          <w:kern w:val="0"/>
          <w:sz w:val="21"/>
          <w:szCs w:val="21"/>
          <w:lang w:val="en-US" w:eastAsia="zh-CN"/>
        </w:rPr>
        <w:t>www.</w:t>
      </w:r>
      <w:r>
        <w:rPr>
          <w:rFonts w:hint="eastAsia" w:ascii="仿宋_GB2312" w:hAnsi="仿宋_GB2312" w:eastAsia="仿宋_GB2312" w:cs="仿宋_GB2312"/>
          <w:color w:val="auto"/>
          <w:kern w:val="0"/>
          <w:sz w:val="21"/>
          <w:szCs w:val="21"/>
        </w:rPr>
        <w:t>dggcc.cn）。</w:t>
      </w:r>
    </w:p>
    <w:p w14:paraId="6942FA46">
      <w:pPr>
        <w:widowControl/>
        <w:snapToGrid w:val="0"/>
        <w:spacing w:line="360" w:lineRule="auto"/>
        <w:ind w:left="0" w:leftChars="0" w:firstLine="367" w:firstLineChars="175"/>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color w:val="auto"/>
          <w:kern w:val="0"/>
          <w:sz w:val="21"/>
          <w:szCs w:val="21"/>
        </w:rPr>
        <w:t>十</w:t>
      </w:r>
      <w:r>
        <w:rPr>
          <w:rFonts w:hint="eastAsia" w:ascii="仿宋_GB2312" w:hAnsi="仿宋_GB2312" w:eastAsia="仿宋_GB2312" w:cs="仿宋_GB2312"/>
          <w:color w:val="auto"/>
          <w:kern w:val="0"/>
          <w:sz w:val="21"/>
          <w:szCs w:val="21"/>
          <w:lang w:val="en-US" w:eastAsia="zh-CN"/>
        </w:rPr>
        <w:t>一</w:t>
      </w:r>
      <w:r>
        <w:rPr>
          <w:rFonts w:hint="eastAsia" w:ascii="仿宋_GB2312" w:hAnsi="仿宋_GB2312" w:eastAsia="仿宋_GB2312" w:cs="仿宋_GB2312"/>
          <w:color w:val="auto"/>
          <w:kern w:val="0"/>
          <w:sz w:val="21"/>
          <w:szCs w:val="21"/>
        </w:rPr>
        <w:t>、</w:t>
      </w:r>
      <w:r>
        <w:rPr>
          <w:rFonts w:hint="eastAsia" w:ascii="仿宋_GB2312" w:hAnsi="仿宋_GB2312" w:eastAsia="仿宋_GB2312" w:cs="仿宋_GB2312"/>
          <w:color w:val="auto"/>
          <w:kern w:val="0"/>
          <w:sz w:val="21"/>
          <w:szCs w:val="21"/>
          <w:lang w:val="en-US" w:eastAsia="zh-CN"/>
        </w:rPr>
        <w:t>其他及特别内容说明：</w:t>
      </w:r>
    </w:p>
    <w:p w14:paraId="6B6529B1">
      <w:pPr>
        <w:widowControl/>
        <w:snapToGrid w:val="0"/>
        <w:spacing w:line="360" w:lineRule="auto"/>
        <w:ind w:left="0" w:leftChars="0" w:firstLine="367" w:firstLineChars="175"/>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 xml:space="preserve">1、参考品牌（同等或优于）： </w:t>
      </w:r>
      <w:bookmarkStart w:id="8" w:name="OLE_LINK9"/>
      <w:bookmarkStart w:id="9" w:name="OLE_LINK14"/>
      <w:r>
        <w:rPr>
          <w:rFonts w:hint="eastAsia" w:ascii="仿宋_GB2312" w:hAnsi="仿宋_GB2312" w:eastAsia="仿宋_GB2312" w:cs="仿宋_GB2312"/>
          <w:color w:val="auto"/>
          <w:kern w:val="0"/>
          <w:sz w:val="21"/>
          <w:szCs w:val="21"/>
          <w:lang w:val="en-US" w:eastAsia="zh-CN"/>
        </w:rPr>
        <w:t>楼地面内墙面：</w:t>
      </w:r>
      <w:r>
        <w:rPr>
          <w:rFonts w:hint="eastAsia" w:ascii="仿宋_GB2312" w:hAnsi="仿宋_GB2312" w:eastAsia="仿宋_GB2312" w:cs="仿宋_GB2312"/>
          <w:color w:val="auto"/>
          <w:kern w:val="0"/>
          <w:sz w:val="21"/>
          <w:szCs w:val="21"/>
          <w:u w:val="single"/>
          <w:lang w:val="en-US" w:eastAsia="zh-CN"/>
        </w:rPr>
        <w:t>马可波罗、 斯米克 、诺贝尔、蒙娜丽莎 、简一；外墙面：爱和陶、白兔、广陶，</w:t>
      </w:r>
      <w:bookmarkEnd w:id="8"/>
      <w:r>
        <w:rPr>
          <w:rFonts w:hint="eastAsia" w:ascii="仿宋_GB2312" w:hAnsi="仿宋_GB2312" w:eastAsia="仿宋_GB2312" w:cs="仿宋_GB2312"/>
          <w:color w:val="auto"/>
          <w:kern w:val="0"/>
          <w:sz w:val="21"/>
          <w:szCs w:val="21"/>
          <w:u w:val="single"/>
          <w:lang w:val="en-US" w:eastAsia="zh-CN"/>
        </w:rPr>
        <w:t>具体详见下表及附件材料品牌表</w:t>
      </w:r>
      <w:bookmarkEnd w:id="9"/>
      <w:r>
        <w:rPr>
          <w:rFonts w:hint="eastAsia" w:ascii="仿宋_GB2312" w:hAnsi="仿宋_GB2312" w:eastAsia="仿宋_GB2312" w:cs="仿宋_GB2312"/>
          <w:b w:val="0"/>
          <w:bCs w:val="0"/>
          <w:color w:val="auto"/>
          <w:kern w:val="0"/>
          <w:sz w:val="21"/>
          <w:szCs w:val="21"/>
          <w:u w:val="single"/>
          <w:lang w:val="en-US" w:eastAsia="zh-CN"/>
        </w:rPr>
        <w:t xml:space="preserve">  </w:t>
      </w:r>
      <w:r>
        <w:rPr>
          <w:rFonts w:hint="eastAsia" w:ascii="仿宋_GB2312" w:hAnsi="仿宋_GB2312" w:eastAsia="仿宋_GB2312" w:cs="仿宋_GB2312"/>
          <w:b w:val="0"/>
          <w:bCs w:val="0"/>
          <w:color w:val="auto"/>
          <w:kern w:val="0"/>
          <w:sz w:val="21"/>
          <w:szCs w:val="21"/>
          <w:lang w:val="en-US" w:eastAsia="zh-CN"/>
        </w:rPr>
        <w:t>；进场需经采购人审核同意方可使用。</w:t>
      </w:r>
    </w:p>
    <w:p w14:paraId="5CF5BD6C">
      <w:pPr>
        <w:widowControl/>
        <w:snapToGrid w:val="0"/>
        <w:spacing w:line="360" w:lineRule="auto"/>
        <w:ind w:left="0" w:leftChars="0" w:firstLine="367" w:firstLineChars="175"/>
        <w:rPr>
          <w:rFonts w:hint="default"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2、具体瓷砖参数标准，详见附件《东莞市沙田中学（暂定名）瓷砖采购用户需求书》。</w:t>
      </w:r>
    </w:p>
    <w:p w14:paraId="4A7E4775">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十</w:t>
      </w:r>
      <w:r>
        <w:rPr>
          <w:rFonts w:hint="eastAsia" w:ascii="仿宋_GB2312" w:hAnsi="仿宋_GB2312" w:eastAsia="仿宋_GB2312" w:cs="仿宋_GB2312"/>
          <w:color w:val="auto"/>
          <w:kern w:val="0"/>
          <w:sz w:val="21"/>
          <w:szCs w:val="21"/>
          <w:lang w:val="en-US" w:eastAsia="zh-CN"/>
        </w:rPr>
        <w:t>二</w:t>
      </w:r>
      <w:r>
        <w:rPr>
          <w:rFonts w:hint="eastAsia" w:ascii="仿宋_GB2312" w:hAnsi="仿宋_GB2312" w:eastAsia="仿宋_GB2312" w:cs="仿宋_GB2312"/>
          <w:color w:val="auto"/>
          <w:kern w:val="0"/>
          <w:sz w:val="21"/>
          <w:szCs w:val="21"/>
        </w:rPr>
        <w:t xml:space="preserve">、有关此次采购答疑事宜，按下列地址以书面或电话形式向采购人查询：  </w:t>
      </w:r>
    </w:p>
    <w:p w14:paraId="2C36B10E">
      <w:pPr>
        <w:widowControl/>
        <w:snapToGrid w:val="0"/>
        <w:spacing w:line="360" w:lineRule="auto"/>
        <w:ind w:firstLine="840" w:firstLineChars="400"/>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rPr>
        <w:t>采购人：</w:t>
      </w:r>
      <w:r>
        <w:rPr>
          <w:rFonts w:hint="eastAsia" w:ascii="仿宋_GB2312" w:hAnsi="仿宋_GB2312" w:eastAsia="仿宋_GB2312" w:cs="仿宋_GB2312"/>
          <w:color w:val="auto"/>
          <w:kern w:val="0"/>
          <w:sz w:val="21"/>
          <w:szCs w:val="21"/>
          <w:lang w:eastAsia="zh-CN"/>
        </w:rPr>
        <w:t>东莞市城市工程建设集团有限公司</w:t>
      </w:r>
    </w:p>
    <w:p w14:paraId="79D8869C">
      <w:pPr>
        <w:widowControl/>
        <w:snapToGrid w:val="0"/>
        <w:spacing w:line="360" w:lineRule="auto"/>
        <w:ind w:firstLine="840" w:firstLineChars="4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地址：东莞市南城区城市风景街</w:t>
      </w:r>
      <w:r>
        <w:rPr>
          <w:rFonts w:hint="eastAsia" w:ascii="仿宋_GB2312" w:hAnsi="仿宋_GB2312" w:eastAsia="仿宋_GB2312" w:cs="仿宋_GB2312"/>
          <w:color w:val="auto"/>
          <w:kern w:val="0"/>
          <w:sz w:val="21"/>
          <w:szCs w:val="21"/>
          <w:lang w:val="en-US" w:eastAsia="zh-CN"/>
        </w:rPr>
        <w:t>8</w:t>
      </w:r>
      <w:r>
        <w:rPr>
          <w:rFonts w:hint="eastAsia" w:ascii="仿宋_GB2312" w:hAnsi="仿宋_GB2312" w:eastAsia="仿宋_GB2312" w:cs="仿宋_GB2312"/>
          <w:color w:val="auto"/>
          <w:kern w:val="0"/>
          <w:sz w:val="21"/>
          <w:szCs w:val="21"/>
        </w:rPr>
        <w:t>栋</w:t>
      </w:r>
      <w:r>
        <w:rPr>
          <w:rFonts w:hint="eastAsia" w:ascii="仿宋_GB2312" w:hAnsi="仿宋_GB2312" w:eastAsia="仿宋_GB2312" w:cs="仿宋_GB2312"/>
          <w:b/>
          <w:bCs/>
          <w:color w:val="auto"/>
          <w:kern w:val="0"/>
          <w:sz w:val="21"/>
          <w:szCs w:val="21"/>
          <w:lang w:val="en-US" w:eastAsia="zh-CN"/>
        </w:rPr>
        <w:t>3</w:t>
      </w:r>
      <w:r>
        <w:rPr>
          <w:rFonts w:hint="eastAsia" w:ascii="仿宋_GB2312" w:hAnsi="仿宋_GB2312" w:eastAsia="仿宋_GB2312" w:cs="仿宋_GB2312"/>
          <w:color w:val="auto"/>
          <w:kern w:val="0"/>
          <w:sz w:val="21"/>
          <w:szCs w:val="21"/>
        </w:rPr>
        <w:t>层</w:t>
      </w:r>
      <w:r>
        <w:rPr>
          <w:rFonts w:hint="eastAsia" w:ascii="仿宋_GB2312" w:hAnsi="仿宋_GB2312" w:eastAsia="仿宋_GB2312" w:cs="仿宋_GB2312"/>
          <w:color w:val="auto"/>
          <w:kern w:val="0"/>
          <w:sz w:val="21"/>
          <w:szCs w:val="21"/>
          <w:lang w:eastAsia="zh-CN"/>
        </w:rPr>
        <w:t>城工集团</w:t>
      </w:r>
      <w:r>
        <w:rPr>
          <w:rFonts w:hint="eastAsia" w:ascii="仿宋_GB2312" w:hAnsi="仿宋_GB2312" w:eastAsia="仿宋_GB2312" w:cs="仿宋_GB2312"/>
          <w:color w:val="auto"/>
          <w:kern w:val="0"/>
          <w:sz w:val="21"/>
          <w:szCs w:val="21"/>
        </w:rPr>
        <w:t>。</w:t>
      </w:r>
    </w:p>
    <w:p w14:paraId="21C73D6F">
      <w:pPr>
        <w:widowControl/>
        <w:snapToGrid w:val="0"/>
        <w:spacing w:line="360" w:lineRule="auto"/>
        <w:ind w:firstLine="840" w:firstLineChars="400"/>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rPr>
        <w:t>联系人：</w:t>
      </w:r>
      <w:r>
        <w:rPr>
          <w:rFonts w:hint="eastAsia" w:ascii="仿宋_GB2312" w:hAnsi="仿宋_GB2312" w:eastAsia="仿宋_GB2312" w:cs="仿宋_GB2312"/>
          <w:color w:val="auto"/>
          <w:kern w:val="0"/>
          <w:sz w:val="21"/>
          <w:szCs w:val="21"/>
          <w:lang w:val="en-US" w:eastAsia="zh-CN"/>
        </w:rPr>
        <w:t>黄工</w:t>
      </w:r>
      <w:r>
        <w:rPr>
          <w:rFonts w:hint="eastAsia" w:ascii="仿宋_GB2312" w:hAnsi="仿宋_GB2312" w:eastAsia="仿宋_GB2312" w:cs="仿宋_GB2312"/>
          <w:color w:val="auto"/>
          <w:kern w:val="0"/>
          <w:sz w:val="21"/>
          <w:szCs w:val="21"/>
        </w:rPr>
        <w:t xml:space="preserve">                   邮政编码：</w:t>
      </w:r>
      <w:r>
        <w:rPr>
          <w:rFonts w:hint="eastAsia" w:ascii="仿宋_GB2312" w:hAnsi="仿宋_GB2312" w:eastAsia="仿宋_GB2312" w:cs="仿宋_GB2312"/>
          <w:color w:val="auto"/>
          <w:kern w:val="0"/>
          <w:sz w:val="21"/>
          <w:szCs w:val="21"/>
          <w:lang w:val="en-US" w:eastAsia="zh-CN"/>
        </w:rPr>
        <w:t>523000</w:t>
      </w:r>
    </w:p>
    <w:p w14:paraId="40923732">
      <w:pPr>
        <w:widowControl/>
        <w:snapToGrid w:val="0"/>
        <w:spacing w:line="360" w:lineRule="auto"/>
        <w:ind w:firstLine="840" w:firstLineChars="4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联系方式：</w:t>
      </w:r>
      <w:r>
        <w:rPr>
          <w:rFonts w:hint="eastAsia" w:ascii="仿宋_GB2312" w:hAnsi="仿宋_GB2312" w:eastAsia="仿宋_GB2312" w:cs="仿宋_GB2312"/>
          <w:color w:val="auto"/>
          <w:kern w:val="0"/>
          <w:sz w:val="21"/>
          <w:szCs w:val="21"/>
          <w:lang w:val="en-US" w:eastAsia="zh-CN"/>
        </w:rPr>
        <w:t>15017133726</w:t>
      </w:r>
      <w:r>
        <w:rPr>
          <w:rFonts w:hint="eastAsia" w:ascii="仿宋_GB2312" w:hAnsi="仿宋_GB2312" w:eastAsia="仿宋_GB2312" w:cs="仿宋_GB2312"/>
          <w:color w:val="auto"/>
          <w:kern w:val="0"/>
          <w:sz w:val="21"/>
          <w:szCs w:val="21"/>
        </w:rPr>
        <w:t xml:space="preserve">       </w:t>
      </w:r>
      <w:r>
        <w:rPr>
          <w:rFonts w:hint="eastAsia" w:ascii="仿宋_GB2312" w:hAnsi="仿宋_GB2312" w:eastAsia="仿宋_GB2312" w:cs="仿宋_GB2312"/>
          <w:color w:val="auto"/>
          <w:kern w:val="0"/>
          <w:sz w:val="21"/>
          <w:szCs w:val="21"/>
          <w:lang w:val="en-US" w:eastAsia="zh-CN"/>
        </w:rPr>
        <w:t xml:space="preserve">   </w:t>
      </w:r>
      <w:r>
        <w:rPr>
          <w:rFonts w:hint="eastAsia" w:ascii="仿宋_GB2312" w:hAnsi="仿宋_GB2312" w:eastAsia="仿宋_GB2312" w:cs="仿宋_GB2312"/>
          <w:color w:val="auto"/>
          <w:kern w:val="0"/>
          <w:sz w:val="21"/>
          <w:szCs w:val="21"/>
        </w:rPr>
        <w:t>传真：0769-39009090</w:t>
      </w:r>
    </w:p>
    <w:p w14:paraId="73014820">
      <w:pPr>
        <w:widowControl/>
        <w:snapToGrid w:val="0"/>
        <w:spacing w:line="360" w:lineRule="auto"/>
        <w:ind w:firstLine="840" w:firstLineChars="400"/>
        <w:rPr>
          <w:rFonts w:hint="eastAsia" w:ascii="仿宋_GB2312" w:hAnsi="仿宋_GB2312" w:eastAsia="仿宋_GB2312" w:cs="仿宋_GB2312"/>
          <w:color w:val="auto"/>
          <w:kern w:val="0"/>
          <w:sz w:val="21"/>
          <w:szCs w:val="21"/>
        </w:rPr>
      </w:pPr>
    </w:p>
    <w:p w14:paraId="697CFB7C">
      <w:pPr>
        <w:widowControl/>
        <w:snapToGrid w:val="0"/>
        <w:spacing w:line="360" w:lineRule="auto"/>
        <w:ind w:firstLine="840" w:firstLineChars="400"/>
        <w:rPr>
          <w:rFonts w:hint="eastAsia" w:ascii="仿宋_GB2312" w:hAnsi="仿宋_GB2312" w:eastAsia="仿宋_GB2312" w:cs="仿宋_GB2312"/>
          <w:color w:val="auto"/>
          <w:kern w:val="0"/>
          <w:sz w:val="21"/>
          <w:szCs w:val="21"/>
        </w:rPr>
      </w:pPr>
    </w:p>
    <w:p w14:paraId="2076EB92">
      <w:pPr>
        <w:widowControl/>
        <w:snapToGrid w:val="0"/>
        <w:spacing w:line="360" w:lineRule="auto"/>
        <w:ind w:firstLine="840" w:firstLineChars="400"/>
        <w:rPr>
          <w:rFonts w:hint="eastAsia" w:ascii="仿宋_GB2312" w:hAnsi="仿宋_GB2312" w:eastAsia="仿宋_GB2312" w:cs="仿宋_GB2312"/>
          <w:color w:val="auto"/>
          <w:kern w:val="0"/>
          <w:sz w:val="21"/>
          <w:szCs w:val="21"/>
        </w:rPr>
      </w:pPr>
      <w:bookmarkStart w:id="10" w:name="_GoBack"/>
      <w:bookmarkEnd w:id="10"/>
    </w:p>
    <w:p w14:paraId="25B0ADB7">
      <w:pPr>
        <w:widowControl/>
        <w:snapToGrid w:val="0"/>
        <w:spacing w:line="360" w:lineRule="auto"/>
        <w:ind w:firstLine="640"/>
        <w:jc w:val="right"/>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东莞市城市工程建设集团有限公司</w:t>
      </w:r>
    </w:p>
    <w:p w14:paraId="3705F876">
      <w:pPr>
        <w:widowControl/>
        <w:wordWrap/>
        <w:snapToGrid w:val="0"/>
        <w:spacing w:line="360" w:lineRule="auto"/>
        <w:ind w:firstLine="640"/>
        <w:jc w:val="right"/>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highlight w:val="none"/>
          <w:lang w:val="en-US" w:eastAsia="zh-CN"/>
        </w:rPr>
        <w:t xml:space="preserve">  2025   </w:t>
      </w:r>
      <w:r>
        <w:rPr>
          <w:rFonts w:hint="eastAsia" w:ascii="仿宋_GB2312" w:hAnsi="仿宋_GB2312" w:eastAsia="仿宋_GB2312" w:cs="仿宋_GB2312"/>
          <w:color w:val="auto"/>
          <w:kern w:val="0"/>
          <w:sz w:val="21"/>
          <w:szCs w:val="21"/>
          <w:highlight w:val="none"/>
        </w:rPr>
        <w:t>年</w:t>
      </w:r>
      <w:r>
        <w:rPr>
          <w:rFonts w:hint="eastAsia" w:ascii="仿宋_GB2312" w:hAnsi="仿宋_GB2312" w:eastAsia="仿宋_GB2312" w:cs="仿宋_GB2312"/>
          <w:color w:val="auto"/>
          <w:kern w:val="0"/>
          <w:sz w:val="21"/>
          <w:szCs w:val="21"/>
          <w:highlight w:val="none"/>
          <w:lang w:val="en-US" w:eastAsia="zh-CN"/>
        </w:rPr>
        <w:t xml:space="preserve">  06 </w:t>
      </w:r>
      <w:r>
        <w:rPr>
          <w:rFonts w:hint="eastAsia" w:ascii="仿宋_GB2312" w:hAnsi="仿宋_GB2312" w:eastAsia="仿宋_GB2312" w:cs="仿宋_GB2312"/>
          <w:color w:val="auto"/>
          <w:kern w:val="0"/>
          <w:sz w:val="21"/>
          <w:szCs w:val="21"/>
          <w:highlight w:val="none"/>
        </w:rPr>
        <w:t>月</w:t>
      </w:r>
      <w:r>
        <w:rPr>
          <w:rFonts w:hint="eastAsia" w:ascii="仿宋_GB2312" w:hAnsi="仿宋_GB2312" w:eastAsia="仿宋_GB2312" w:cs="仿宋_GB2312"/>
          <w:color w:val="auto"/>
          <w:kern w:val="0"/>
          <w:sz w:val="21"/>
          <w:szCs w:val="21"/>
          <w:highlight w:val="none"/>
          <w:lang w:val="en-US" w:eastAsia="zh-CN"/>
        </w:rPr>
        <w:t xml:space="preserve">  10   </w:t>
      </w:r>
      <w:r>
        <w:rPr>
          <w:rFonts w:hint="eastAsia" w:ascii="仿宋_GB2312" w:hAnsi="仿宋_GB2312" w:eastAsia="仿宋_GB2312" w:cs="仿宋_GB2312"/>
          <w:color w:val="auto"/>
          <w:kern w:val="0"/>
          <w:sz w:val="21"/>
          <w:szCs w:val="21"/>
          <w:highlight w:val="none"/>
        </w:rPr>
        <w:t xml:space="preserve">日 </w:t>
      </w:r>
      <w:r>
        <w:rPr>
          <w:rFonts w:hint="eastAsia" w:ascii="仿宋_GB2312" w:hAnsi="仿宋_GB2312" w:eastAsia="仿宋_GB2312" w:cs="仿宋_GB2312"/>
          <w:color w:val="auto"/>
          <w:kern w:val="0"/>
          <w:sz w:val="21"/>
          <w:szCs w:val="21"/>
        </w:rPr>
        <w:t xml:space="preserve">  </w:t>
      </w:r>
    </w:p>
    <w:p w14:paraId="20211C4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8EEF5"/>
    <w:multiLevelType w:val="singleLevel"/>
    <w:tmpl w:val="80E8EEF5"/>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hNGUzYzIxMzZiNGUwYjk4M2NhYzM1YTAzMjk5NTIifQ=="/>
  </w:docVars>
  <w:rsids>
    <w:rsidRoot w:val="00000000"/>
    <w:rsid w:val="15E207E5"/>
    <w:rsid w:val="1EC8059F"/>
    <w:rsid w:val="35E67E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Table Text"/>
    <w:basedOn w:val="1"/>
    <w:semiHidden/>
    <w:qFormat/>
    <w:uiPriority w:val="0"/>
    <w:rPr>
      <w:rFonts w:ascii="宋体" w:hAnsi="宋体" w:eastAsia="宋体" w:cs="宋体"/>
      <w:sz w:val="18"/>
      <w:szCs w:val="18"/>
      <w:lang w:val="en-US" w:eastAsia="en-US" w:bidi="ar-SA"/>
    </w:rPr>
  </w:style>
  <w:style w:type="table" w:customStyle="1" w:styleId="5">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1263</Words>
  <Characters>1456</Characters>
  <Lines>0</Lines>
  <Paragraphs>0</Paragraphs>
  <TotalTime>0</TotalTime>
  <ScaleCrop>false</ScaleCrop>
  <LinksUpToDate>false</LinksUpToDate>
  <CharactersWithSpaces>1636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2025-06-10T02:56:00Z</dcterms:created>
  <dc:creator>lenovo</dc:creator>
  <cp:lastModifiedBy>黄惠东</cp:lastModifiedBy>
  <dcterms:modified xsi:type="dcterms:W3CDTF">2025-06-10T03:45:39Z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81848820E3B24116997CB35908C3F94D_12</vt:lpwstr>
  </property>
</Properties>
</file>