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53CA6">
      <w:pPr>
        <w:jc w:val="center"/>
        <w:rPr>
          <w:rFonts w:hint="default" w:ascii="楷体_GB2312" w:hAnsi="楷体_GB2312" w:eastAsia="楷体_GB2312" w:cs="楷体_GB2312"/>
          <w:sz w:val="32"/>
          <w:lang w:val="en-US" w:eastAsia="zh-CN"/>
        </w:rPr>
      </w:pPr>
      <w:bookmarkStart w:id="0" w:name="OLE_LINK1"/>
      <w:r>
        <w:rPr>
          <w:rFonts w:hint="eastAsia" w:ascii="楷体_GB2312" w:hAnsi="楷体_GB2312" w:eastAsia="楷体_GB2312" w:cs="楷体_GB2312"/>
          <w:sz w:val="32"/>
        </w:rPr>
        <w:t>采购公告</w:t>
      </w: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二次采购）</w:t>
      </w:r>
    </w:p>
    <w:p w14:paraId="3B02FD04">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2E8C7B50">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东莞市沙田中学（暂定名）室内电气工程</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6B046A6F">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东莞市沙田中学（暂定名）室内电气工程</w:t>
      </w:r>
    </w:p>
    <w:p w14:paraId="5E6CB98A">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w:t>
      </w:r>
      <w:r>
        <w:rPr>
          <w:rFonts w:hint="eastAsia" w:ascii="仿宋_GB2312" w:hAnsi="仿宋_GB2312" w:eastAsia="仿宋_GB2312" w:cs="仿宋_GB2312"/>
          <w:kern w:val="0"/>
          <w:szCs w:val="21"/>
          <w:u w:val="single"/>
          <w:lang w:eastAsia="zh-CN"/>
        </w:rPr>
        <w:t>2025</w:t>
      </w:r>
      <w:r>
        <w:rPr>
          <w:rFonts w:hint="eastAsia" w:ascii="仿宋_GB2312" w:hAnsi="仿宋_GB2312" w:eastAsia="仿宋_GB2312" w:cs="仿宋_GB2312"/>
          <w:kern w:val="0"/>
          <w:szCs w:val="21"/>
          <w:u w:val="single"/>
        </w:rPr>
        <w:t>-</w:t>
      </w:r>
      <w:r>
        <w:rPr>
          <w:rFonts w:hint="eastAsia" w:ascii="仿宋_GB2312" w:hAnsi="仿宋_GB2312" w:eastAsia="仿宋_GB2312" w:cs="仿宋_GB2312"/>
          <w:kern w:val="0"/>
          <w:szCs w:val="21"/>
          <w:u w:val="single"/>
          <w:lang w:val="en-US" w:eastAsia="zh-CN"/>
        </w:rPr>
        <w:t>59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p>
    <w:p w14:paraId="2CC3DB4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三、工程地点：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rPr>
        <w:t xml:space="preserve">                </w:t>
      </w:r>
    </w:p>
    <w:p w14:paraId="7AACF982">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rPr>
        <w:t>四、采购限价：本项目采购控制价为</w:t>
      </w:r>
      <w:bookmarkStart w:id="1" w:name="OLE_LINK11"/>
      <w:r>
        <w:rPr>
          <w:rFonts w:hint="eastAsia" w:ascii="仿宋_GB2312" w:hAnsi="仿宋_GB2312" w:eastAsia="仿宋_GB2312" w:cs="仿宋_GB2312"/>
          <w:kern w:val="0"/>
          <w:szCs w:val="21"/>
        </w:rPr>
        <w:t xml:space="preserve"> </w:t>
      </w:r>
      <w:bookmarkStart w:id="2" w:name="OLE_LINK12"/>
      <w:bookmarkStart w:id="3" w:name="OLE_LINK8"/>
      <w:bookmarkStart w:id="4" w:name="OLE_LINK23"/>
      <w:r>
        <w:rPr>
          <w:rFonts w:hint="eastAsia" w:ascii="仿宋_GB2312" w:hAnsi="仿宋_GB2312" w:eastAsia="仿宋_GB2312" w:cs="仿宋_GB2312"/>
          <w:kern w:val="0"/>
          <w:szCs w:val="21"/>
          <w:lang w:val="en-US" w:eastAsia="zh-CN"/>
        </w:rPr>
        <w:t>15854048.61</w:t>
      </w:r>
      <w:bookmarkEnd w:id="1"/>
      <w:bookmarkEnd w:id="2"/>
      <w:bookmarkEnd w:id="3"/>
      <w:bookmarkEnd w:id="4"/>
      <w:r>
        <w:rPr>
          <w:rFonts w:hint="eastAsia" w:ascii="仿宋_GB2312" w:hAnsi="仿宋_GB2312" w:eastAsia="仿宋_GB2312" w:cs="仿宋_GB2312"/>
          <w:kern w:val="0"/>
          <w:szCs w:val="21"/>
        </w:rPr>
        <w:t xml:space="preserve">元（含税 </w:t>
      </w:r>
      <w:r>
        <w:rPr>
          <w:rFonts w:hint="eastAsia" w:ascii="仿宋_GB2312" w:hAnsi="仿宋_GB2312" w:eastAsia="仿宋_GB2312" w:cs="仿宋_GB2312"/>
          <w:kern w:val="0"/>
          <w:szCs w:val="21"/>
          <w:lang w:val="en-US" w:eastAsia="zh-CN"/>
        </w:rPr>
        <w:t>9</w:t>
      </w:r>
      <w:r>
        <w:rPr>
          <w:rFonts w:hint="eastAsia" w:ascii="仿宋_GB2312" w:hAnsi="仿宋_GB2312" w:eastAsia="仿宋_GB2312" w:cs="仿宋_GB2312"/>
          <w:kern w:val="0"/>
          <w:szCs w:val="21"/>
        </w:rPr>
        <w:t xml:space="preserve"> %）,</w:t>
      </w:r>
      <w:r>
        <w:rPr>
          <w:rFonts w:hint="default" w:ascii="仿宋_GB2312" w:hAnsi="仿宋_GB2312" w:eastAsia="仿宋_GB2312" w:cs="仿宋_GB2312"/>
          <w:kern w:val="0"/>
          <w:szCs w:val="21"/>
        </w:rPr>
        <w:t>按</w:t>
      </w:r>
      <w:r>
        <w:rPr>
          <w:rFonts w:hint="eastAsia" w:ascii="仿宋_GB2312" w:hAnsi="仿宋_GB2312" w:eastAsia="仿宋_GB2312" w:cs="仿宋_GB2312"/>
          <w:kern w:val="0"/>
          <w:szCs w:val="21"/>
          <w:lang w:val="en-US" w:eastAsia="zh-CN"/>
        </w:rPr>
        <w:t>采购</w:t>
      </w:r>
      <w:r>
        <w:rPr>
          <w:rFonts w:hint="default" w:ascii="仿宋_GB2312" w:hAnsi="仿宋_GB2312" w:eastAsia="仿宋_GB2312" w:cs="仿宋_GB2312"/>
          <w:kern w:val="0"/>
          <w:szCs w:val="21"/>
        </w:rPr>
        <w:t>控制价</w:t>
      </w:r>
      <w:r>
        <w:rPr>
          <w:rFonts w:hint="eastAsia" w:ascii="仿宋_GB2312" w:hAnsi="仿宋_GB2312" w:eastAsia="仿宋_GB2312" w:cs="仿宋_GB2312"/>
          <w:kern w:val="0"/>
          <w:szCs w:val="21"/>
          <w:lang w:val="en-US" w:eastAsia="zh-CN"/>
        </w:rPr>
        <w:t>下浮9.00%</w:t>
      </w:r>
      <w:r>
        <w:rPr>
          <w:rFonts w:hint="default" w:ascii="仿宋_GB2312" w:hAnsi="仿宋_GB2312" w:eastAsia="仿宋_GB2312" w:cs="仿宋_GB2312"/>
          <w:kern w:val="0"/>
          <w:szCs w:val="21"/>
        </w:rPr>
        <w:t>作为最高限价</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即下浮后最高限价为</w:t>
      </w:r>
      <w:bookmarkStart w:id="5" w:name="OLE_LINK24"/>
      <w:bookmarkStart w:id="6" w:name="OLE_LINK13"/>
      <w:r>
        <w:rPr>
          <w:rFonts w:hint="eastAsia" w:ascii="仿宋_GB2312" w:hAnsi="仿宋_GB2312" w:eastAsia="仿宋_GB2312" w:cs="仿宋_GB2312"/>
          <w:kern w:val="0"/>
          <w:szCs w:val="21"/>
          <w:lang w:val="en-US" w:eastAsia="zh-CN"/>
        </w:rPr>
        <w:t>14427184.23</w:t>
      </w:r>
      <w:bookmarkEnd w:id="5"/>
      <w:bookmarkEnd w:id="6"/>
      <w:r>
        <w:rPr>
          <w:rFonts w:hint="eastAsia" w:ascii="仿宋_GB2312" w:hAnsi="仿宋_GB2312" w:eastAsia="仿宋_GB2312" w:cs="仿宋_GB2312"/>
          <w:kern w:val="0"/>
          <w:szCs w:val="21"/>
          <w:lang w:val="en-US" w:eastAsia="zh-CN"/>
        </w:rPr>
        <w:t xml:space="preserve">元， </w:t>
      </w:r>
      <w:r>
        <w:rPr>
          <w:rFonts w:hint="default" w:ascii="仿宋_GB2312" w:hAnsi="仿宋_GB2312" w:eastAsia="仿宋_GB2312" w:cs="仿宋_GB2312"/>
          <w:kern w:val="0"/>
          <w:szCs w:val="21"/>
          <w:lang w:val="en-US" w:eastAsia="zh-CN"/>
        </w:rPr>
        <w:t>其中不含税价为</w:t>
      </w:r>
      <w:r>
        <w:rPr>
          <w:rFonts w:hint="eastAsia" w:ascii="仿宋_GB2312" w:hAnsi="仿宋_GB2312" w:eastAsia="仿宋_GB2312" w:cs="仿宋_GB2312"/>
          <w:kern w:val="0"/>
          <w:szCs w:val="21"/>
          <w:lang w:val="en-US" w:eastAsia="zh-CN"/>
        </w:rPr>
        <w:t xml:space="preserve"> </w:t>
      </w:r>
      <w:bookmarkStart w:id="7" w:name="OLE_LINK14"/>
      <w:r>
        <w:rPr>
          <w:rFonts w:hint="eastAsia" w:ascii="仿宋_GB2312" w:hAnsi="仿宋_GB2312" w:eastAsia="仿宋_GB2312" w:cs="仿宋_GB2312"/>
          <w:kern w:val="0"/>
          <w:szCs w:val="21"/>
          <w:lang w:val="en-US" w:eastAsia="zh-CN"/>
        </w:rPr>
        <w:t>13235948.84</w:t>
      </w:r>
      <w:bookmarkEnd w:id="7"/>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（大写）壹仟叁佰贰拾叁万伍仟玖佰肆拾捌元捌角肆分；</w:t>
      </w:r>
      <w:r>
        <w:rPr>
          <w:rFonts w:hint="default" w:ascii="仿宋_GB2312" w:hAnsi="仿宋_GB2312" w:eastAsia="仿宋_GB2312" w:cs="仿宋_GB2312"/>
          <w:kern w:val="0"/>
          <w:szCs w:val="21"/>
          <w:lang w:val="en-US" w:eastAsia="zh-CN"/>
        </w:rPr>
        <w:t>税金</w:t>
      </w:r>
      <w:bookmarkStart w:id="8" w:name="OLE_LINK15"/>
      <w:r>
        <w:rPr>
          <w:rFonts w:hint="eastAsia" w:ascii="仿宋_GB2312" w:hAnsi="仿宋_GB2312" w:eastAsia="仿宋_GB2312" w:cs="仿宋_GB2312"/>
          <w:kern w:val="0"/>
          <w:szCs w:val="21"/>
          <w:lang w:val="en-US" w:eastAsia="zh-CN"/>
        </w:rPr>
        <w:t>1191235.40</w:t>
      </w:r>
      <w:bookmarkEnd w:id="8"/>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，（大写）壹佰壹拾玖万壹仟贰佰叁拾伍元肆角整（投标人报价不得高于采购限价）。</w:t>
      </w:r>
    </w:p>
    <w:p w14:paraId="2D241C2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五、工程概况：本项目总用地面积为 92727.86 平方米，总建筑面积 146572.85 平方米，拟建</w:t>
      </w:r>
      <w:r>
        <w:rPr>
          <w:rFonts w:hint="eastAsia" w:ascii="仿宋_GB2312" w:hAnsi="仿宋_GB2312" w:eastAsia="仿宋_GB2312" w:cs="仿宋_GB2312"/>
          <w:kern w:val="0"/>
          <w:szCs w:val="21"/>
          <w:lang w:val="en-US" w:eastAsia="zh-CN"/>
        </w:rPr>
        <w:t>设内容主要包括：1 号食堂宿舍楼、2 号宿舍楼、</w:t>
      </w:r>
      <w:bookmarkStart w:id="13" w:name="_GoBack"/>
      <w:bookmarkEnd w:id="13"/>
      <w:r>
        <w:rPr>
          <w:rFonts w:hint="eastAsia" w:ascii="仿宋_GB2312" w:hAnsi="仿宋_GB2312" w:eastAsia="仿宋_GB2312" w:cs="仿宋_GB2312"/>
          <w:kern w:val="0"/>
          <w:szCs w:val="21"/>
          <w:lang w:val="en-US" w:eastAsia="zh-CN"/>
        </w:rPr>
        <w:t>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kern w:val="0"/>
          <w:szCs w:val="21"/>
        </w:rPr>
        <w:t xml:space="preserve"> </w:t>
      </w:r>
    </w:p>
    <w:p w14:paraId="5A0D2446">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 xml:space="preserve">   </w:t>
      </w:r>
      <w:bookmarkStart w:id="9" w:name="OLE_LINK21"/>
      <w:r>
        <w:rPr>
          <w:rFonts w:hint="eastAsia" w:ascii="仿宋_GB2312" w:hAnsi="仿宋_GB2312" w:eastAsia="仿宋_GB2312" w:cs="仿宋_GB2312"/>
          <w:kern w:val="0"/>
          <w:szCs w:val="21"/>
          <w:lang w:val="en-US" w:eastAsia="zh-CN"/>
        </w:rPr>
        <w:t>本工程室内电气工程概况：主要包括11号地下车库、1号食堂宿舍楼、2号宿舍楼、3号体育馆、4号图书馆、5号教学楼、6号教学楼、7号报告厅、8号门卫、9号门卫、10号门卫、室外电气充电桩以上的电气工程，</w:t>
      </w:r>
      <w:r>
        <w:rPr>
          <w:rFonts w:hint="eastAsia" w:ascii="仿宋_GB2312" w:hAnsi="仿宋_GB2312" w:eastAsia="仿宋_GB2312" w:cs="仿宋_GB2312"/>
          <w:bCs w:val="0"/>
          <w:kern w:val="0"/>
          <w:szCs w:val="21"/>
          <w:lang w:val="en-US" w:eastAsia="zh-CN"/>
        </w:rPr>
        <w:t>施工图中所有动力、照明、防雷接地的所有施工内容，包含但不仅限于桥架、配管（含电气套管、线盒等）、电缆电线、配电箱、灯具及其他末端、开关、插座、防雷接地、等电位及样板等施工</w:t>
      </w:r>
      <w:r>
        <w:rPr>
          <w:rFonts w:hint="eastAsia" w:ascii="仿宋_GB2312" w:hAnsi="仿宋_GB2312" w:eastAsia="仿宋_GB2312" w:cs="仿宋_GB2312"/>
          <w:kern w:val="0"/>
          <w:szCs w:val="21"/>
          <w:lang w:val="en-US" w:eastAsia="zh-CN"/>
        </w:rPr>
        <w:t>具体以施工图纸为准。</w:t>
      </w:r>
      <w:bookmarkEnd w:id="9"/>
    </w:p>
    <w:p w14:paraId="1C7FCCF9">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六、分包工程主要范围：</w:t>
      </w:r>
      <w:r>
        <w:rPr>
          <w:rFonts w:hint="default" w:ascii="仿宋_GB2312" w:hAnsi="仿宋_GB2312" w:eastAsia="仿宋_GB2312" w:cs="仿宋_GB2312"/>
          <w:kern w:val="0"/>
          <w:szCs w:val="21"/>
          <w:lang w:val="en-US" w:eastAsia="zh-CN"/>
        </w:rPr>
        <w:t>主要工作内容包括：</w:t>
      </w:r>
    </w:p>
    <w:p w14:paraId="591DE3CE">
      <w:pPr>
        <w:widowControl/>
        <w:snapToGrid w:val="0"/>
        <w:spacing w:line="360" w:lineRule="auto"/>
        <w:ind w:firstLine="367" w:firstLineChars="175"/>
        <w:rPr>
          <w:rFonts w:hint="default" w:ascii="仿宋_GB2312" w:hAnsi="仿宋_GB2312" w:eastAsia="仿宋_GB2312" w:cs="仿宋_GB2312"/>
          <w:kern w:val="0"/>
          <w:szCs w:val="21"/>
          <w:lang w:val="en-US" w:eastAsia="zh-CN"/>
        </w:rPr>
      </w:pPr>
      <w:bookmarkStart w:id="10" w:name="OLE_LINK5"/>
      <w:r>
        <w:rPr>
          <w:rFonts w:hint="eastAsia" w:ascii="仿宋_GB2312" w:hAnsi="仿宋_GB2312" w:eastAsia="仿宋_GB2312" w:cs="仿宋_GB2312"/>
          <w:kern w:val="0"/>
          <w:szCs w:val="21"/>
          <w:lang w:val="en-US" w:eastAsia="zh-CN"/>
        </w:rPr>
        <w:t>1、电气工程：施工图中所有动力、照明、防雷接地的所有施工内容，包含但不仅限于桥架、配管（含电气套管、线盒等）、电缆电线、配电箱、灯具及其他末端、开关、插座、防雷接地、等电位及样板等的施工，详见工程量清单。</w:t>
      </w:r>
    </w:p>
    <w:p w14:paraId="396E48C6">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2、承包范围的套管预留、预埋及封堵</w:t>
      </w:r>
    </w:p>
    <w:p w14:paraId="66A20093">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3、正式电梯做施工期间临时使用时，提供、安装及后续拆除电缆。配合主体结构阶段的电梯电气的预留预埋。</w:t>
      </w:r>
    </w:p>
    <w:p w14:paraId="59055EE1">
      <w:pPr>
        <w:widowControl/>
        <w:snapToGrid w:val="0"/>
        <w:spacing w:line="360" w:lineRule="auto"/>
        <w:ind w:firstLine="367" w:firstLineChars="175"/>
        <w:rPr>
          <w:rFonts w:hint="eastAsia" w:ascii="仿宋_GB2312" w:hAnsi="仿宋_GB2312" w:eastAsia="仿宋_GB2312" w:cs="仿宋_GB2312"/>
          <w:kern w:val="0"/>
          <w:szCs w:val="21"/>
          <w:u w:val="single"/>
          <w:lang w:val="en-US" w:eastAsia="zh-CN"/>
        </w:rPr>
      </w:pPr>
      <w:r>
        <w:rPr>
          <w:rFonts w:hint="eastAsia" w:ascii="仿宋_GB2312" w:hAnsi="仿宋_GB2312" w:eastAsia="仿宋_GB2312" w:cs="仿宋_GB2312"/>
          <w:kern w:val="0"/>
          <w:szCs w:val="21"/>
          <w:lang w:val="en-US" w:eastAsia="zh-CN"/>
        </w:rPr>
        <w:t>4、甲供材料：</w:t>
      </w:r>
      <w:bookmarkStart w:id="11" w:name="OLE_LINK4"/>
      <w:r>
        <w:rPr>
          <w:rFonts w:hint="eastAsia" w:ascii="仿宋_GB2312" w:hAnsi="仿宋_GB2312" w:eastAsia="仿宋_GB2312" w:cs="仿宋_GB2312"/>
          <w:kern w:val="0"/>
          <w:szCs w:val="21"/>
          <w:u w:val="single"/>
          <w:lang w:val="en-US" w:eastAsia="zh-CN"/>
        </w:rPr>
        <w:t>配电箱、电缆、灯具</w:t>
      </w:r>
      <w:bookmarkEnd w:id="11"/>
      <w:r>
        <w:rPr>
          <w:rFonts w:hint="eastAsia" w:ascii="仿宋_GB2312" w:hAnsi="仿宋_GB2312" w:eastAsia="仿宋_GB2312" w:cs="仿宋_GB2312"/>
          <w:kern w:val="0"/>
          <w:szCs w:val="21"/>
          <w:u w:val="single"/>
          <w:lang w:val="en-US" w:eastAsia="zh-CN"/>
        </w:rPr>
        <w:t>。</w:t>
      </w:r>
    </w:p>
    <w:p w14:paraId="49975062">
      <w:pPr>
        <w:widowControl/>
        <w:snapToGrid w:val="0"/>
        <w:spacing w:line="360" w:lineRule="auto"/>
        <w:ind w:firstLine="367" w:firstLineChars="175"/>
        <w:rPr>
          <w:rFonts w:hint="eastAsia" w:ascii="仿宋_GB2312" w:hAnsi="仿宋_GB2312" w:eastAsia="仿宋_GB2312" w:cs="仿宋_GB2312"/>
          <w:kern w:val="0"/>
          <w:szCs w:val="21"/>
          <w:u w:val="single"/>
          <w:lang w:val="en-US" w:eastAsia="zh-CN"/>
        </w:rPr>
      </w:pPr>
      <w:r>
        <w:rPr>
          <w:rFonts w:hint="eastAsia" w:ascii="仿宋_GB2312" w:hAnsi="仿宋_GB2312" w:eastAsia="仿宋_GB2312" w:cs="仿宋_GB2312"/>
          <w:kern w:val="0"/>
          <w:szCs w:val="21"/>
          <w:u w:val="single"/>
          <w:lang w:val="en-US" w:eastAsia="zh-CN"/>
        </w:rPr>
        <w:t>5、以上采购范围未尽事宜，详见施工图纸及采购清单，并满足设计要求。</w:t>
      </w:r>
    </w:p>
    <w:bookmarkEnd w:id="10"/>
    <w:p w14:paraId="1185A64A">
      <w:pPr>
        <w:widowControl/>
        <w:numPr>
          <w:ilvl w:val="0"/>
          <w:numId w:val="0"/>
        </w:numPr>
        <w:tabs>
          <w:tab w:val="left" w:pos="-142"/>
          <w:tab w:val="left" w:pos="0"/>
          <w:tab w:val="left" w:pos="720"/>
        </w:tabs>
        <w:snapToGrid w:val="0"/>
        <w:spacing w:line="360" w:lineRule="auto"/>
        <w:ind w:leftChars="0" w:firstLine="367" w:firstLineChars="175"/>
        <w:rPr>
          <w:rFonts w:hint="eastAsia" w:ascii="仿宋_GB2312" w:hAnsi="仿宋_GB2312" w:eastAsia="仿宋_GB2312" w:cs="仿宋_GB2312"/>
          <w:color w:val="auto"/>
          <w:kern w:val="0"/>
          <w:sz w:val="21"/>
          <w:szCs w:val="21"/>
          <w:highlight w:val="none"/>
          <w:u w:val="single"/>
          <w:lang w:val="en-US" w:eastAsia="zh-CN"/>
        </w:rPr>
      </w:pPr>
      <w:r>
        <w:rPr>
          <w:rFonts w:hint="eastAsia" w:ascii="仿宋_GB2312" w:hAnsi="仿宋_GB2312" w:eastAsia="仿宋_GB2312" w:cs="仿宋_GB2312"/>
          <w:kern w:val="0"/>
          <w:sz w:val="21"/>
          <w:szCs w:val="21"/>
          <w:highlight w:val="none"/>
          <w:u w:val="single"/>
          <w:lang w:val="en-US" w:eastAsia="zh-CN"/>
        </w:rPr>
        <w:t>6、采购人已委托其它分包内容：</w:t>
      </w:r>
      <w:r>
        <w:rPr>
          <w:rFonts w:hint="eastAsia" w:ascii="仿宋_GB2312" w:hAnsi="仿宋_GB2312" w:eastAsia="仿宋_GB2312" w:cs="仿宋_GB2312"/>
          <w:color w:val="auto"/>
          <w:kern w:val="0"/>
          <w:sz w:val="21"/>
          <w:szCs w:val="21"/>
          <w:highlight w:val="none"/>
          <w:u w:val="single"/>
          <w:lang w:val="en-US" w:eastAsia="zh-CN"/>
        </w:rPr>
        <w:t>电气预埋因进度需要已安排其他单位施工，在</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进场后，前面的预埋单位的预埋工作自然终止，后续预埋由</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施工。</w:t>
      </w:r>
    </w:p>
    <w:p w14:paraId="36DAA760">
      <w:pPr>
        <w:widowControl/>
        <w:numPr>
          <w:ilvl w:val="0"/>
          <w:numId w:val="0"/>
        </w:numPr>
        <w:snapToGrid w:val="0"/>
        <w:spacing w:line="360" w:lineRule="auto"/>
        <w:ind w:firstLine="367" w:firstLineChars="175"/>
        <w:rPr>
          <w:rFonts w:hint="default" w:ascii="仿宋_GB2312" w:hAnsi="仿宋_GB2312" w:eastAsia="仿宋_GB2312" w:cs="仿宋_GB2312"/>
          <w:kern w:val="0"/>
          <w:szCs w:val="21"/>
          <w:u w:val="single"/>
          <w:lang w:val="en-US" w:eastAsia="zh-CN"/>
        </w:rPr>
      </w:pP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进场前已完预埋工程的计量：（1）、基础预埋工程量</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结算时不予以计量；（2）、叠合板预埋工程量</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结算时不予以计量；（3）、2#楼、3#楼、6#楼正负零以上的预埋工程，</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进场后需支付给前面预埋单位已完预埋工程费用，已完成的预埋工程量计入</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结算工程量中。已完预埋工程费用=已施工部分的建筑面积×30元/m2。</w:t>
      </w:r>
    </w:p>
    <w:p w14:paraId="080F4324">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七、承包方式：</w:t>
      </w:r>
    </w:p>
    <w:p w14:paraId="06484D6C">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本工程固定综合单价是采购文件所确定的范围内的全部工作内容的价格体现。包括不限于施工设备、劳务、管理、材料（甲供材除外）、安装、施工措施、文明施工、调试、材料检测、验收维护、利润、税金及政策性文件规定的各项应有费用及采购文件明示或暗示的所有一切风险、责任和义务的费用。</w:t>
      </w:r>
    </w:p>
    <w:p w14:paraId="24DC4DB2">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配电箱、电缆、灯具</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eastAsia="zh-CN"/>
        </w:rPr>
        <w:t>。</w:t>
      </w:r>
      <w:r>
        <w:rPr>
          <w:rFonts w:hint="eastAsia" w:ascii="仿宋_GB2312" w:hAnsi="仿宋_GB2312" w:eastAsia="仿宋_GB2312" w:cs="仿宋_GB2312"/>
          <w:kern w:val="0"/>
          <w:szCs w:val="21"/>
          <w:u w:val="single"/>
        </w:rPr>
        <w:t xml:space="preserve"> </w:t>
      </w:r>
    </w:p>
    <w:p w14:paraId="33F2219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w:t>
      </w:r>
      <w:bookmarkStart w:id="12" w:name="OLE_LINK19"/>
      <w:r>
        <w:rPr>
          <w:rFonts w:hint="eastAsia" w:ascii="仿宋_GB2312" w:hAnsi="仿宋_GB2312" w:eastAsia="仿宋_GB2312" w:cs="仿宋_GB2312"/>
          <w:kern w:val="0"/>
          <w:szCs w:val="21"/>
          <w:u w:val="none"/>
          <w:lang w:val="en-US" w:eastAsia="zh-CN"/>
        </w:rPr>
        <w:t>中标后3天内进场与项目部联合编制进度计划及关键节点，并以双方签字确认的进度计划作为施工工期要求</w:t>
      </w:r>
      <w:bookmarkEnd w:id="12"/>
    </w:p>
    <w:p w14:paraId="2662E2B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1E0097E1">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2D1822E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670D513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112C480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553C3CE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4B2CA5F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77A83B8C">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5、本工程要求开具工人工资支付保函：（计划工期15天内完工的零星项目无需开具工人工资支付保函）。</w:t>
      </w:r>
    </w:p>
    <w:p w14:paraId="5F476E9A">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0ED5850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6672D87C">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7EDB9A4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具体详见附件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；进场需经采购人审核同意方可使用。</w:t>
      </w:r>
    </w:p>
    <w:p w14:paraId="72A3294D">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2、</w:t>
      </w:r>
      <w:r>
        <w:rPr>
          <w:rFonts w:hint="eastAsia" w:ascii="仿宋_GB2312" w:hAnsi="仿宋_GB2312" w:eastAsia="仿宋_GB2312" w:cs="仿宋_GB2312"/>
          <w:bCs/>
          <w:color w:val="auto"/>
          <w:szCs w:val="21"/>
          <w:highlight w:val="none"/>
        </w:rPr>
        <w:t>工程质量标准为</w:t>
      </w:r>
      <w:r>
        <w:rPr>
          <w:rFonts w:hint="eastAsia" w:ascii="仿宋_GB2312" w:hAnsi="仿宋_GB2312" w:eastAsia="仿宋_GB2312" w:cs="仿宋_GB2312"/>
          <w:bCs w:val="0"/>
          <w:color w:val="FF0000"/>
          <w:kern w:val="0"/>
          <w:szCs w:val="21"/>
          <w:highlight w:val="none"/>
        </w:rPr>
        <w:t>：</w:t>
      </w:r>
      <w:r>
        <w:rPr>
          <w:rFonts w:hint="eastAsia" w:ascii="仿宋_GB2312" w:hAnsi="仿宋_GB2312" w:eastAsia="仿宋_GB2312" w:cs="仿宋_GB2312"/>
          <w:b w:val="0"/>
          <w:bCs w:val="0"/>
          <w:color w:val="FF0000"/>
          <w:kern w:val="0"/>
          <w:sz w:val="21"/>
          <w:szCs w:val="21"/>
          <w:u w:val="none"/>
          <w:lang w:val="en-US" w:eastAsia="zh-CN"/>
        </w:rPr>
        <w:t>达到国家或行业质量检验评定的合格标准，获评广东省建设工程优质奖， 争创国家优质工程奖及鲁班奖</w:t>
      </w:r>
      <w:r>
        <w:rPr>
          <w:rFonts w:hint="eastAsia" w:ascii="仿宋_GB2312" w:hAnsi="仿宋_GB2312" w:eastAsia="仿宋_GB2312" w:cs="仿宋_GB2312"/>
          <w:color w:val="FF0000"/>
          <w:kern w:val="0"/>
          <w:sz w:val="21"/>
          <w:szCs w:val="21"/>
          <w:lang w:val="en-US" w:eastAsia="zh-CN"/>
        </w:rPr>
        <w:t>。</w:t>
      </w:r>
    </w:p>
    <w:p w14:paraId="5115FE3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6F1DDEFA">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5B2B48C0">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46BB86C7">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67C9C2B7">
      <w:pPr>
        <w:widowControl/>
        <w:snapToGrid w:val="0"/>
        <w:spacing w:line="360" w:lineRule="auto"/>
        <w:ind w:firstLine="840" w:firstLineChars="400"/>
        <w:jc w:val="lef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1724FBFC">
      <w:pPr>
        <w:widowControl/>
        <w:snapToGrid w:val="0"/>
        <w:spacing w:line="360" w:lineRule="auto"/>
        <w:ind w:firstLine="840" w:firstLineChars="400"/>
        <w:jc w:val="left"/>
        <w:rPr>
          <w:rFonts w:hint="eastAsia" w:ascii="仿宋_GB2312" w:hAnsi="仿宋_GB2312" w:eastAsia="仿宋_GB2312" w:cs="仿宋_GB2312"/>
          <w:kern w:val="0"/>
          <w:szCs w:val="21"/>
        </w:rPr>
      </w:pPr>
    </w:p>
    <w:p w14:paraId="34DA7E9C">
      <w:pPr>
        <w:widowControl/>
        <w:snapToGrid w:val="0"/>
        <w:spacing w:line="360" w:lineRule="auto"/>
        <w:ind w:firstLine="840" w:firstLineChars="400"/>
        <w:jc w:val="left"/>
        <w:rPr>
          <w:rFonts w:hint="eastAsia" w:ascii="仿宋_GB2312" w:hAnsi="仿宋_GB2312" w:eastAsia="仿宋_GB2312" w:cs="仿宋_GB2312"/>
          <w:kern w:val="0"/>
          <w:szCs w:val="21"/>
        </w:rPr>
      </w:pPr>
    </w:p>
    <w:p w14:paraId="3CAEB87B">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7B2B45B0">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05</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22</w:t>
      </w:r>
      <w:r>
        <w:rPr>
          <w:rFonts w:hint="eastAsia" w:ascii="仿宋_GB2312" w:hAnsi="仿宋_GB2312" w:eastAsia="仿宋_GB2312" w:cs="仿宋_GB2312"/>
          <w:kern w:val="0"/>
          <w:szCs w:val="21"/>
        </w:rPr>
        <w:t xml:space="preserve">   日</w:t>
      </w:r>
      <w:bookmarkEnd w:id="0"/>
      <w:r>
        <w:rPr>
          <w:rFonts w:hint="eastAsia" w:ascii="仿宋_GB2312" w:hAnsi="仿宋_GB2312" w:eastAsia="仿宋_GB2312" w:cs="仿宋_GB2312"/>
          <w:kern w:val="0"/>
          <w:szCs w:val="21"/>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2FB02EA6"/>
    <w:rsid w:val="5BB70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1824</Words>
  <Characters>1984</Characters>
  <Lines>0</Lines>
  <Paragraphs>0</Paragraphs>
  <TotalTime>2</TotalTime>
  <ScaleCrop>false</ScaleCrop>
  <LinksUpToDate>false</LinksUpToDate>
  <CharactersWithSpaces>2140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2025-05-22T01:40:00Z</dcterms:created>
  <dc:creator>lenovo</dc:creator>
  <cp:lastModifiedBy>黄惠东</cp:lastModifiedBy>
  <dcterms:modified xsi:type="dcterms:W3CDTF">2025-05-22T03:32:55Z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0CF1B78936344323AE4E19400CD11B43_12</vt:lpwstr>
  </property>
</Properties>
</file>