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imes New Roman" w:hAnsi="Times New Roman" w:eastAsia="宋体" w:cs="Times New Roman"/>
          <w:b/>
          <w:bCs/>
          <w:color w:val="auto"/>
          <w:kern w:val="44"/>
          <w:sz w:val="32"/>
          <w:szCs w:val="32"/>
          <w:lang w:val="en-US" w:eastAsia="zh-CN" w:bidi="ar-SA"/>
        </w:rPr>
      </w:pPr>
      <w:r>
        <w:rPr>
          <w:rFonts w:hint="eastAsia" w:ascii="Times New Roman" w:hAnsi="Times New Roman" w:eastAsia="宋体" w:cs="Times New Roman"/>
          <w:b/>
          <w:bCs/>
          <w:color w:val="auto"/>
          <w:kern w:val="44"/>
          <w:sz w:val="32"/>
          <w:szCs w:val="32"/>
          <w:lang w:val="en-US" w:eastAsia="zh-CN" w:bidi="ar-SA"/>
        </w:rPr>
        <w:t>货物类需求书</w:t>
      </w:r>
    </w:p>
    <w:p>
      <w:pPr>
        <w:autoSpaceDE w:val="0"/>
        <w:autoSpaceDN w:val="0"/>
        <w:adjustRightInd w:val="0"/>
        <w:spacing w:line="360" w:lineRule="auto"/>
        <w:jc w:val="left"/>
        <w:rPr>
          <w:rFonts w:hint="eastAsia" w:ascii="宋体" w:hAnsi="宋体" w:eastAsia="宋体" w:cs="宋体"/>
          <w:b/>
          <w:color w:val="auto"/>
          <w:kern w:val="0"/>
          <w:sz w:val="24"/>
          <w:szCs w:val="21"/>
        </w:rPr>
      </w:pPr>
      <w:r>
        <w:rPr>
          <w:rFonts w:hint="eastAsia" w:ascii="宋体" w:hAnsi="宋体" w:eastAsia="宋体" w:cs="宋体"/>
          <w:b/>
          <w:color w:val="auto"/>
          <w:kern w:val="0"/>
          <w:sz w:val="24"/>
          <w:szCs w:val="21"/>
        </w:rPr>
        <w:t>一、项目信息</w:t>
      </w:r>
    </w:p>
    <w:p>
      <w:pPr>
        <w:autoSpaceDE w:val="0"/>
        <w:autoSpaceDN w:val="0"/>
        <w:adjustRightInd w:val="0"/>
        <w:spacing w:line="360" w:lineRule="auto"/>
        <w:ind w:firstLine="480" w:firstLineChars="200"/>
        <w:jc w:val="left"/>
        <w:rPr>
          <w:rFonts w:hint="eastAsia" w:ascii="宋体" w:hAnsi="宋体" w:eastAsia="宋体" w:cs="宋体"/>
          <w:color w:val="auto"/>
          <w:kern w:val="0"/>
          <w:sz w:val="24"/>
          <w:szCs w:val="21"/>
          <w:lang w:val="en-US" w:eastAsia="zh-CN"/>
        </w:rPr>
      </w:pPr>
      <w:r>
        <w:rPr>
          <w:rFonts w:hint="eastAsia" w:ascii="宋体" w:hAnsi="宋体" w:eastAsia="宋体" w:cs="宋体"/>
          <w:color w:val="auto"/>
          <w:kern w:val="0"/>
          <w:sz w:val="24"/>
          <w:szCs w:val="21"/>
        </w:rPr>
        <w:t>1. 项目名称：东莞市寒溪河流域水质提升及排水管网提质增效项目(一期)第一阶段-大朗镇</w:t>
      </w:r>
      <w:r>
        <w:rPr>
          <w:rFonts w:hint="eastAsia" w:ascii="宋体" w:hAnsi="宋体" w:eastAsia="宋体" w:cs="宋体"/>
          <w:color w:val="auto"/>
          <w:kern w:val="0"/>
          <w:sz w:val="24"/>
          <w:szCs w:val="21"/>
          <w:lang w:val="en-US" w:eastAsia="zh-CN"/>
        </w:rPr>
        <w:t>剩余</w:t>
      </w:r>
      <w:r>
        <w:rPr>
          <w:rFonts w:hint="eastAsia" w:ascii="宋体" w:hAnsi="宋体" w:eastAsia="宋体" w:cs="宋体"/>
          <w:color w:val="auto"/>
          <w:kern w:val="0"/>
          <w:sz w:val="24"/>
          <w:szCs w:val="21"/>
        </w:rPr>
        <w:t>段焊接钢管采购项目</w:t>
      </w:r>
    </w:p>
    <w:p>
      <w:pPr>
        <w:autoSpaceDE w:val="0"/>
        <w:autoSpaceDN w:val="0"/>
        <w:adjustRightInd w:val="0"/>
        <w:spacing w:line="360" w:lineRule="auto"/>
        <w:jc w:val="left"/>
        <w:rPr>
          <w:rFonts w:hint="eastAsia" w:ascii="宋体" w:hAnsi="宋体" w:eastAsia="宋体" w:cs="宋体"/>
          <w:b/>
          <w:color w:val="auto"/>
          <w:kern w:val="0"/>
          <w:sz w:val="24"/>
          <w:szCs w:val="21"/>
        </w:rPr>
      </w:pPr>
      <w:r>
        <w:rPr>
          <w:rFonts w:hint="eastAsia" w:ascii="宋体" w:hAnsi="宋体" w:eastAsia="宋体" w:cs="宋体"/>
          <w:b/>
          <w:color w:val="auto"/>
          <w:kern w:val="0"/>
          <w:sz w:val="24"/>
          <w:szCs w:val="21"/>
          <w:lang w:val="en-US" w:eastAsia="zh-CN"/>
        </w:rPr>
        <w:t>二、</w:t>
      </w:r>
      <w:r>
        <w:rPr>
          <w:rFonts w:hint="eastAsia" w:ascii="宋体" w:hAnsi="宋体" w:eastAsia="宋体" w:cs="宋体"/>
          <w:b/>
          <w:color w:val="auto"/>
          <w:kern w:val="0"/>
          <w:sz w:val="24"/>
          <w:szCs w:val="21"/>
        </w:rPr>
        <w:t>货物采购需求</w:t>
      </w:r>
    </w:p>
    <w:p>
      <w:pPr>
        <w:autoSpaceDE w:val="0"/>
        <w:autoSpaceDN w:val="0"/>
        <w:adjustRightInd w:val="0"/>
        <w:spacing w:line="360" w:lineRule="auto"/>
        <w:ind w:firstLine="566" w:firstLineChars="236"/>
        <w:jc w:val="left"/>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采购货物情况，具体如下：</w:t>
      </w:r>
    </w:p>
    <w:tbl>
      <w:tblPr>
        <w:tblStyle w:val="5"/>
        <w:tblW w:w="10158"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476"/>
        <w:gridCol w:w="2389"/>
        <w:gridCol w:w="555"/>
        <w:gridCol w:w="1477"/>
        <w:gridCol w:w="1380"/>
        <w:gridCol w:w="2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6" w:type="dxa"/>
            <w:shd w:val="clear" w:color="auto" w:fill="auto"/>
            <w:noWrap/>
            <w:vAlign w:val="center"/>
          </w:tcPr>
          <w:p>
            <w:pPr>
              <w:widowControl/>
              <w:autoSpaceDE/>
              <w:autoSpaceDN/>
              <w:adjustRightInd/>
              <w:jc w:val="center"/>
              <w:rPr>
                <w:rFonts w:hint="eastAsia" w:ascii="宋体" w:hAnsi="宋体" w:eastAsia="宋体" w:cs="宋体"/>
                <w:b/>
                <w:bCs/>
                <w:color w:val="auto"/>
                <w:sz w:val="22"/>
                <w:szCs w:val="22"/>
              </w:rPr>
            </w:pPr>
            <w:r>
              <w:rPr>
                <w:rFonts w:hint="eastAsia" w:ascii="宋体" w:hAnsi="宋体" w:eastAsia="宋体" w:cs="宋体"/>
                <w:b/>
                <w:bCs/>
                <w:color w:val="auto"/>
                <w:sz w:val="22"/>
                <w:szCs w:val="22"/>
              </w:rPr>
              <w:t>序号</w:t>
            </w:r>
          </w:p>
        </w:tc>
        <w:tc>
          <w:tcPr>
            <w:tcW w:w="1476" w:type="dxa"/>
            <w:shd w:val="clear" w:color="auto" w:fill="auto"/>
            <w:noWrap/>
            <w:vAlign w:val="center"/>
          </w:tcPr>
          <w:p>
            <w:pPr>
              <w:widowControl/>
              <w:autoSpaceDE/>
              <w:autoSpaceDN/>
              <w:adjustRightInd/>
              <w:jc w:val="center"/>
              <w:rPr>
                <w:rFonts w:hint="eastAsia" w:ascii="宋体" w:hAnsi="宋体" w:eastAsia="宋体" w:cs="宋体"/>
                <w:b/>
                <w:bCs/>
                <w:color w:val="auto"/>
                <w:sz w:val="22"/>
                <w:szCs w:val="22"/>
              </w:rPr>
            </w:pPr>
            <w:r>
              <w:rPr>
                <w:rFonts w:hint="eastAsia" w:ascii="宋体" w:hAnsi="宋体" w:eastAsia="宋体" w:cs="宋体"/>
                <w:b/>
                <w:bCs/>
                <w:color w:val="auto"/>
                <w:sz w:val="22"/>
                <w:szCs w:val="22"/>
              </w:rPr>
              <w:t>采购物品名称</w:t>
            </w:r>
          </w:p>
        </w:tc>
        <w:tc>
          <w:tcPr>
            <w:tcW w:w="2389" w:type="dxa"/>
            <w:shd w:val="clear" w:color="auto" w:fill="auto"/>
            <w:noWrap/>
            <w:vAlign w:val="center"/>
          </w:tcPr>
          <w:p>
            <w:pPr>
              <w:widowControl/>
              <w:autoSpaceDE/>
              <w:autoSpaceDN/>
              <w:adjustRightInd/>
              <w:jc w:val="center"/>
              <w:rPr>
                <w:rFonts w:hint="eastAsia" w:ascii="宋体" w:hAnsi="宋体" w:eastAsia="宋体" w:cs="宋体"/>
                <w:b/>
                <w:bCs/>
                <w:color w:val="auto"/>
                <w:sz w:val="22"/>
                <w:szCs w:val="22"/>
              </w:rPr>
            </w:pPr>
            <w:r>
              <w:rPr>
                <w:rFonts w:hint="eastAsia" w:ascii="宋体" w:hAnsi="宋体" w:eastAsia="宋体" w:cs="宋体"/>
                <w:b/>
                <w:bCs/>
                <w:color w:val="auto"/>
                <w:sz w:val="22"/>
                <w:szCs w:val="22"/>
                <w:highlight w:val="none"/>
              </w:rPr>
              <w:t>规格要求</w:t>
            </w:r>
          </w:p>
        </w:tc>
        <w:tc>
          <w:tcPr>
            <w:tcW w:w="555" w:type="dxa"/>
            <w:shd w:val="clear" w:color="auto" w:fill="auto"/>
            <w:noWrap/>
            <w:vAlign w:val="center"/>
          </w:tcPr>
          <w:p>
            <w:pPr>
              <w:widowControl/>
              <w:autoSpaceDE/>
              <w:autoSpaceDN/>
              <w:adjustRightInd/>
              <w:jc w:val="center"/>
              <w:rPr>
                <w:rFonts w:hint="eastAsia" w:ascii="宋体" w:hAnsi="宋体" w:eastAsia="宋体" w:cs="宋体"/>
                <w:b/>
                <w:bCs/>
                <w:color w:val="auto"/>
                <w:sz w:val="22"/>
                <w:szCs w:val="22"/>
              </w:rPr>
            </w:pPr>
            <w:r>
              <w:rPr>
                <w:rFonts w:hint="eastAsia" w:ascii="宋体" w:hAnsi="宋体" w:eastAsia="宋体" w:cs="宋体"/>
                <w:b/>
                <w:bCs/>
                <w:color w:val="auto"/>
                <w:sz w:val="22"/>
                <w:szCs w:val="22"/>
              </w:rPr>
              <w:t>单位</w:t>
            </w:r>
          </w:p>
        </w:tc>
        <w:tc>
          <w:tcPr>
            <w:tcW w:w="1477" w:type="dxa"/>
            <w:shd w:val="clear" w:color="auto" w:fill="auto"/>
            <w:noWrap/>
            <w:vAlign w:val="center"/>
          </w:tcPr>
          <w:p>
            <w:pPr>
              <w:widowControl/>
              <w:autoSpaceDE/>
              <w:autoSpaceDN/>
              <w:adjustRightInd/>
              <w:jc w:val="center"/>
              <w:rPr>
                <w:rFonts w:hint="eastAsia" w:ascii="宋体" w:hAnsi="宋体" w:eastAsia="宋体" w:cs="宋体"/>
                <w:b/>
                <w:bCs/>
                <w:color w:val="auto"/>
                <w:sz w:val="22"/>
                <w:szCs w:val="22"/>
              </w:rPr>
            </w:pPr>
            <w:r>
              <w:rPr>
                <w:rFonts w:hint="eastAsia" w:ascii="宋体" w:hAnsi="宋体" w:eastAsia="宋体" w:cs="宋体"/>
                <w:b/>
                <w:bCs/>
                <w:color w:val="auto"/>
                <w:sz w:val="22"/>
                <w:szCs w:val="22"/>
              </w:rPr>
              <w:t>采购</w:t>
            </w:r>
            <w:r>
              <w:rPr>
                <w:rFonts w:hint="eastAsia" w:ascii="宋体" w:hAnsi="宋体" w:eastAsia="宋体" w:cs="宋体"/>
                <w:b/>
                <w:bCs/>
                <w:color w:val="auto"/>
                <w:sz w:val="22"/>
                <w:szCs w:val="22"/>
                <w:lang w:val="en-US" w:eastAsia="zh-CN"/>
              </w:rPr>
              <w:t>暂定</w:t>
            </w:r>
            <w:r>
              <w:rPr>
                <w:rFonts w:hint="eastAsia" w:ascii="宋体" w:hAnsi="宋体" w:eastAsia="宋体" w:cs="宋体"/>
                <w:b/>
                <w:bCs/>
                <w:color w:val="auto"/>
                <w:sz w:val="22"/>
                <w:szCs w:val="22"/>
              </w:rPr>
              <w:t>数量</w:t>
            </w:r>
          </w:p>
        </w:tc>
        <w:tc>
          <w:tcPr>
            <w:tcW w:w="1380" w:type="dxa"/>
            <w:shd w:val="clear" w:color="auto" w:fill="auto"/>
            <w:vAlign w:val="center"/>
          </w:tcPr>
          <w:p>
            <w:pPr>
              <w:widowControl/>
              <w:autoSpaceDE/>
              <w:autoSpaceDN/>
              <w:adjustRightInd/>
              <w:jc w:val="center"/>
              <w:rPr>
                <w:rFonts w:hint="eastAsia" w:ascii="宋体" w:hAnsi="宋体" w:eastAsia="宋体" w:cs="宋体"/>
                <w:b/>
                <w:bCs/>
                <w:color w:val="auto"/>
                <w:sz w:val="22"/>
                <w:szCs w:val="22"/>
                <w:lang w:val="en-US" w:eastAsia="zh-CN"/>
              </w:rPr>
            </w:pPr>
            <w:r>
              <w:rPr>
                <w:rFonts w:hint="eastAsia" w:ascii="宋体" w:hAnsi="宋体" w:eastAsia="宋体" w:cs="宋体"/>
                <w:b/>
                <w:bCs/>
                <w:color w:val="auto"/>
                <w:sz w:val="22"/>
                <w:szCs w:val="22"/>
                <w:lang w:val="en-US" w:eastAsia="zh-CN"/>
              </w:rPr>
              <w:t>区段</w:t>
            </w:r>
          </w:p>
        </w:tc>
        <w:tc>
          <w:tcPr>
            <w:tcW w:w="2185" w:type="dxa"/>
            <w:shd w:val="clear" w:color="auto" w:fill="auto"/>
            <w:vAlign w:val="center"/>
          </w:tcPr>
          <w:p>
            <w:pPr>
              <w:widowControl/>
              <w:autoSpaceDE/>
              <w:autoSpaceDN/>
              <w:adjustRightInd/>
              <w:jc w:val="center"/>
              <w:rPr>
                <w:rFonts w:hint="eastAsia" w:ascii="宋体" w:hAnsi="宋体" w:eastAsia="宋体" w:cs="宋体"/>
                <w:b/>
                <w:bCs/>
                <w:color w:val="auto"/>
                <w:sz w:val="22"/>
                <w:szCs w:val="22"/>
              </w:rPr>
            </w:pPr>
            <w:r>
              <w:rPr>
                <w:rFonts w:hint="eastAsia" w:ascii="宋体" w:hAnsi="宋体" w:eastAsia="宋体" w:cs="宋体"/>
                <w:b/>
                <w:bCs/>
                <w:color w:val="auto"/>
                <w:sz w:val="22"/>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69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47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2"/>
                <w:szCs w:val="22"/>
                <w:highlight w:val="none"/>
              </w:rPr>
              <w:t>焊接钢管（螺旋）</w:t>
            </w:r>
          </w:p>
        </w:tc>
        <w:tc>
          <w:tcPr>
            <w:tcW w:w="2389"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材质：Q235B               规格：DN600(D630x10mm) </w:t>
            </w:r>
          </w:p>
        </w:tc>
        <w:tc>
          <w:tcPr>
            <w:tcW w:w="5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477" w:type="dxa"/>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1500</w:t>
            </w:r>
          </w:p>
        </w:tc>
        <w:tc>
          <w:tcPr>
            <w:tcW w:w="138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yellow"/>
                <w:u w:val="none"/>
                <w:lang w:val="en-US" w:eastAsia="zh-CN" w:bidi="ar"/>
              </w:rPr>
            </w:pPr>
          </w:p>
        </w:tc>
        <w:tc>
          <w:tcPr>
            <w:tcW w:w="2185" w:type="dxa"/>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埋地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696" w:type="dxa"/>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147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焊接钢管（螺旋）</w:t>
            </w:r>
          </w:p>
        </w:tc>
        <w:tc>
          <w:tcPr>
            <w:tcW w:w="2389"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材质：Q235B               规格：DN400(D426x8mm)   </w:t>
            </w:r>
          </w:p>
        </w:tc>
        <w:tc>
          <w:tcPr>
            <w:tcW w:w="5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47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300</w:t>
            </w:r>
          </w:p>
        </w:tc>
        <w:tc>
          <w:tcPr>
            <w:tcW w:w="138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yellow"/>
                <w:u w:val="none"/>
                <w:lang w:val="en-US" w:eastAsia="zh-CN" w:bidi="ar"/>
              </w:rPr>
            </w:pPr>
          </w:p>
        </w:tc>
        <w:tc>
          <w:tcPr>
            <w:tcW w:w="218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埋地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696" w:type="dxa"/>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476"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焊接钢管（螺旋）</w:t>
            </w:r>
          </w:p>
        </w:tc>
        <w:tc>
          <w:tcPr>
            <w:tcW w:w="2389"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材质：Q235B               规格：DN400(D426x8mm)   </w:t>
            </w:r>
          </w:p>
        </w:tc>
        <w:tc>
          <w:tcPr>
            <w:tcW w:w="55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47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1380"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2185"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沿河挂管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10158" w:type="dxa"/>
            <w:gridSpan w:val="7"/>
            <w:shd w:val="clear" w:color="auto" w:fill="auto"/>
            <w:noWrap/>
            <w:vAlign w:val="center"/>
          </w:tcPr>
          <w:p>
            <w:pPr>
              <w:widowControl/>
              <w:autoSpaceDE/>
              <w:autoSpaceDN/>
              <w:adjustRightInd/>
              <w:jc w:val="left"/>
              <w:rPr>
                <w:rFonts w:hint="eastAsia" w:ascii="宋体" w:hAnsi="宋体" w:eastAsia="宋体" w:cs="宋体"/>
                <w:color w:val="auto"/>
                <w:lang w:val="en-US" w:eastAsia="zh-CN"/>
              </w:rPr>
            </w:pPr>
            <w:r>
              <w:rPr>
                <w:rFonts w:hint="eastAsia" w:ascii="宋体" w:hAnsi="宋体" w:eastAsia="宋体" w:cs="宋体"/>
                <w:color w:val="auto"/>
                <w:lang w:val="en-US" w:eastAsia="zh-CN"/>
              </w:rPr>
              <w:t>说明：</w:t>
            </w:r>
          </w:p>
          <w:p>
            <w:pPr>
              <w:widowControl/>
              <w:numPr>
                <w:ilvl w:val="0"/>
                <w:numId w:val="1"/>
              </w:numPr>
              <w:autoSpaceDE/>
              <w:autoSpaceDN/>
              <w:adjustRightInd/>
              <w:jc w:val="left"/>
              <w:rPr>
                <w:rFonts w:hint="eastAsia" w:ascii="宋体" w:hAnsi="宋体" w:eastAsia="宋体" w:cs="宋体"/>
                <w:sz w:val="22"/>
                <w:szCs w:val="22"/>
              </w:rPr>
            </w:pPr>
            <w:r>
              <w:rPr>
                <w:rFonts w:hint="eastAsia" w:ascii="宋体" w:hAnsi="宋体" w:eastAsia="宋体" w:cs="宋体"/>
                <w:color w:val="auto"/>
                <w:lang w:eastAsia="zh-CN"/>
              </w:rPr>
              <w:t>管道内防腐：管道内防腐采用液体环氧涂料内防腐做法,防腐处理前采用喷射除锈,除锈等级不低于SA2级,内表面经喷射处理后,应用清洁、干燥、无油的压缩空气将管道内的砂粒、尘埃、锈粉等微尘清除干净；表面处理后,液体环氧涂料内防腐等级为特加强级,干膜厚度&gt;450um；</w:t>
            </w:r>
          </w:p>
          <w:p>
            <w:pPr>
              <w:widowControl/>
              <w:numPr>
                <w:ilvl w:val="0"/>
                <w:numId w:val="1"/>
              </w:numPr>
              <w:autoSpaceDE/>
              <w:autoSpaceDN/>
              <w:adjustRightInd/>
              <w:jc w:val="left"/>
              <w:rPr>
                <w:rFonts w:hint="eastAsia" w:ascii="宋体" w:hAnsi="宋体" w:eastAsia="宋体" w:cs="宋体"/>
              </w:rPr>
            </w:pPr>
            <w:r>
              <w:rPr>
                <w:rFonts w:hint="eastAsia" w:ascii="宋体" w:hAnsi="宋体" w:eastAsia="宋体" w:cs="宋体"/>
                <w:color w:val="auto"/>
                <w:lang w:eastAsia="zh-CN"/>
              </w:rPr>
              <w:t>管道</w:t>
            </w:r>
            <w:r>
              <w:rPr>
                <w:rFonts w:hint="eastAsia" w:ascii="宋体" w:hAnsi="宋体" w:eastAsia="宋体" w:cs="宋体"/>
                <w:color w:val="auto"/>
                <w:lang w:val="en-US" w:eastAsia="zh-CN"/>
              </w:rPr>
              <w:t>外</w:t>
            </w:r>
            <w:r>
              <w:rPr>
                <w:rFonts w:hint="eastAsia" w:ascii="宋体" w:hAnsi="宋体" w:eastAsia="宋体" w:cs="宋体"/>
                <w:color w:val="auto"/>
                <w:lang w:eastAsia="zh-CN"/>
              </w:rPr>
              <w:t>防腐</w:t>
            </w:r>
          </w:p>
          <w:p>
            <w:pPr>
              <w:widowControl/>
              <w:numPr>
                <w:ilvl w:val="0"/>
                <w:numId w:val="2"/>
              </w:numPr>
              <w:autoSpaceDE/>
              <w:autoSpaceDN/>
              <w:adjustRightInd/>
              <w:jc w:val="left"/>
              <w:rPr>
                <w:rFonts w:hint="eastAsia" w:ascii="宋体" w:hAnsi="宋体" w:eastAsia="宋体" w:cs="宋体"/>
              </w:rPr>
            </w:pPr>
            <w:r>
              <w:rPr>
                <w:rFonts w:hint="eastAsia" w:ascii="宋体" w:hAnsi="宋体" w:eastAsia="宋体" w:cs="宋体"/>
                <w:sz w:val="22"/>
                <w:szCs w:val="22"/>
              </w:rPr>
              <w:t>埋地钢管及钢制管件:采用环氧煤沥青加强级防腐,防腐层结构为:底漆—面漆—面漆—玻璃布—面漆—面漆。做法详见《给水排水管道工程施工及验收规范》(GB50268-2008)5.4.4节；对于埋地的螺栓连接件,在做好防腐层后还需涂抹黄油并用纤维布包裹。</w:t>
            </w:r>
          </w:p>
          <w:p>
            <w:pPr>
              <w:widowControl/>
              <w:numPr>
                <w:ilvl w:val="0"/>
                <w:numId w:val="2"/>
              </w:numPr>
              <w:autoSpaceDE/>
              <w:autoSpaceDN/>
              <w:adjustRightInd/>
              <w:jc w:val="left"/>
              <w:rPr>
                <w:rFonts w:hint="eastAsia" w:ascii="宋体" w:hAnsi="宋体" w:eastAsia="宋体" w:cs="宋体"/>
              </w:rPr>
            </w:pPr>
            <w:r>
              <w:rPr>
                <w:rFonts w:hint="eastAsia" w:ascii="宋体" w:hAnsi="宋体" w:eastAsia="宋体" w:cs="宋体"/>
                <w:sz w:val="22"/>
                <w:szCs w:val="22"/>
              </w:rPr>
              <w:t>明设钢管、钢制管件及钢制件:镀锌钢管丝扣连接外露部分清理干净后刷红色醇酸防锈底漆二道,再刷银粉漆二道;未做沥青防腐的排水管表面除锈后刷红色醇酸防锈底漆二道,再刷银粉漆二道;已做沥青防腐的排水管,表面再刷银粉漆二道;对于焊接钢管钢制件(如支架、吊架等),要求外表除锈后,刷红色醇酸防锈底漆二道,再刷醇酸磁漆(面漆)二道,颜色为浅蓝、绿色或浅灰色。</w:t>
            </w:r>
          </w:p>
          <w:p>
            <w:pPr>
              <w:widowControl/>
              <w:numPr>
                <w:ilvl w:val="0"/>
                <w:numId w:val="2"/>
              </w:numPr>
              <w:autoSpaceDE/>
              <w:autoSpaceDN/>
              <w:adjustRightInd/>
              <w:jc w:val="left"/>
              <w:rPr>
                <w:rFonts w:hint="eastAsia" w:ascii="宋体" w:hAnsi="宋体" w:eastAsia="宋体" w:cs="宋体"/>
              </w:rPr>
            </w:pPr>
            <w:r>
              <w:rPr>
                <w:rFonts w:hint="eastAsia" w:ascii="宋体" w:hAnsi="宋体" w:eastAsia="宋体" w:cs="宋体"/>
                <w:sz w:val="22"/>
                <w:szCs w:val="22"/>
              </w:rPr>
              <w:t>浸泡于水中的钢管、钢制管件及钢制件:采用耐水防腐涂料,要求外表除锈后,均采用环氧煤沥青加强级防腐,防腐层结构为:底漆—面漆—面漆—玻璃布—面漆—面漆,做法详见《给水排水管道工程施工及验收规范》(GB50268-2008)5.4.4节。</w:t>
            </w:r>
          </w:p>
          <w:p>
            <w:pPr>
              <w:widowControl/>
              <w:numPr>
                <w:ilvl w:val="0"/>
                <w:numId w:val="2"/>
              </w:numPr>
              <w:autoSpaceDE/>
              <w:autoSpaceDN/>
              <w:adjustRightInd/>
              <w:jc w:val="left"/>
              <w:rPr>
                <w:rFonts w:hint="eastAsia" w:ascii="宋体" w:hAnsi="宋体" w:eastAsia="宋体" w:cs="宋体"/>
                <w:lang w:eastAsia="zh-CN"/>
              </w:rPr>
            </w:pPr>
            <w:r>
              <w:rPr>
                <w:rFonts w:hint="eastAsia" w:ascii="宋体" w:hAnsi="宋体" w:eastAsia="宋体" w:cs="宋体"/>
              </w:rPr>
              <w:t>钢</w:t>
            </w:r>
            <w:r>
              <w:rPr>
                <w:rFonts w:hint="eastAsia" w:ascii="宋体" w:hAnsi="宋体" w:eastAsia="宋体" w:cs="宋体"/>
                <w:sz w:val="22"/>
                <w:szCs w:val="22"/>
              </w:rPr>
              <w:t>管采用Q235B钢</w:t>
            </w:r>
            <w:r>
              <w:rPr>
                <w:rFonts w:hint="eastAsia" w:ascii="宋体" w:hAnsi="宋体" w:eastAsia="宋体" w:cs="宋体"/>
                <w:sz w:val="22"/>
                <w:szCs w:val="22"/>
                <w:lang w:eastAsia="zh-CN"/>
              </w:rPr>
              <w:t>，</w:t>
            </w:r>
            <w:r>
              <w:rPr>
                <w:rFonts w:hint="eastAsia" w:ascii="宋体" w:hAnsi="宋体" w:eastAsia="宋体" w:cs="宋体"/>
                <w:sz w:val="22"/>
                <w:szCs w:val="22"/>
              </w:rPr>
              <w:t>钢</w:t>
            </w:r>
            <w:r>
              <w:rPr>
                <w:rFonts w:hint="eastAsia" w:ascii="宋体" w:hAnsi="宋体" w:eastAsia="宋体" w:cs="宋体"/>
                <w:sz w:val="22"/>
                <w:szCs w:val="22"/>
                <w:lang w:eastAsia="zh-CN"/>
              </w:rPr>
              <w:t>管的钢材应</w:t>
            </w:r>
            <w:r>
              <w:rPr>
                <w:rFonts w:hint="eastAsia" w:ascii="宋体" w:hAnsi="宋体" w:eastAsia="宋体" w:cs="宋体"/>
                <w:sz w:val="22"/>
                <w:szCs w:val="22"/>
              </w:rPr>
              <w:t>按现行国家标准和规范保证抗拉强度、伸长率、屈服强度、冷夸实验和磺、硫、磷含量的陨值。钢材的屈服强度实测值与抗拉强度实测值的比值不应大于0.85;应有明显的属服合阶,且伸长率不应小于20%;</w:t>
            </w:r>
            <w:r>
              <w:rPr>
                <w:rFonts w:hint="eastAsia" w:ascii="宋体" w:hAnsi="宋体" w:eastAsia="宋体" w:cs="宋体"/>
                <w:sz w:val="22"/>
                <w:szCs w:val="22"/>
                <w:lang w:eastAsia="zh-CN"/>
              </w:rPr>
              <w:t>钢</w:t>
            </w:r>
            <w:r>
              <w:rPr>
                <w:rFonts w:hint="eastAsia" w:ascii="宋体" w:hAnsi="宋体" w:eastAsia="宋体" w:cs="宋体"/>
                <w:sz w:val="22"/>
                <w:szCs w:val="22"/>
              </w:rPr>
              <w:t>材应有良好的焊接性和合格的冲击韧性</w:t>
            </w:r>
            <w:r>
              <w:rPr>
                <w:rFonts w:hint="eastAsia" w:ascii="宋体" w:hAnsi="宋体" w:eastAsia="宋体" w:cs="宋体"/>
              </w:rPr>
              <w:t>。</w:t>
            </w:r>
          </w:p>
          <w:p>
            <w:pPr>
              <w:widowControl/>
              <w:numPr>
                <w:ilvl w:val="0"/>
                <w:numId w:val="0"/>
              </w:numPr>
              <w:autoSpaceDE/>
              <w:autoSpaceDN/>
              <w:adjustRightInd/>
              <w:jc w:val="left"/>
              <w:rPr>
                <w:rFonts w:hint="eastAsia" w:ascii="宋体" w:hAnsi="宋体" w:eastAsia="宋体" w:cs="宋体"/>
                <w:color w:val="auto"/>
                <w:lang w:val="en-US" w:eastAsia="zh-CN"/>
              </w:rPr>
            </w:pPr>
            <w:r>
              <w:rPr>
                <w:rFonts w:hint="eastAsia" w:ascii="宋体" w:hAnsi="宋体" w:eastAsia="宋体" w:cs="宋体"/>
                <w:color w:val="auto"/>
                <w:lang w:val="en-US" w:eastAsia="zh-CN"/>
              </w:rPr>
              <w:t>备注：</w:t>
            </w:r>
          </w:p>
          <w:p>
            <w:pPr>
              <w:widowControl/>
              <w:numPr>
                <w:ilvl w:val="0"/>
                <w:numId w:val="3"/>
              </w:numPr>
              <w:autoSpaceDE/>
              <w:autoSpaceDN/>
              <w:adjustRightInd/>
              <w:jc w:val="left"/>
              <w:rPr>
                <w:rFonts w:hint="eastAsia" w:ascii="宋体" w:hAnsi="宋体" w:eastAsia="宋体" w:cs="宋体"/>
                <w:color w:val="auto"/>
                <w:lang w:val="en-US" w:eastAsia="zh-CN"/>
              </w:rPr>
            </w:pPr>
            <w:r>
              <w:rPr>
                <w:rFonts w:hint="eastAsia" w:ascii="宋体" w:hAnsi="宋体" w:eastAsia="宋体" w:cs="宋体"/>
                <w:color w:val="auto"/>
                <w:lang w:val="en-US" w:eastAsia="zh-CN"/>
              </w:rPr>
              <w:t>供应商需提供相关的检测报告、合格证</w:t>
            </w:r>
          </w:p>
          <w:p>
            <w:pPr>
              <w:widowControl/>
              <w:numPr>
                <w:ilvl w:val="0"/>
                <w:numId w:val="3"/>
              </w:numPr>
              <w:autoSpaceDE/>
              <w:autoSpaceDN/>
              <w:adjustRightInd/>
              <w:jc w:val="left"/>
              <w:rPr>
                <w:rFonts w:hint="eastAsia" w:ascii="宋体" w:hAnsi="宋体" w:eastAsia="宋体" w:cs="宋体"/>
                <w:color w:val="auto"/>
                <w:lang w:val="en-US" w:eastAsia="zh-CN"/>
              </w:rPr>
            </w:pPr>
            <w:r>
              <w:rPr>
                <w:rFonts w:hint="eastAsia" w:ascii="宋体" w:hAnsi="宋体" w:eastAsia="宋体" w:cs="宋体"/>
                <w:color w:val="auto"/>
                <w:highlight w:val="none"/>
              </w:rPr>
              <w:t>本需求书的采购货物，需提供货物价款等额的、合法的、有效的增值税专用发票</w:t>
            </w:r>
          </w:p>
          <w:p>
            <w:pPr>
              <w:widowControl/>
              <w:numPr>
                <w:ilvl w:val="0"/>
                <w:numId w:val="0"/>
              </w:numPr>
              <w:autoSpaceDE/>
              <w:autoSpaceDN/>
              <w:adjustRightInd/>
              <w:jc w:val="left"/>
              <w:rPr>
                <w:rFonts w:hint="eastAsia" w:ascii="宋体" w:hAnsi="宋体" w:eastAsia="宋体" w:cs="宋体"/>
                <w:color w:val="auto"/>
                <w:lang w:val="en-US" w:eastAsia="zh-CN"/>
              </w:rPr>
            </w:pPr>
            <w:r>
              <w:rPr>
                <w:rFonts w:hint="eastAsia" w:ascii="宋体" w:hAnsi="宋体" w:eastAsia="宋体" w:cs="宋体"/>
                <w:color w:val="auto"/>
                <w:highlight w:val="none"/>
                <w:lang w:val="en-US" w:eastAsia="zh-CN"/>
              </w:rPr>
              <w:t>3、以上数量为暂定采购数量，以采购人实际下单为准</w:t>
            </w:r>
          </w:p>
        </w:tc>
      </w:tr>
    </w:tbl>
    <w:p>
      <w:pPr>
        <w:autoSpaceDE w:val="0"/>
        <w:autoSpaceDN w:val="0"/>
        <w:adjustRightInd w:val="0"/>
        <w:spacing w:line="360" w:lineRule="auto"/>
        <w:jc w:val="left"/>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三、交货要求</w:t>
      </w:r>
    </w:p>
    <w:p>
      <w:pPr>
        <w:widowControl/>
        <w:autoSpaceDE w:val="0"/>
        <w:autoSpaceDN w:val="0"/>
        <w:adjustRightInd w:val="0"/>
        <w:spacing w:line="360" w:lineRule="auto"/>
        <w:ind w:right="-172" w:rightChars="-82" w:firstLine="424" w:firstLineChars="177"/>
        <w:jc w:val="left"/>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1. 交货期：</w:t>
      </w:r>
      <w:r>
        <w:rPr>
          <w:rFonts w:hint="eastAsia" w:ascii="宋体" w:hAnsi="宋体" w:eastAsia="宋体" w:cs="宋体"/>
          <w:color w:val="auto"/>
          <w:kern w:val="0"/>
          <w:sz w:val="24"/>
          <w:szCs w:val="21"/>
          <w:highlight w:val="none"/>
          <w:lang w:val="en-US" w:eastAsia="zh-CN"/>
        </w:rPr>
        <w:t>2025年6月4</w:t>
      </w:r>
      <w:bookmarkStart w:id="0" w:name="_GoBack"/>
      <w:bookmarkEnd w:id="0"/>
      <w:r>
        <w:rPr>
          <w:rFonts w:hint="eastAsia" w:ascii="宋体" w:hAnsi="宋体" w:eastAsia="宋体" w:cs="宋体"/>
          <w:color w:val="auto"/>
          <w:kern w:val="0"/>
          <w:sz w:val="24"/>
          <w:szCs w:val="21"/>
          <w:highlight w:val="none"/>
          <w:lang w:val="en-US" w:eastAsia="zh-CN"/>
        </w:rPr>
        <w:t>日前到货</w:t>
      </w:r>
      <w:r>
        <w:rPr>
          <w:rFonts w:hint="eastAsia" w:ascii="宋体" w:hAnsi="宋体" w:eastAsia="宋体" w:cs="宋体"/>
          <w:color w:val="auto"/>
          <w:kern w:val="0"/>
          <w:sz w:val="24"/>
          <w:szCs w:val="21"/>
          <w:highlight w:val="none"/>
        </w:rPr>
        <w:t>，对于部分货源不充足需要订购的</w:t>
      </w:r>
      <w:r>
        <w:rPr>
          <w:rFonts w:hint="eastAsia" w:ascii="宋体" w:hAnsi="宋体" w:eastAsia="宋体" w:cs="宋体"/>
          <w:color w:val="auto"/>
          <w:kern w:val="0"/>
          <w:sz w:val="24"/>
          <w:szCs w:val="21"/>
          <w:highlight w:val="none"/>
          <w:lang w:eastAsia="zh-CN"/>
        </w:rPr>
        <w:t>材料</w:t>
      </w:r>
      <w:r>
        <w:rPr>
          <w:rFonts w:hint="eastAsia" w:ascii="宋体" w:hAnsi="宋体" w:eastAsia="宋体" w:cs="宋体"/>
          <w:color w:val="auto"/>
          <w:kern w:val="0"/>
          <w:sz w:val="24"/>
          <w:szCs w:val="21"/>
          <w:highlight w:val="none"/>
        </w:rPr>
        <w:t>，报价人需跟采购人进行沟通并经采购人同意后，可延长交货期。</w:t>
      </w:r>
    </w:p>
    <w:p>
      <w:pPr>
        <w:widowControl/>
        <w:autoSpaceDE w:val="0"/>
        <w:autoSpaceDN w:val="0"/>
        <w:adjustRightInd w:val="0"/>
        <w:spacing w:line="360" w:lineRule="auto"/>
        <w:ind w:right="-172" w:rightChars="-82" w:firstLine="424" w:firstLineChars="177"/>
        <w:jc w:val="left"/>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2. 交货地点：</w:t>
      </w:r>
    </w:p>
    <w:tbl>
      <w:tblPr>
        <w:tblStyle w:val="5"/>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324"/>
        <w:gridCol w:w="4280"/>
        <w:gridCol w:w="2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13" w:type="dxa"/>
            <w:noWrap/>
            <w:vAlign w:val="center"/>
          </w:tcPr>
          <w:p>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324" w:type="dxa"/>
            <w:vAlign w:val="center"/>
          </w:tcPr>
          <w:p>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交货地点</w:t>
            </w:r>
          </w:p>
        </w:tc>
        <w:tc>
          <w:tcPr>
            <w:tcW w:w="4280" w:type="dxa"/>
            <w:vAlign w:val="center"/>
          </w:tcPr>
          <w:p>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详细地址</w:t>
            </w:r>
          </w:p>
        </w:tc>
        <w:tc>
          <w:tcPr>
            <w:tcW w:w="2467" w:type="dxa"/>
            <w:vAlign w:val="center"/>
          </w:tcPr>
          <w:p>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13" w:type="dxa"/>
            <w:shd w:val="clear" w:color="auto" w:fill="auto"/>
            <w:noWrap/>
            <w:vAlign w:val="center"/>
          </w:tcPr>
          <w:p>
            <w:pPr>
              <w:widowControl/>
              <w:jc w:val="center"/>
              <w:rPr>
                <w:rFonts w:hint="eastAsia" w:ascii="宋体" w:hAnsi="宋体" w:eastAsia="宋体" w:cs="宋体"/>
                <w:color w:val="FF0000"/>
                <w:szCs w:val="21"/>
                <w:highlight w:val="none"/>
              </w:rPr>
            </w:pPr>
            <w:r>
              <w:rPr>
                <w:rFonts w:hint="eastAsia" w:ascii="宋体" w:hAnsi="宋体" w:eastAsia="宋体" w:cs="宋体"/>
                <w:color w:val="auto"/>
                <w:szCs w:val="21"/>
              </w:rPr>
              <w:t>1</w:t>
            </w:r>
          </w:p>
        </w:tc>
        <w:tc>
          <w:tcPr>
            <w:tcW w:w="1324" w:type="dxa"/>
            <w:tcBorders>
              <w:right w:val="single" w:color="auto" w:sz="4" w:space="0"/>
            </w:tcBorders>
            <w:shd w:val="clear" w:color="auto" w:fill="auto"/>
            <w:vAlign w:val="center"/>
          </w:tcPr>
          <w:p>
            <w:pPr>
              <w:widowControl/>
              <w:jc w:val="center"/>
              <w:rPr>
                <w:rFonts w:hint="eastAsia" w:ascii="宋体" w:hAnsi="宋体" w:eastAsia="宋体" w:cs="宋体"/>
                <w:color w:val="FF0000"/>
                <w:szCs w:val="21"/>
                <w:highlight w:val="none"/>
                <w:lang w:val="en-US"/>
              </w:rPr>
            </w:pPr>
            <w:r>
              <w:rPr>
                <w:rFonts w:hint="eastAsia" w:ascii="宋体" w:hAnsi="宋体" w:eastAsia="宋体" w:cs="宋体"/>
                <w:color w:val="auto"/>
                <w:szCs w:val="21"/>
                <w:lang w:val="en-US" w:eastAsia="zh-CN"/>
              </w:rPr>
              <w:t>东莞大朗镇</w:t>
            </w:r>
          </w:p>
        </w:tc>
        <w:tc>
          <w:tcPr>
            <w:tcW w:w="4280" w:type="dxa"/>
            <w:shd w:val="clear" w:color="auto" w:fill="auto"/>
            <w:vAlign w:val="center"/>
          </w:tcPr>
          <w:p>
            <w:pPr>
              <w:widowControl/>
              <w:tabs>
                <w:tab w:val="left" w:pos="669"/>
              </w:tabs>
              <w:jc w:val="center"/>
              <w:rPr>
                <w:rFonts w:hint="eastAsia" w:ascii="宋体" w:hAnsi="宋体" w:eastAsia="宋体" w:cs="宋体"/>
                <w:color w:val="FF0000"/>
                <w:szCs w:val="21"/>
                <w:highlight w:val="none"/>
                <w:lang w:val="en-US" w:eastAsia="zh-CN"/>
              </w:rPr>
            </w:pPr>
            <w:r>
              <w:rPr>
                <w:rFonts w:hint="eastAsia" w:ascii="宋体" w:hAnsi="宋体" w:eastAsia="宋体" w:cs="宋体"/>
                <w:b w:val="0"/>
                <w:bCs w:val="0"/>
                <w:color w:val="auto"/>
                <w:sz w:val="24"/>
                <w:szCs w:val="24"/>
                <w:lang w:val="en-US" w:eastAsia="zh-CN"/>
              </w:rPr>
              <w:t>/</w:t>
            </w:r>
          </w:p>
        </w:tc>
        <w:tc>
          <w:tcPr>
            <w:tcW w:w="2467" w:type="dxa"/>
            <w:shd w:val="clear" w:color="auto" w:fill="auto"/>
            <w:vAlign w:val="center"/>
          </w:tcPr>
          <w:p>
            <w:pPr>
              <w:widowControl/>
              <w:jc w:val="center"/>
              <w:rPr>
                <w:rFonts w:hint="eastAsia" w:ascii="宋体" w:hAnsi="宋体" w:eastAsia="宋体" w:cs="宋体"/>
                <w:color w:val="FF0000"/>
                <w:szCs w:val="21"/>
                <w:highlight w:val="none"/>
                <w:lang w:val="en-US" w:eastAsia="zh-CN"/>
              </w:rPr>
            </w:pPr>
            <w:r>
              <w:rPr>
                <w:rFonts w:hint="eastAsia" w:ascii="宋体" w:hAnsi="宋体" w:eastAsia="宋体" w:cs="宋体"/>
                <w:b w:val="0"/>
                <w:bCs w:val="0"/>
                <w:color w:val="auto"/>
                <w:sz w:val="24"/>
                <w:szCs w:val="24"/>
                <w:lang w:val="en-US" w:eastAsia="zh-CN"/>
              </w:rPr>
              <w:t>/</w:t>
            </w:r>
          </w:p>
        </w:tc>
      </w:tr>
    </w:tbl>
    <w:p>
      <w:pPr>
        <w:pStyle w:val="2"/>
        <w:keepNext w:val="0"/>
        <w:keepLines w:val="0"/>
        <w:pageBreakBefore w:val="0"/>
        <w:widowControl/>
        <w:shd w:val="clear" w:color="auto"/>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2.1在货物移交给采购人并经采购人验收合格前，货物的损耗、毁损、灭失的风险和责任均由供应商自行承担。</w:t>
      </w:r>
    </w:p>
    <w:p>
      <w:pPr>
        <w:pStyle w:val="2"/>
        <w:keepNext w:val="0"/>
        <w:keepLines w:val="0"/>
        <w:pageBreakBefore w:val="0"/>
        <w:widowControl/>
        <w:shd w:val="clear" w:color="auto"/>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 xml:space="preserve">2.2 </w:t>
      </w:r>
      <w:r>
        <w:rPr>
          <w:rFonts w:hint="eastAsia" w:ascii="宋体" w:hAnsi="宋体" w:eastAsia="宋体" w:cs="宋体"/>
          <w:b w:val="0"/>
          <w:bCs w:val="0"/>
          <w:color w:val="auto"/>
          <w:kern w:val="0"/>
          <w:sz w:val="24"/>
          <w:szCs w:val="21"/>
          <w:highlight w:val="none"/>
        </w:rPr>
        <w:t>供货数量超过本合同数量10%时，</w:t>
      </w:r>
      <w:r>
        <w:rPr>
          <w:rFonts w:hint="eastAsia" w:ascii="宋体" w:hAnsi="宋体" w:eastAsia="宋体" w:cs="宋体"/>
          <w:b w:val="0"/>
          <w:bCs w:val="0"/>
          <w:color w:val="auto"/>
          <w:kern w:val="0"/>
          <w:sz w:val="24"/>
          <w:szCs w:val="21"/>
          <w:highlight w:val="none"/>
          <w:lang w:val="en-US" w:eastAsia="zh-CN"/>
        </w:rPr>
        <w:t>供方</w:t>
      </w:r>
      <w:r>
        <w:rPr>
          <w:rFonts w:hint="eastAsia" w:ascii="宋体" w:hAnsi="宋体" w:eastAsia="宋体" w:cs="宋体"/>
          <w:b w:val="0"/>
          <w:bCs w:val="0"/>
          <w:color w:val="auto"/>
          <w:kern w:val="0"/>
          <w:sz w:val="24"/>
          <w:szCs w:val="21"/>
          <w:highlight w:val="none"/>
        </w:rPr>
        <w:t>应当书面通知</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项目部并及时报</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成本部进行确认和审核，经</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成本部核准后方可供货，否则，</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对于超额供货的不予确认和支付货款，一切责任由</w:t>
      </w:r>
      <w:r>
        <w:rPr>
          <w:rFonts w:hint="eastAsia" w:ascii="宋体" w:hAnsi="宋体" w:eastAsia="宋体" w:cs="宋体"/>
          <w:b w:val="0"/>
          <w:bCs w:val="0"/>
          <w:color w:val="auto"/>
          <w:kern w:val="0"/>
          <w:sz w:val="24"/>
          <w:szCs w:val="21"/>
          <w:highlight w:val="none"/>
          <w:lang w:val="en-US" w:eastAsia="zh-CN"/>
        </w:rPr>
        <w:t>供方</w:t>
      </w:r>
      <w:r>
        <w:rPr>
          <w:rFonts w:hint="eastAsia" w:ascii="宋体" w:hAnsi="宋体" w:eastAsia="宋体" w:cs="宋体"/>
          <w:b w:val="0"/>
          <w:bCs w:val="0"/>
          <w:color w:val="auto"/>
          <w:kern w:val="0"/>
          <w:sz w:val="24"/>
          <w:szCs w:val="21"/>
          <w:highlight w:val="none"/>
        </w:rPr>
        <w:t>自行承担</w:t>
      </w:r>
      <w:r>
        <w:rPr>
          <w:rFonts w:hint="eastAsia" w:ascii="宋体" w:hAnsi="宋体" w:eastAsia="宋体" w:cs="宋体"/>
          <w:b w:val="0"/>
          <w:bCs w:val="0"/>
          <w:color w:val="auto"/>
          <w:kern w:val="0"/>
          <w:sz w:val="24"/>
          <w:szCs w:val="21"/>
          <w:highlight w:val="none"/>
          <w:lang w:val="en-US" w:eastAsia="zh-CN" w:bidi="ar-SA"/>
        </w:rPr>
        <w:t>。</w:t>
      </w:r>
    </w:p>
    <w:p>
      <w:pPr>
        <w:keepNext w:val="0"/>
        <w:keepLines w:val="0"/>
        <w:pageBreakBefore w:val="0"/>
        <w:kinsoku/>
        <w:wordWrap/>
        <w:overflowPunct/>
        <w:topLinePunct w:val="0"/>
        <w:bidi w:val="0"/>
        <w:snapToGrid/>
        <w:spacing w:line="360" w:lineRule="auto"/>
        <w:ind w:firstLine="48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2.3交货联系人：周智强；联系电话：18316021628。</w:t>
      </w:r>
    </w:p>
    <w:p>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四、技术要求</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1.满足国家、行业及地方技术规程、规范要求</w:t>
      </w:r>
    </w:p>
    <w:p>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五、质量与验收要求</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 xml:space="preserve">1.供方所供货物须符合国家现行有效的法律法规、行业规范及相关的质量标准并达到使用要求。 </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供方提供的货物必须是原厂生产的、非组装的、全新的、未使用过的货物（含零部件、配件、随机工具等），随机配备的所有配件必须为原厂原配，表面无划伤、无碰撞的痕迹。有原厂包装的，应附有合格证、货物出厂质量合格证明书、技术说明等；如是加工制品应当按采购清单材料要求制作，提供相关材料的合格证、货物出厂质量合格证明书等相关证明资料，按国家相关法律法规的规定提供加工制品的出厂检验、检测报告等相关证明资料。</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3.供方提供的货物运输到达交货地点时的包装必须是完整的，由采购方签收后方可拆包安装。</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4.供方提供的货物保障须按备件出厂的标准包装，但应考虑到防漏、防潮、防震、防盗和可能会发生的野蛮装卸等运输及多次装卸之需要。货物开箱后，如采购方发现有任何质量问题（如外观有损伤），供方必须立即以同样型号的货物在采购方限定的时间内更换。</w:t>
      </w:r>
    </w:p>
    <w:p>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六、质保期要求</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val="0"/>
          <w:bCs w:val="0"/>
          <w:color w:val="auto"/>
          <w:kern w:val="0"/>
          <w:sz w:val="24"/>
          <w:szCs w:val="21"/>
          <w:highlight w:val="none"/>
          <w:lang w:val="en-US" w:eastAsia="zh-CN" w:bidi="ar-SA"/>
        </w:rPr>
        <w:t>质保期为自验收合格之日起</w:t>
      </w:r>
      <w:r>
        <w:rPr>
          <w:rFonts w:hint="eastAsia" w:ascii="宋体" w:hAnsi="宋体" w:eastAsia="宋体" w:cs="宋体"/>
          <w:b w:val="0"/>
          <w:bCs w:val="0"/>
          <w:color w:val="auto"/>
          <w:kern w:val="0"/>
          <w:sz w:val="24"/>
          <w:szCs w:val="21"/>
          <w:highlight w:val="none"/>
          <w:u w:val="single"/>
          <w:lang w:val="en-US" w:eastAsia="zh-CN" w:bidi="ar-SA"/>
        </w:rPr>
        <w:t xml:space="preserve">   /   </w:t>
      </w:r>
      <w:r>
        <w:rPr>
          <w:rFonts w:hint="eastAsia" w:ascii="宋体" w:hAnsi="宋体" w:eastAsia="宋体" w:cs="宋体"/>
          <w:b w:val="0"/>
          <w:bCs w:val="0"/>
          <w:color w:val="auto"/>
          <w:kern w:val="0"/>
          <w:sz w:val="24"/>
          <w:szCs w:val="21"/>
          <w:highlight w:val="none"/>
          <w:lang w:val="en-US" w:eastAsia="zh-CN" w:bidi="ar-SA"/>
        </w:rPr>
        <w:t>年，自验收合格之日起计算。</w:t>
      </w:r>
    </w:p>
    <w:p>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七、报价及款项支付</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1.费用范围</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本项目报价已包括但不限于货品标的物的售价、税费、运输费、运输中的损耗费用、装车费及交收前保管等所有费用。</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2.付款方式</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2.1本合同下所有款项均使用人民币支付。</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2.2付款方式为：</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（1）预付款：本项目没有预付款；</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color w:val="auto"/>
          <w:kern w:val="0"/>
          <w:sz w:val="24"/>
          <w:szCs w:val="21"/>
          <w:highlight w:val="none"/>
        </w:rPr>
        <w:t>（2）按月结算支付：货物经采购人验收合格后，采购人按供货进度支付上月实际验收合格供货量的款项。供方按采购人要求提交请款报告等资料及与上月实际验收合格后的货物价款等额的、合法的、有效的增值税专用发票，采购人在收到前述材料并确认无误后15个工作日内支付结算上月实际验收合格供货量对应款项的100%。</w:t>
      </w:r>
    </w:p>
    <w:p>
      <w:pPr>
        <w:spacing w:line="356" w:lineRule="exact"/>
        <w:rPr>
          <w:rFonts w:hint="eastAsia" w:ascii="Times New Roman" w:hAnsi="Times New Roman" w:eastAsia="宋体" w:cs="Times New Roman"/>
          <w:b w:val="0"/>
          <w:bCs w:val="0"/>
          <w:color w:val="auto"/>
          <w:kern w:val="0"/>
          <w:sz w:val="24"/>
          <w:szCs w:val="21"/>
          <w:highlight w:val="none"/>
          <w:lang w:val="en-US" w:eastAsia="zh-CN" w:bidi="ar-SA"/>
        </w:rPr>
      </w:pPr>
    </w:p>
    <w:p>
      <w:pPr>
        <w:rPr>
          <w:color w:val="auto"/>
          <w:highlight w:val="none"/>
        </w:rPr>
      </w:pPr>
    </w:p>
    <w:p>
      <w:pPr>
        <w:rPr>
          <w:color w:val="auto"/>
          <w:highlight w:val="none"/>
        </w:rPr>
      </w:pPr>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-36195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2.85pt;height:144pt;width:144pt;mso-position-horizontal:center;mso-position-horizontal-relative:margin;mso-wrap-style:none;z-index:251659264;mso-width-relative:page;mso-height-relative:page;" filled="f" stroked="f" coordsize="21600,21600" o:gfxdata="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IcAetUAAAAHAQAADwAAAAAAAAABACAAAAAiAAAAZHJzL2Rvd25yZXYueG1sUEsBAhQAFAAA&#10;AAgAh07iQAVhjD8rAgAAVQQAAA4AAAAAAAAAAQAgAAAAJAEAAGRycy9lMm9Eb2MueG1sUEsFBgAA&#10;AAAGAAYAWQEAAMEFAAAAAA==&#10;">
              <v:fill on="f" focussize="0,0"/>
              <v:stroke on="f" weight="0.5pt"/>
              <v:imagedata o:title=""/>
              <o:lock v:ext="edit" aspectratio="f"/>
              <v:textbox inset="0mm,0mm,0mm,0mm" style="mso-fit-shape-to-text:t;">
                <w:txbxContent>
                  <w:p>
                    <w:pPr>
                      <w:pStyle w:val="3"/>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3DD4A1"/>
    <w:multiLevelType w:val="singleLevel"/>
    <w:tmpl w:val="F43DD4A1"/>
    <w:lvl w:ilvl="0" w:tentative="0">
      <w:start w:val="1"/>
      <w:numFmt w:val="decimal"/>
      <w:suff w:val="nothing"/>
      <w:lvlText w:val="%1、"/>
      <w:lvlJc w:val="left"/>
    </w:lvl>
  </w:abstractNum>
  <w:abstractNum w:abstractNumId="1">
    <w:nsid w:val="F5FFFF5D"/>
    <w:multiLevelType w:val="singleLevel"/>
    <w:tmpl w:val="F5FFFF5D"/>
    <w:lvl w:ilvl="0" w:tentative="0">
      <w:start w:val="1"/>
      <w:numFmt w:val="decimal"/>
      <w:suff w:val="nothing"/>
      <w:lvlText w:val="%1、"/>
      <w:lvlJc w:val="left"/>
    </w:lvl>
  </w:abstractNum>
  <w:abstractNum w:abstractNumId="2">
    <w:nsid w:val="5B342744"/>
    <w:multiLevelType w:val="singleLevel"/>
    <w:tmpl w:val="5B342744"/>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4D8643E0"/>
    <w:rsid w:val="01222723"/>
    <w:rsid w:val="01390BCC"/>
    <w:rsid w:val="017D7220"/>
    <w:rsid w:val="01D9415D"/>
    <w:rsid w:val="028265A2"/>
    <w:rsid w:val="02D7069C"/>
    <w:rsid w:val="03C350C4"/>
    <w:rsid w:val="03EC461B"/>
    <w:rsid w:val="04A53192"/>
    <w:rsid w:val="04AE367F"/>
    <w:rsid w:val="05763A35"/>
    <w:rsid w:val="05882A67"/>
    <w:rsid w:val="06023C82"/>
    <w:rsid w:val="0667442D"/>
    <w:rsid w:val="070B125C"/>
    <w:rsid w:val="07B90CB8"/>
    <w:rsid w:val="087C2EA8"/>
    <w:rsid w:val="08C77405"/>
    <w:rsid w:val="09652EA6"/>
    <w:rsid w:val="09FC30DE"/>
    <w:rsid w:val="0B6B22C9"/>
    <w:rsid w:val="0BD75BB1"/>
    <w:rsid w:val="0BEB6F66"/>
    <w:rsid w:val="0C2A3F33"/>
    <w:rsid w:val="0D70006B"/>
    <w:rsid w:val="0DAD5C2D"/>
    <w:rsid w:val="0DC857B1"/>
    <w:rsid w:val="0E060087"/>
    <w:rsid w:val="0E4A08BC"/>
    <w:rsid w:val="0F60262E"/>
    <w:rsid w:val="0F880A70"/>
    <w:rsid w:val="103A226A"/>
    <w:rsid w:val="10B60D4A"/>
    <w:rsid w:val="10C5247C"/>
    <w:rsid w:val="115F467E"/>
    <w:rsid w:val="116B779F"/>
    <w:rsid w:val="11852C58"/>
    <w:rsid w:val="11AB3D34"/>
    <w:rsid w:val="12274A70"/>
    <w:rsid w:val="128F4AEF"/>
    <w:rsid w:val="12993BC0"/>
    <w:rsid w:val="12F157AA"/>
    <w:rsid w:val="135B0E75"/>
    <w:rsid w:val="139879D4"/>
    <w:rsid w:val="13B16360"/>
    <w:rsid w:val="13DC1FB6"/>
    <w:rsid w:val="13E26EA1"/>
    <w:rsid w:val="1461426A"/>
    <w:rsid w:val="14671706"/>
    <w:rsid w:val="147070BD"/>
    <w:rsid w:val="148443FC"/>
    <w:rsid w:val="1528122B"/>
    <w:rsid w:val="1585667E"/>
    <w:rsid w:val="15915022"/>
    <w:rsid w:val="159863B1"/>
    <w:rsid w:val="15F31839"/>
    <w:rsid w:val="168626AD"/>
    <w:rsid w:val="17C23271"/>
    <w:rsid w:val="188E3A9B"/>
    <w:rsid w:val="18FF3A3A"/>
    <w:rsid w:val="190A3122"/>
    <w:rsid w:val="191E097B"/>
    <w:rsid w:val="19B7465C"/>
    <w:rsid w:val="19F142E2"/>
    <w:rsid w:val="1A1B4EBB"/>
    <w:rsid w:val="1A5F56EF"/>
    <w:rsid w:val="1AFA0F74"/>
    <w:rsid w:val="1C6C7C4F"/>
    <w:rsid w:val="1C735482"/>
    <w:rsid w:val="1C9B548E"/>
    <w:rsid w:val="1CF77E61"/>
    <w:rsid w:val="1D3A5FA0"/>
    <w:rsid w:val="1F130856"/>
    <w:rsid w:val="1F43738D"/>
    <w:rsid w:val="1FDA5F4A"/>
    <w:rsid w:val="203B2D6E"/>
    <w:rsid w:val="20625416"/>
    <w:rsid w:val="207C615F"/>
    <w:rsid w:val="207D242B"/>
    <w:rsid w:val="20DD2ECA"/>
    <w:rsid w:val="20FD531A"/>
    <w:rsid w:val="2298179E"/>
    <w:rsid w:val="234F5BD5"/>
    <w:rsid w:val="23C87E61"/>
    <w:rsid w:val="2426102C"/>
    <w:rsid w:val="24BA5227"/>
    <w:rsid w:val="25F018F1"/>
    <w:rsid w:val="26591245"/>
    <w:rsid w:val="268C2428"/>
    <w:rsid w:val="26C62652"/>
    <w:rsid w:val="27392E24"/>
    <w:rsid w:val="277A3B68"/>
    <w:rsid w:val="27E86D24"/>
    <w:rsid w:val="28001620"/>
    <w:rsid w:val="29471828"/>
    <w:rsid w:val="2A05072C"/>
    <w:rsid w:val="2A420242"/>
    <w:rsid w:val="2A6B1546"/>
    <w:rsid w:val="2B3B360F"/>
    <w:rsid w:val="2B685CAD"/>
    <w:rsid w:val="2BD63337"/>
    <w:rsid w:val="2BFC0FF0"/>
    <w:rsid w:val="2C016606"/>
    <w:rsid w:val="2C131E96"/>
    <w:rsid w:val="2C907843"/>
    <w:rsid w:val="2EC40ADD"/>
    <w:rsid w:val="2FE75B13"/>
    <w:rsid w:val="2FF43998"/>
    <w:rsid w:val="30662EDC"/>
    <w:rsid w:val="30A6777C"/>
    <w:rsid w:val="30C857FB"/>
    <w:rsid w:val="315216B2"/>
    <w:rsid w:val="317F3B29"/>
    <w:rsid w:val="31853836"/>
    <w:rsid w:val="32211D5F"/>
    <w:rsid w:val="341113B0"/>
    <w:rsid w:val="349D49F2"/>
    <w:rsid w:val="34CF3FD2"/>
    <w:rsid w:val="35F431F3"/>
    <w:rsid w:val="36372C24"/>
    <w:rsid w:val="36D05553"/>
    <w:rsid w:val="37D03331"/>
    <w:rsid w:val="37F24828"/>
    <w:rsid w:val="3828316D"/>
    <w:rsid w:val="382F44FB"/>
    <w:rsid w:val="3836588A"/>
    <w:rsid w:val="384D5520"/>
    <w:rsid w:val="39184F8F"/>
    <w:rsid w:val="398D772B"/>
    <w:rsid w:val="39E76710"/>
    <w:rsid w:val="3B3140E6"/>
    <w:rsid w:val="3B8561E0"/>
    <w:rsid w:val="3BE70C49"/>
    <w:rsid w:val="3C036812"/>
    <w:rsid w:val="3CBB2F57"/>
    <w:rsid w:val="3CC66AB0"/>
    <w:rsid w:val="3D0A4BEF"/>
    <w:rsid w:val="3D0F7C19"/>
    <w:rsid w:val="3DC01751"/>
    <w:rsid w:val="3E173926"/>
    <w:rsid w:val="3E704F26"/>
    <w:rsid w:val="3E7F33BB"/>
    <w:rsid w:val="3EAA7E28"/>
    <w:rsid w:val="3F0868D9"/>
    <w:rsid w:val="3F454604"/>
    <w:rsid w:val="3F980BD8"/>
    <w:rsid w:val="402C30CE"/>
    <w:rsid w:val="40AF442B"/>
    <w:rsid w:val="40CA3013"/>
    <w:rsid w:val="415C79E3"/>
    <w:rsid w:val="418A09F4"/>
    <w:rsid w:val="41BE41FA"/>
    <w:rsid w:val="42772D26"/>
    <w:rsid w:val="427B2F05"/>
    <w:rsid w:val="42C426E2"/>
    <w:rsid w:val="432F1853"/>
    <w:rsid w:val="436F39FE"/>
    <w:rsid w:val="439C056B"/>
    <w:rsid w:val="44B518E4"/>
    <w:rsid w:val="44DE708D"/>
    <w:rsid w:val="452E274E"/>
    <w:rsid w:val="45FE550D"/>
    <w:rsid w:val="466871EB"/>
    <w:rsid w:val="46A77952"/>
    <w:rsid w:val="46AE6F33"/>
    <w:rsid w:val="46E22739"/>
    <w:rsid w:val="470B7EE1"/>
    <w:rsid w:val="474E7DCE"/>
    <w:rsid w:val="47D429C9"/>
    <w:rsid w:val="48284AC3"/>
    <w:rsid w:val="48403BBB"/>
    <w:rsid w:val="48A04659"/>
    <w:rsid w:val="491237A9"/>
    <w:rsid w:val="492E435B"/>
    <w:rsid w:val="4956761B"/>
    <w:rsid w:val="495711BC"/>
    <w:rsid w:val="49BC1967"/>
    <w:rsid w:val="49C01457"/>
    <w:rsid w:val="49D2118A"/>
    <w:rsid w:val="49F033BE"/>
    <w:rsid w:val="4A4E6A63"/>
    <w:rsid w:val="4A7162AD"/>
    <w:rsid w:val="4A934476"/>
    <w:rsid w:val="4B02784D"/>
    <w:rsid w:val="4B6D5CAC"/>
    <w:rsid w:val="4B8464B4"/>
    <w:rsid w:val="4BF57772"/>
    <w:rsid w:val="4CD15729"/>
    <w:rsid w:val="4CFB27A6"/>
    <w:rsid w:val="4D8643E0"/>
    <w:rsid w:val="4DB0533F"/>
    <w:rsid w:val="4EA964BB"/>
    <w:rsid w:val="4EB430EA"/>
    <w:rsid w:val="4F4B70A3"/>
    <w:rsid w:val="4F8B6063"/>
    <w:rsid w:val="4FA03191"/>
    <w:rsid w:val="4FAE12B9"/>
    <w:rsid w:val="502A41CA"/>
    <w:rsid w:val="5068396C"/>
    <w:rsid w:val="50AD025B"/>
    <w:rsid w:val="50BE4216"/>
    <w:rsid w:val="50E27F05"/>
    <w:rsid w:val="5137763B"/>
    <w:rsid w:val="514B42EC"/>
    <w:rsid w:val="518E62F0"/>
    <w:rsid w:val="51906187"/>
    <w:rsid w:val="522602C5"/>
    <w:rsid w:val="529214B7"/>
    <w:rsid w:val="5298268A"/>
    <w:rsid w:val="52C75604"/>
    <w:rsid w:val="53D77AC9"/>
    <w:rsid w:val="54065CB8"/>
    <w:rsid w:val="54F75F49"/>
    <w:rsid w:val="55180399"/>
    <w:rsid w:val="55BB2AD2"/>
    <w:rsid w:val="55CC4CE0"/>
    <w:rsid w:val="56503B63"/>
    <w:rsid w:val="5714645E"/>
    <w:rsid w:val="58353010"/>
    <w:rsid w:val="5870229A"/>
    <w:rsid w:val="588B70D4"/>
    <w:rsid w:val="5909243F"/>
    <w:rsid w:val="590E560F"/>
    <w:rsid w:val="592117E6"/>
    <w:rsid w:val="595A2602"/>
    <w:rsid w:val="59F36A3B"/>
    <w:rsid w:val="5A031FF5"/>
    <w:rsid w:val="5A105AE3"/>
    <w:rsid w:val="5A142C26"/>
    <w:rsid w:val="5A4739E2"/>
    <w:rsid w:val="5B70610D"/>
    <w:rsid w:val="5BF64864"/>
    <w:rsid w:val="5CC02019"/>
    <w:rsid w:val="5D0C00B7"/>
    <w:rsid w:val="5DBE7604"/>
    <w:rsid w:val="5DD46E27"/>
    <w:rsid w:val="5DF43025"/>
    <w:rsid w:val="5E1B624F"/>
    <w:rsid w:val="5E9F5687"/>
    <w:rsid w:val="5EA52572"/>
    <w:rsid w:val="5EC92704"/>
    <w:rsid w:val="5EDE644C"/>
    <w:rsid w:val="5FA42829"/>
    <w:rsid w:val="606C77EB"/>
    <w:rsid w:val="60F638CC"/>
    <w:rsid w:val="614E5143"/>
    <w:rsid w:val="6155202D"/>
    <w:rsid w:val="61B74A96"/>
    <w:rsid w:val="625114EB"/>
    <w:rsid w:val="62A36DC8"/>
    <w:rsid w:val="632E6FDA"/>
    <w:rsid w:val="64A83BFF"/>
    <w:rsid w:val="6519386E"/>
    <w:rsid w:val="65336B29"/>
    <w:rsid w:val="653B7391"/>
    <w:rsid w:val="66377F53"/>
    <w:rsid w:val="666845B1"/>
    <w:rsid w:val="6707201B"/>
    <w:rsid w:val="67874F0A"/>
    <w:rsid w:val="67B57CC9"/>
    <w:rsid w:val="67F45DDB"/>
    <w:rsid w:val="689C6793"/>
    <w:rsid w:val="68C1444C"/>
    <w:rsid w:val="690F51B7"/>
    <w:rsid w:val="69382960"/>
    <w:rsid w:val="69470DF5"/>
    <w:rsid w:val="6A1F58CE"/>
    <w:rsid w:val="6B7F2843"/>
    <w:rsid w:val="6C29094C"/>
    <w:rsid w:val="6C731F01"/>
    <w:rsid w:val="6CB3461B"/>
    <w:rsid w:val="6CC369E5"/>
    <w:rsid w:val="6CD429A0"/>
    <w:rsid w:val="6DA01667"/>
    <w:rsid w:val="6DA06D26"/>
    <w:rsid w:val="6E82340B"/>
    <w:rsid w:val="6EDF73DA"/>
    <w:rsid w:val="6F665E14"/>
    <w:rsid w:val="6FF84BF7"/>
    <w:rsid w:val="701E2184"/>
    <w:rsid w:val="704C7AE9"/>
    <w:rsid w:val="70716758"/>
    <w:rsid w:val="714300F4"/>
    <w:rsid w:val="71EF202A"/>
    <w:rsid w:val="72240B8C"/>
    <w:rsid w:val="72CC236B"/>
    <w:rsid w:val="73927111"/>
    <w:rsid w:val="745F3497"/>
    <w:rsid w:val="75144B24"/>
    <w:rsid w:val="75330480"/>
    <w:rsid w:val="754C32EF"/>
    <w:rsid w:val="75A471F3"/>
    <w:rsid w:val="75B07D22"/>
    <w:rsid w:val="76373F9F"/>
    <w:rsid w:val="76431495"/>
    <w:rsid w:val="76832D41"/>
    <w:rsid w:val="76F221C2"/>
    <w:rsid w:val="774B1AB0"/>
    <w:rsid w:val="775355E2"/>
    <w:rsid w:val="778C3E77"/>
    <w:rsid w:val="77B91110"/>
    <w:rsid w:val="77F71C38"/>
    <w:rsid w:val="78C064CE"/>
    <w:rsid w:val="79091C23"/>
    <w:rsid w:val="79DB7EA0"/>
    <w:rsid w:val="7A0D74F1"/>
    <w:rsid w:val="7A884DCA"/>
    <w:rsid w:val="7B1C74E3"/>
    <w:rsid w:val="7B6F1AE6"/>
    <w:rsid w:val="7BCD518A"/>
    <w:rsid w:val="7BDA78A7"/>
    <w:rsid w:val="7CC16371"/>
    <w:rsid w:val="7EED169F"/>
    <w:rsid w:val="7F0F7867"/>
    <w:rsid w:val="7F572FBC"/>
    <w:rsid w:val="DFF99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360" w:lineRule="auto"/>
      <w:outlineLvl w:val="0"/>
    </w:pPr>
    <w:rPr>
      <w:b/>
      <w:bCs/>
      <w:kern w:val="44"/>
      <w:sz w:val="32"/>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彩色列表 - 强调文字颜色 1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1849</Words>
  <Characters>2010</Characters>
  <Lines>0</Lines>
  <Paragraphs>0</Paragraphs>
  <TotalTime>0</TotalTime>
  <ScaleCrop>false</ScaleCrop>
  <LinksUpToDate>false</LinksUpToDate>
  <CharactersWithSpaces>2073</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2022-10-31T09:52:00Z</dcterms:created>
  <dc:creator>oyaaaaa</dc:creator>
  <cp:lastModifiedBy>Green</cp:lastModifiedBy>
  <dcterms:modified xsi:type="dcterms:W3CDTF">2025-05-18T01:55:16Z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1F4FD259362D495985C4B5D0DFAD5E59_13</vt:lpwstr>
  </property>
  <property fmtid="{D5CDD505-2E9C-101B-9397-08002B2CF9AE}" pid="4" name="KSOTemplateDocerSaveRecord">
    <vt:lpwstr>eyJoZGlkIjoiNmE4YWE2NWM2NjkyMzUxOGRkNDNkNjJlMmYxYjJlZDkiLCJ1c2VySWQiOiIxMDY0MzI0NjY1In0=</vt:lpwstr>
  </property>
</Properties>
</file>