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A8907"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lang w:val="en-US" w:eastAsia="zh-CN"/>
        </w:rPr>
        <w:t>二次采购）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</w:rPr>
        <w:t>采购公告</w:t>
      </w:r>
    </w:p>
    <w:p w14:paraId="1B486EE9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691AAF9B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  中山路历史文化街区改造项目太平路口东侧片区改造工程-石材采购（二次采购）   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56F66184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中山路历史文化街区改造项目太平路口东侧片区改造工程-石材采购</w:t>
      </w:r>
    </w:p>
    <w:p w14:paraId="557B4BFE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 ZBCG-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-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77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</w:t>
      </w:r>
    </w:p>
    <w:p w14:paraId="5E8ADE50">
      <w:pPr>
        <w:widowControl/>
        <w:numPr>
          <w:ilvl w:val="0"/>
          <w:numId w:val="0"/>
        </w:numPr>
        <w:snapToGrid w:val="0"/>
        <w:spacing w:line="360" w:lineRule="auto"/>
        <w:ind w:left="420" w:left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工程地点：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东莞石龙  </w:t>
      </w:r>
    </w:p>
    <w:p w14:paraId="1138531F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四、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采购限价：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本项目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采购限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 xml:space="preserve">价为¥ </w:t>
      </w:r>
      <w:r>
        <w:rPr>
          <w:rFonts w:hint="eastAsia" w:ascii="仿宋_GB2312" w:hAnsi="仿宋_GB2312" w:cs="仿宋_GB2312"/>
          <w:color w:val="auto"/>
          <w:sz w:val="24"/>
          <w:szCs w:val="24"/>
          <w:lang w:val="en-US" w:eastAsia="zh-CN"/>
        </w:rPr>
        <w:t>2919296.33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 xml:space="preserve"> 元（含税  13  %），(大写) 贰佰玖拾壹万玖仟贰佰玖拾陆元叁角叁分  ;其中不含税工程价款为:(小写)¥ </w:t>
      </w:r>
      <w:r>
        <w:rPr>
          <w:rFonts w:hint="eastAsia" w:ascii="仿宋_GB2312" w:hAnsi="仿宋_GB2312" w:cs="仿宋_GB2312"/>
          <w:color w:val="auto"/>
          <w:sz w:val="24"/>
          <w:szCs w:val="24"/>
          <w:lang w:val="en-US" w:eastAsia="zh-CN"/>
        </w:rPr>
        <w:t>2583448.08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 xml:space="preserve">元，(大写) 贰佰伍拾捌万叁仟肆佰肆拾捌元零捌分 ;税金:(小写)¥ </w:t>
      </w:r>
      <w:r>
        <w:rPr>
          <w:rFonts w:hint="eastAsia" w:ascii="仿宋_GB2312" w:hAnsi="仿宋_GB2312" w:cs="仿宋_GB2312"/>
          <w:color w:val="auto"/>
          <w:sz w:val="24"/>
          <w:szCs w:val="24"/>
          <w:lang w:val="en-US" w:eastAsia="zh-CN"/>
        </w:rPr>
        <w:t>335848.25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元，(大写) 叁拾叁万伍仟捌佰肆拾捌元贰角伍分。（投标人报价不得高于采购限价）</w:t>
      </w:r>
    </w:p>
    <w:p w14:paraId="02334CD2">
      <w:pPr>
        <w:widowControl/>
        <w:tabs>
          <w:tab w:val="left" w:pos="361"/>
        </w:tabs>
        <w:snapToGrid w:val="0"/>
        <w:spacing w:line="360" w:lineRule="auto"/>
        <w:ind w:left="0" w:leftChars="0" w:firstLine="367" w:firstLineChars="175"/>
        <w:jc w:val="lef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本项目属改造工程，占地面积 27477 平方米。项目主要对石龙镇太平路口东侧片区内城市公共空间进行地面铺装、照明灯具、栏杆、标识标牌、儿童及运动设施、建构筑物等进行更新升级，完善给排水系统，并对片区内的池塘水体进行活化整治，构筑亲水平台，实现城市环境的整体提升。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u w:val="single"/>
          <w:lang w:val="en-US" w:eastAsia="zh-CN"/>
        </w:rPr>
        <w:t xml:space="preserve">  </w:t>
      </w:r>
    </w:p>
    <w:p w14:paraId="6C2AE243">
      <w:pPr>
        <w:widowControl/>
        <w:tabs>
          <w:tab w:val="left" w:pos="361"/>
        </w:tabs>
        <w:snapToGrid w:val="0"/>
        <w:spacing w:line="360" w:lineRule="auto"/>
        <w:ind w:left="0" w:leftChars="0" w:firstLine="367" w:firstLineChars="175"/>
        <w:jc w:val="lef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六、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范围：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包含但不限于本项目所有花岗岩石材等材料采购，包含烧面芝麻灰、微自然面芝麻灰、荔枝面芝麻灰、芝麻灰仿旧麻石、抛光面蒙古黑等，包质量、包加工、包检测合格、包配合现场施工进度、包出厂合格、包卸货、包运输等（具体以清单为准）。</w:t>
      </w:r>
    </w:p>
    <w:p w14:paraId="144B4A9E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七、服务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期：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计划开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竣工日期：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项目下单后10天内送达现场，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工期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10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个日历天，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具体时间根据项目部施工进度安排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。</w:t>
      </w:r>
    </w:p>
    <w:p w14:paraId="4F37CFFA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、投标文件的递交时间及开标地点：以密封形式于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2025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04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14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16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00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分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前递交，截止时间为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2025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04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14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16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00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分，所有报价文件必须在规定的递交截止时间前按规定送达采购方，逾期恕不接受。</w:t>
      </w:r>
    </w:p>
    <w:p w14:paraId="4226468F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开标地址：东莞市南城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街道城市风景街8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栋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开标室。</w:t>
      </w:r>
    </w:p>
    <w:p w14:paraId="4837151F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、注意事项：</w:t>
      </w:r>
    </w:p>
    <w:p w14:paraId="7EB52FAC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1、投标人必须全面响应采购文件要求，投标人任何附加条件采购人一律不接受或视为废标。</w:t>
      </w:r>
    </w:p>
    <w:p w14:paraId="598F53D2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2、中标人严禁有挂靠或者违法转包行为。</w:t>
      </w:r>
    </w:p>
    <w:p w14:paraId="7847509B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3、投标文件严禁出现不平衡报价。</w:t>
      </w:r>
    </w:p>
    <w:p w14:paraId="155034B2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、质量要求：现行的施工规范要求。</w:t>
      </w:r>
    </w:p>
    <w:p w14:paraId="01696928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文件获取：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官网（http: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www.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dggcc.cn）。</w:t>
      </w:r>
    </w:p>
    <w:p w14:paraId="4E20B97F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其他及特别内容说明：</w:t>
      </w:r>
    </w:p>
    <w:p w14:paraId="0B7609C1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1、参考品牌（同等或优于）：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u w:val="single"/>
          <w:lang w:val="en-US" w:eastAsia="zh-CN"/>
        </w:rPr>
        <w:t xml:space="preserve">   /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；进场需经采购人审核同意方可使用。</w:t>
      </w:r>
    </w:p>
    <w:p w14:paraId="234F2B89">
      <w:pPr>
        <w:widowControl/>
        <w:snapToGrid w:val="0"/>
        <w:spacing w:line="360" w:lineRule="auto"/>
        <w:ind w:left="0" w:leftChars="0" w:firstLine="367" w:firstLineChars="175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2、</w:t>
      </w:r>
      <w:bookmarkStart w:id="0" w:name="OLE_LINK3"/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因乙方所供材料不合格的，乙方必须在24小时内完成清退，48小时内完成补送齐合格材料，且因材料不合格而对甲方产生的一切损失费用由乙方承担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。</w:t>
      </w:r>
      <w:bookmarkStart w:id="1" w:name="_GoBack"/>
      <w:bookmarkEnd w:id="1"/>
    </w:p>
    <w:p w14:paraId="6E65A4C0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、有关此次采购答疑事宜，按下列地址以书面或电话形式向采购人查询：  </w:t>
      </w:r>
    </w:p>
    <w:p w14:paraId="1701AD9B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采购人：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东莞市城市工程建设集团有限公司</w:t>
      </w:r>
    </w:p>
    <w:p w14:paraId="5F82CBE0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地址：东莞市南城区城市风景街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栋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。</w:t>
      </w:r>
    </w:p>
    <w:p w14:paraId="64ED1B1D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联系人：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黄工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                  邮政编码：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523000</w:t>
      </w:r>
    </w:p>
    <w:p w14:paraId="2BC3FD76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联系方式：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传真：0769-39009090</w:t>
      </w:r>
    </w:p>
    <w:p w14:paraId="6E43063A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5485E3C7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56A74110">
      <w:pPr>
        <w:widowControl/>
        <w:snapToGrid w:val="0"/>
        <w:spacing w:line="360" w:lineRule="auto"/>
        <w:ind w:firstLine="840" w:firstLineChars="400"/>
        <w:jc w:val="righ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56D7049F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东莞市城市工程建设集团有限公司</w:t>
      </w:r>
    </w:p>
    <w:p w14:paraId="51EF8DC1">
      <w:pPr>
        <w:jc w:val="right"/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2025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04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 10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 xml:space="preserve">日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09C47C26"/>
    <w:rsid w:val="280E51C5"/>
    <w:rsid w:val="5FEA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1061</Words>
  <Characters>1179</Characters>
  <Lines>0</Lines>
  <Paragraphs>0</Paragraphs>
  <TotalTime>0</TotalTime>
  <ScaleCrop>false</ScaleCrop>
  <LinksUpToDate>false</LinksUpToDate>
  <CharactersWithSpaces>1311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2025-04-10T02:59:00Z</dcterms:created>
  <dc:creator>lenovo</dc:creator>
  <cp:lastModifiedBy>黄惠东</cp:lastModifiedBy>
  <dcterms:modified xsi:type="dcterms:W3CDTF">2025-04-10T07:31:34Z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D01FD731EE674017AAD1B95BCB2949F1_12</vt:lpwstr>
  </property>
</Properties>
</file>