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D659E">
      <w:pPr>
        <w:jc w:val="center"/>
        <w:rPr>
          <w:rFonts w:hint="eastAsia"/>
          <w:b/>
          <w:bCs/>
          <w:sz w:val="32"/>
          <w:szCs w:val="32"/>
          <w:lang w:val="en-US" w:eastAsia="zh-CN"/>
        </w:rPr>
      </w:pPr>
      <w:r>
        <w:rPr>
          <w:rFonts w:hint="eastAsia"/>
          <w:b/>
          <w:bCs/>
          <w:sz w:val="32"/>
          <w:szCs w:val="32"/>
        </w:rPr>
        <w:t>东莞市沙田中学（暂定名）</w:t>
      </w:r>
      <w:r>
        <w:rPr>
          <w:rFonts w:hint="eastAsia"/>
          <w:b/>
          <w:bCs/>
          <w:sz w:val="32"/>
          <w:szCs w:val="32"/>
          <w:lang w:val="en-US" w:eastAsia="zh-CN"/>
        </w:rPr>
        <w:t>智能化</w:t>
      </w:r>
      <w:r>
        <w:rPr>
          <w:rFonts w:hint="eastAsia"/>
          <w:b/>
          <w:bCs/>
          <w:sz w:val="32"/>
          <w:szCs w:val="32"/>
        </w:rPr>
        <w:t>工程</w:t>
      </w:r>
      <w:r>
        <w:rPr>
          <w:rFonts w:hint="eastAsia"/>
          <w:b/>
          <w:bCs/>
          <w:sz w:val="32"/>
          <w:szCs w:val="32"/>
          <w:lang w:val="en-US" w:eastAsia="zh-CN"/>
        </w:rPr>
        <w:t>承包范围及目标</w:t>
      </w:r>
    </w:p>
    <w:p w14:paraId="3B1F1F35">
      <w:pPr>
        <w:jc w:val="center"/>
        <w:rPr>
          <w:rFonts w:hint="default" w:eastAsiaTheme="minorEastAsia"/>
          <w:b/>
          <w:bCs/>
          <w:sz w:val="32"/>
          <w:szCs w:val="32"/>
          <w:lang w:val="en-US" w:eastAsia="zh-CN"/>
        </w:rPr>
      </w:pPr>
      <w:r>
        <w:rPr>
          <w:rFonts w:hint="eastAsia"/>
          <w:b/>
          <w:bCs/>
          <w:sz w:val="32"/>
          <w:szCs w:val="32"/>
          <w:lang w:val="en-US" w:eastAsia="zh-CN"/>
        </w:rPr>
        <w:t>技术要求</w:t>
      </w:r>
      <w:bookmarkStart w:id="0" w:name="_GoBack"/>
      <w:bookmarkEnd w:id="0"/>
    </w:p>
    <w:p w14:paraId="54E7391C">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b/>
          <w:bCs/>
          <w:lang w:val="en-US" w:eastAsia="zh-CN"/>
        </w:rPr>
        <w:t>一、</w:t>
      </w:r>
      <w:r>
        <w:rPr>
          <w:rFonts w:hint="eastAsia"/>
          <w:b/>
          <w:bCs/>
        </w:rPr>
        <w:t>招标项目名称</w:t>
      </w:r>
      <w:r>
        <w:rPr>
          <w:rFonts w:hint="eastAsia"/>
          <w:b/>
          <w:bCs/>
          <w:lang w:eastAsia="zh-CN"/>
        </w:rPr>
        <w:t>：</w:t>
      </w:r>
      <w:r>
        <w:rPr>
          <w:rFonts w:hint="eastAsia"/>
          <w:lang w:val="en-US" w:eastAsia="zh-CN"/>
        </w:rPr>
        <w:t>东莞沙田项目（暂定名）智能化分包工程</w:t>
      </w:r>
    </w:p>
    <w:p w14:paraId="6865FD55">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b/>
          <w:bCs/>
          <w:lang w:val="en-US" w:eastAsia="zh-CN"/>
        </w:rPr>
        <w:t>二、施工段：</w:t>
      </w:r>
      <w:r>
        <w:rPr>
          <w:rFonts w:hint="eastAsia"/>
          <w:lang w:val="en-US" w:eastAsia="zh-CN"/>
        </w:rPr>
        <w:t>1号食堂宿舍、2号女生宿舍、3号体育馆、4号图书馆、7号报告厅、5号高中教学楼、6号初中教学楼、8号门卫室、9号门卫室、10号门卫室、11号地下室、室外。</w:t>
      </w:r>
    </w:p>
    <w:p w14:paraId="5BD4C9CB">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b/>
          <w:bCs/>
          <w:lang w:val="en-US" w:eastAsia="zh-CN"/>
        </w:rPr>
      </w:pPr>
      <w:r>
        <w:rPr>
          <w:rFonts w:hint="eastAsia"/>
          <w:b/>
          <w:bCs/>
          <w:lang w:val="en-US" w:eastAsia="zh-CN"/>
        </w:rPr>
        <w:t>三、</w:t>
      </w:r>
      <w:r>
        <w:rPr>
          <w:rFonts w:hint="default"/>
          <w:b/>
          <w:bCs/>
          <w:lang w:val="en-US" w:eastAsia="zh-CN"/>
        </w:rPr>
        <w:t>标的范围</w:t>
      </w:r>
      <w:r>
        <w:rPr>
          <w:rFonts w:hint="eastAsia"/>
          <w:b/>
          <w:bCs/>
          <w:lang w:val="en-US" w:eastAsia="zh-CN"/>
        </w:rPr>
        <w:t>：</w:t>
      </w:r>
    </w:p>
    <w:p w14:paraId="38E8881D">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图纸范围内的室内外智能化工程，包括但不限于智能卡应用系统、综合布线系统、移动通信信号覆盖系统、用户电话交换系统、信息网络系统、公共广播系统、信息导引发布系统、建筑设备监控系统、建筑能效监管系统、视频监控系统、停车场管理系统、其他预留管线系统。设备接地。</w:t>
      </w:r>
    </w:p>
    <w:p w14:paraId="593EF956">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b/>
          <w:bCs/>
          <w:lang w:val="en-US" w:eastAsia="zh-CN"/>
        </w:rPr>
      </w:pPr>
      <w:r>
        <w:rPr>
          <w:rFonts w:hint="eastAsia"/>
          <w:b/>
          <w:bCs/>
          <w:lang w:val="en-US" w:eastAsia="zh-CN"/>
        </w:rPr>
        <w:t>四、界面：</w:t>
      </w:r>
    </w:p>
    <w:p w14:paraId="6939E288">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1.电气：水电单位安装至设备房配电箱（含配电箱）后续工程弱电单位施工。</w:t>
      </w:r>
    </w:p>
    <w:p w14:paraId="4F02A359">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机房：消防安防机房内布置由智能化单位负责深化，消防单独根据智能化深化图纸安装设备。</w:t>
      </w:r>
    </w:p>
    <w:p w14:paraId="1A0C6CDC">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电梯：五方通话设备由电梯单位提供，智能化单位根据电梯要求负责敷设线缆。</w:t>
      </w:r>
    </w:p>
    <w:p w14:paraId="31DA2F50">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2.消防：广播机房与消防安防控制室合用，公共广播与消防紧息广播两套系统后端独立，公共区域前端扬声器共用，火灾应急广播优先于其他广播。消防广播扬声器由消防单位安装。室外消防电气管井与智能化单位共用，智能化单位施工。</w:t>
      </w:r>
    </w:p>
    <w:p w14:paraId="263E44B8">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3.接地：水电单位预留接电点位，其他单位以谁安装谁负责接地连接。</w:t>
      </w:r>
    </w:p>
    <w:p w14:paraId="3F215820">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b/>
          <w:bCs/>
          <w:lang w:val="en-US" w:eastAsia="zh-CN"/>
        </w:rPr>
      </w:pPr>
      <w:r>
        <w:rPr>
          <w:rFonts w:hint="eastAsia"/>
          <w:b/>
          <w:bCs/>
          <w:lang w:val="en-US" w:eastAsia="zh-CN"/>
        </w:rPr>
        <w:t>五、质量要求</w:t>
      </w:r>
    </w:p>
    <w:p w14:paraId="7F0D4515">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b/>
          <w:bCs/>
          <w:lang w:val="en-US" w:eastAsia="zh-CN"/>
        </w:rPr>
        <w:t>1、目标：</w:t>
      </w:r>
      <w:r>
        <w:rPr>
          <w:rFonts w:hint="eastAsia"/>
          <w:lang w:val="en-US" w:eastAsia="zh-CN"/>
        </w:rPr>
        <w:t>承包单位须确保承包范围内工程内容达到国家或行业质量检验评定的合格标准，获评广东省建设工程优质奖，争创国家优质工程奖及鲁班奖。否则，将按合同条款进行处罚。</w:t>
      </w:r>
    </w:p>
    <w:p w14:paraId="25086EA1">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2、技术要求依据：</w:t>
      </w:r>
    </w:p>
    <w:p w14:paraId="18D640DF">
      <w:pPr>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lang w:val="en-US" w:eastAsia="zh-CN"/>
        </w:rPr>
      </w:pPr>
      <w:r>
        <w:rPr>
          <w:rFonts w:hint="eastAsia"/>
          <w:lang w:val="en-US" w:eastAsia="zh-CN"/>
        </w:rPr>
        <w:t>严格执行有关现行国家标准、行业标准及地方标准。包括但不限于以下规范：</w:t>
      </w:r>
    </w:p>
    <w:p w14:paraId="5F0B43B6">
      <w:pPr>
        <w:numPr>
          <w:ilvl w:val="0"/>
          <w:numId w:val="1"/>
        </w:numPr>
        <w:rPr>
          <w:rFonts w:hint="eastAsia"/>
          <w:lang w:val="en-US" w:eastAsia="zh-CN"/>
        </w:rPr>
      </w:pPr>
      <w:r>
        <w:rPr>
          <w:rFonts w:hint="eastAsia"/>
          <w:lang w:val="en-US" w:eastAsia="zh-CN"/>
        </w:rPr>
        <w:t>《体育建筑电气设计规范》JGJ354-2014、《智能建筑设计标准》GB50314-2015、《综合布线系统工程设计规范》GB50311-2016、《安全防范工程技术标准》GB50348-2018、《安全防范工程通用规范》GB55029-2022、《视频安防监控系统工程设计规范》GB50395-2007、《民用闭路监视电视系统工程技术规范》GB50198-2011、《电子考场系统通用要求》GB/T36449-2018、《建筑电子信息系统防雷技术规范》GB50343-2012、《建筑物防雷设计规范》GB50057-2010、《无障碍设计规范》GB50763-2012、《广东省建筑物移动通信基础设施技术规范》DBJ/T15-190-2020、《网络覆盖工程建筑配套设施设计与施工》21X101-5、《关于新建、改建、扩建建设项目落实通信基础设施建设的通知》东工信(202314号）、《关于进一步明确新建、改建、扩建建设项目落实移动通信基础设施建设的通知(试行稿)》莞通建函(202372号）</w:t>
      </w:r>
    </w:p>
    <w:p w14:paraId="0908A285">
      <w:pPr>
        <w:numPr>
          <w:ilvl w:val="0"/>
          <w:numId w:val="1"/>
        </w:numPr>
        <w:rPr>
          <w:rFonts w:hint="default"/>
          <w:lang w:val="en-US" w:eastAsia="zh-CN"/>
        </w:rPr>
      </w:pPr>
      <w:r>
        <w:rPr>
          <w:rFonts w:hint="default"/>
          <w:lang w:val="en-US" w:eastAsia="zh-CN"/>
        </w:rPr>
        <w:t>《</w:t>
      </w:r>
      <w:r>
        <w:rPr>
          <w:rFonts w:hint="eastAsia"/>
          <w:lang w:val="en-US" w:eastAsia="zh-CN"/>
        </w:rPr>
        <w:t>建筑</w:t>
      </w:r>
      <w:r>
        <w:rPr>
          <w:rFonts w:hint="default"/>
          <w:lang w:val="en-US" w:eastAsia="zh-CN"/>
        </w:rPr>
        <w:t>电气工程</w:t>
      </w:r>
      <w:r>
        <w:rPr>
          <w:rFonts w:hint="eastAsia"/>
          <w:lang w:val="en-US" w:eastAsia="zh-CN"/>
        </w:rPr>
        <w:t>施工</w:t>
      </w:r>
      <w:r>
        <w:rPr>
          <w:rFonts w:hint="default"/>
          <w:lang w:val="en-US" w:eastAsia="zh-CN"/>
        </w:rPr>
        <w:t>质量验收规范》GB50303-2015</w:t>
      </w:r>
      <w:r>
        <w:rPr>
          <w:rFonts w:hint="eastAsia"/>
          <w:lang w:val="en-US" w:eastAsia="zh-CN"/>
        </w:rPr>
        <w:t>、</w:t>
      </w:r>
      <w:r>
        <w:rPr>
          <w:rFonts w:hint="default"/>
          <w:lang w:val="en-US" w:eastAsia="zh-CN"/>
        </w:rPr>
        <w:t>《建筑电气与智能化</w:t>
      </w:r>
      <w:r>
        <w:rPr>
          <w:rFonts w:hint="eastAsia"/>
          <w:lang w:val="en-US" w:eastAsia="zh-CN"/>
        </w:rPr>
        <w:t>通用规范</w:t>
      </w:r>
      <w:r>
        <w:rPr>
          <w:rFonts w:hint="default"/>
          <w:lang w:val="en-US" w:eastAsia="zh-CN"/>
        </w:rPr>
        <w:t>》GB55024-2022</w:t>
      </w:r>
      <w:r>
        <w:rPr>
          <w:rFonts w:hint="eastAsia"/>
          <w:lang w:val="en-US" w:eastAsia="zh-CN"/>
        </w:rPr>
        <w:t>、</w:t>
      </w:r>
      <w:r>
        <w:rPr>
          <w:rFonts w:hint="default"/>
          <w:lang w:val="en-US" w:eastAsia="zh-CN"/>
        </w:rPr>
        <w:t>《民用建筑电气设计标准》GB51348-2019</w:t>
      </w:r>
      <w:r>
        <w:rPr>
          <w:rFonts w:hint="eastAsia"/>
          <w:lang w:val="en-US" w:eastAsia="zh-CN"/>
        </w:rPr>
        <w:t>、</w:t>
      </w:r>
      <w:r>
        <w:rPr>
          <w:rFonts w:hint="default"/>
          <w:lang w:val="en-US" w:eastAsia="zh-CN"/>
        </w:rPr>
        <w:t>《消防设施</w:t>
      </w:r>
      <w:r>
        <w:rPr>
          <w:rFonts w:hint="eastAsia"/>
          <w:lang w:val="en-US" w:eastAsia="zh-CN"/>
        </w:rPr>
        <w:t>通用规</w:t>
      </w:r>
      <w:r>
        <w:rPr>
          <w:rFonts w:hint="default"/>
          <w:lang w:val="en-US" w:eastAsia="zh-CN"/>
        </w:rPr>
        <w:t>范》GB55036-2022</w:t>
      </w:r>
      <w:r>
        <w:rPr>
          <w:rFonts w:hint="eastAsia"/>
          <w:lang w:val="en-US" w:eastAsia="zh-CN"/>
        </w:rPr>
        <w:t>、</w:t>
      </w:r>
      <w:r>
        <w:rPr>
          <w:rFonts w:hint="default"/>
          <w:lang w:val="en-US" w:eastAsia="zh-CN"/>
        </w:rPr>
        <w:t>《</w:t>
      </w:r>
      <w:r>
        <w:rPr>
          <w:rFonts w:hint="eastAsia"/>
          <w:lang w:val="en-US" w:eastAsia="zh-CN"/>
        </w:rPr>
        <w:t>建筑环境</w:t>
      </w:r>
      <w:r>
        <w:rPr>
          <w:rFonts w:hint="default"/>
          <w:lang w:val="en-US" w:eastAsia="zh-CN"/>
        </w:rPr>
        <w:t>通用规范》GB55016-2021</w:t>
      </w:r>
      <w:r>
        <w:rPr>
          <w:rFonts w:hint="eastAsia"/>
          <w:lang w:val="en-US" w:eastAsia="zh-CN"/>
        </w:rPr>
        <w:t>、</w:t>
      </w:r>
      <w:r>
        <w:rPr>
          <w:rFonts w:hint="default"/>
          <w:lang w:val="en-US" w:eastAsia="zh-CN"/>
        </w:rPr>
        <w:t>《</w:t>
      </w:r>
      <w:r>
        <w:rPr>
          <w:rFonts w:hint="eastAsia"/>
          <w:lang w:val="en-US" w:eastAsia="zh-CN"/>
        </w:rPr>
        <w:t>建筑</w:t>
      </w:r>
      <w:r>
        <w:rPr>
          <w:rFonts w:hint="default"/>
          <w:lang w:val="en-US" w:eastAsia="zh-CN"/>
        </w:rPr>
        <w:t>与市政工程抗震</w:t>
      </w:r>
      <w:r>
        <w:rPr>
          <w:rFonts w:hint="eastAsia"/>
          <w:lang w:val="en-US" w:eastAsia="zh-CN"/>
        </w:rPr>
        <w:t>通用</w:t>
      </w:r>
      <w:r>
        <w:rPr>
          <w:rFonts w:hint="default"/>
          <w:lang w:val="en-US" w:eastAsia="zh-CN"/>
        </w:rPr>
        <w:t>规范》GB55002-2021</w:t>
      </w:r>
      <w:r>
        <w:rPr>
          <w:rFonts w:hint="eastAsia"/>
          <w:lang w:val="en-US" w:eastAsia="zh-CN"/>
        </w:rPr>
        <w:t>、</w:t>
      </w:r>
      <w:r>
        <w:rPr>
          <w:rFonts w:hint="default"/>
          <w:lang w:val="en-US" w:eastAsia="zh-CN"/>
        </w:rPr>
        <w:t>《中小学校教室</w:t>
      </w:r>
      <w:r>
        <w:rPr>
          <w:rFonts w:hint="eastAsia"/>
          <w:lang w:val="en-US" w:eastAsia="zh-CN"/>
        </w:rPr>
        <w:t>照明</w:t>
      </w:r>
      <w:r>
        <w:rPr>
          <w:rFonts w:hint="default"/>
          <w:lang w:val="en-US" w:eastAsia="zh-CN"/>
        </w:rPr>
        <w:t>明技术</w:t>
      </w:r>
      <w:r>
        <w:rPr>
          <w:rFonts w:hint="eastAsia"/>
          <w:lang w:val="en-US" w:eastAsia="zh-CN"/>
        </w:rPr>
        <w:t>规范》</w:t>
      </w:r>
      <w:r>
        <w:rPr>
          <w:rFonts w:hint="default"/>
          <w:lang w:val="en-US" w:eastAsia="zh-CN"/>
        </w:rPr>
        <w:t>DB44/</w:t>
      </w:r>
      <w:r>
        <w:rPr>
          <w:rFonts w:hint="eastAsia"/>
          <w:lang w:val="en-US" w:eastAsia="zh-CN"/>
        </w:rPr>
        <w:t>T2</w:t>
      </w:r>
      <w:r>
        <w:rPr>
          <w:rFonts w:hint="default"/>
          <w:lang w:val="en-US" w:eastAsia="zh-CN"/>
        </w:rPr>
        <w:t>335-2021</w:t>
      </w:r>
      <w:r>
        <w:rPr>
          <w:rFonts w:hint="eastAsia"/>
          <w:lang w:val="en-US" w:eastAsia="zh-CN"/>
        </w:rPr>
        <w:t>、《民用建筑电气设计标准》GB51348-2019、《民用建筑设计统一标准》GB50352-2019、《建筑设计防火规范》GB50016-2014(2018年版)、《建筑机电工程抗震设计规范》GB50981-2014、《汽车库、修车库、停车场设计防火规范》GB50067-2014、《消防设施通用规范》GB55036-2022、《火灾自动报警系统设计规范》GB50116-2013;、《建筑电气与智能化通用规范》GB55024-2022、</w:t>
      </w:r>
      <w:r>
        <w:rPr>
          <w:rFonts w:hint="default"/>
          <w:lang w:val="en-US" w:eastAsia="zh-CN"/>
        </w:rPr>
        <w:t>《建筑</w:t>
      </w:r>
      <w:r>
        <w:rPr>
          <w:rFonts w:hint="eastAsia"/>
          <w:lang w:val="en-US" w:eastAsia="zh-CN"/>
        </w:rPr>
        <w:t>照</w:t>
      </w:r>
      <w:r>
        <w:rPr>
          <w:rFonts w:hint="default"/>
          <w:lang w:val="en-US" w:eastAsia="zh-CN"/>
        </w:rPr>
        <w:t>明设计标准</w:t>
      </w:r>
      <w:r>
        <w:rPr>
          <w:rFonts w:hint="eastAsia"/>
          <w:lang w:val="en-US" w:eastAsia="zh-CN"/>
        </w:rPr>
        <w:t>》</w:t>
      </w:r>
      <w:r>
        <w:rPr>
          <w:rFonts w:hint="default"/>
          <w:lang w:val="en-US" w:eastAsia="zh-CN"/>
        </w:rPr>
        <w:t>GB/T50034-2024</w:t>
      </w:r>
      <w:r>
        <w:rPr>
          <w:rFonts w:hint="eastAsia"/>
          <w:lang w:val="en-US" w:eastAsia="zh-CN"/>
        </w:rPr>
        <w:t>、</w:t>
      </w:r>
      <w:r>
        <w:rPr>
          <w:rFonts w:hint="default"/>
          <w:lang w:val="en-US" w:eastAsia="zh-CN"/>
        </w:rPr>
        <w:t>《人民防空地下室设计规范》GB50038-2005</w:t>
      </w:r>
      <w:r>
        <w:rPr>
          <w:rFonts w:hint="eastAsia"/>
          <w:lang w:val="en-US" w:eastAsia="zh-CN"/>
        </w:rPr>
        <w:t>、</w:t>
      </w:r>
      <w:r>
        <w:rPr>
          <w:rFonts w:hint="default"/>
          <w:lang w:val="en-US" w:eastAsia="zh-CN"/>
        </w:rPr>
        <w:t>《平</w:t>
      </w:r>
      <w:r>
        <w:rPr>
          <w:rFonts w:hint="eastAsia"/>
          <w:lang w:val="en-US" w:eastAsia="zh-CN"/>
        </w:rPr>
        <w:t>时</w:t>
      </w:r>
      <w:r>
        <w:rPr>
          <w:rFonts w:hint="default"/>
          <w:lang w:val="en-US" w:eastAsia="zh-CN"/>
        </w:rPr>
        <w:t>结合人民防空工程设计规范》DB11994-2020</w:t>
      </w:r>
      <w:r>
        <w:rPr>
          <w:rFonts w:hint="eastAsia"/>
          <w:lang w:val="en-US" w:eastAsia="zh-CN"/>
        </w:rPr>
        <w:t>、</w:t>
      </w:r>
      <w:r>
        <w:rPr>
          <w:rFonts w:hint="default"/>
          <w:lang w:val="en-US" w:eastAsia="zh-CN"/>
        </w:rPr>
        <w:t>《人民防空工程设计防火规范</w:t>
      </w:r>
      <w:r>
        <w:rPr>
          <w:rFonts w:hint="eastAsia"/>
          <w:lang w:val="en-US" w:eastAsia="zh-CN"/>
        </w:rPr>
        <w:t>》</w:t>
      </w:r>
      <w:r>
        <w:rPr>
          <w:rFonts w:hint="default"/>
          <w:lang w:val="en-US" w:eastAsia="zh-CN"/>
        </w:rPr>
        <w:t>GB50098-2009</w:t>
      </w:r>
    </w:p>
    <w:p w14:paraId="10B6775E">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b/>
          <w:bCs/>
          <w:lang w:val="en-US" w:eastAsia="zh-CN"/>
        </w:rPr>
      </w:pPr>
      <w:r>
        <w:rPr>
          <w:rFonts w:hint="eastAsia"/>
          <w:b/>
          <w:bCs/>
          <w:lang w:val="en-US" w:eastAsia="zh-CN"/>
        </w:rPr>
        <w:t>六、工期目标：</w:t>
      </w:r>
    </w:p>
    <w:p w14:paraId="70366B42">
      <w:pPr>
        <w:rPr>
          <w:rFonts w:hint="default"/>
          <w:lang w:val="en-US" w:eastAsia="zh-CN"/>
        </w:rPr>
      </w:pPr>
      <w:r>
        <w:rPr>
          <w:rFonts w:hint="default"/>
          <w:lang w:val="en-US" w:eastAsia="zh-CN"/>
        </w:rPr>
        <w:t>工程合同工期总日历天数:</w:t>
      </w:r>
      <w:r>
        <w:rPr>
          <w:rFonts w:hint="eastAsia"/>
          <w:lang w:val="en-US" w:eastAsia="zh-CN"/>
        </w:rPr>
        <w:t>484</w:t>
      </w:r>
      <w:r>
        <w:rPr>
          <w:rFonts w:hint="default"/>
          <w:lang w:val="en-US" w:eastAsia="zh-CN"/>
        </w:rPr>
        <w:t>天。</w:t>
      </w:r>
    </w:p>
    <w:p w14:paraId="3A2BDD3E">
      <w:pPr>
        <w:rPr>
          <w:rFonts w:hint="default"/>
          <w:lang w:val="en-US" w:eastAsia="zh-CN"/>
        </w:rPr>
      </w:pPr>
      <w:r>
        <w:rPr>
          <w:rFonts w:hint="default"/>
          <w:lang w:val="en-US" w:eastAsia="zh-CN"/>
        </w:rPr>
        <w:t>拟从202</w:t>
      </w:r>
      <w:r>
        <w:rPr>
          <w:rFonts w:hint="eastAsia"/>
          <w:lang w:val="en-US" w:eastAsia="zh-CN"/>
        </w:rPr>
        <w:t>5</w:t>
      </w:r>
      <w:r>
        <w:rPr>
          <w:rFonts w:hint="default"/>
          <w:lang w:val="en-US" w:eastAsia="zh-CN"/>
        </w:rPr>
        <w:t>年</w:t>
      </w:r>
      <w:r>
        <w:rPr>
          <w:rFonts w:hint="eastAsia"/>
          <w:lang w:val="en-US" w:eastAsia="zh-CN"/>
        </w:rPr>
        <w:t>3</w:t>
      </w:r>
      <w:r>
        <w:rPr>
          <w:rFonts w:hint="default"/>
          <w:lang w:val="en-US" w:eastAsia="zh-CN"/>
        </w:rPr>
        <w:t>月</w:t>
      </w:r>
      <w:r>
        <w:rPr>
          <w:rFonts w:hint="eastAsia"/>
          <w:lang w:val="en-US" w:eastAsia="zh-CN"/>
        </w:rPr>
        <w:t>3</w:t>
      </w:r>
      <w:r>
        <w:rPr>
          <w:rFonts w:hint="default"/>
          <w:lang w:val="en-US" w:eastAsia="zh-CN"/>
        </w:rPr>
        <w:t>0日开始施工，至2026年07月27日竣工完成。</w:t>
      </w:r>
      <w:r>
        <w:rPr>
          <w:rFonts w:hint="eastAsia"/>
          <w:lang w:val="en-US" w:eastAsia="zh-CN"/>
        </w:rPr>
        <w:t>超过工期将依合同条款处罚。</w:t>
      </w:r>
    </w:p>
    <w:p w14:paraId="7D05D311">
      <w:pPr>
        <w:numPr>
          <w:ilvl w:val="0"/>
          <w:numId w:val="2"/>
        </w:numPr>
        <w:rPr>
          <w:rFonts w:hint="default"/>
          <w:lang w:val="en-US" w:eastAsia="zh-CN"/>
        </w:rPr>
      </w:pPr>
      <w:r>
        <w:rPr>
          <w:rFonts w:hint="default"/>
          <w:b/>
          <w:bCs/>
          <w:lang w:val="en-US" w:eastAsia="zh-CN"/>
        </w:rPr>
        <w:t>安全目标:</w:t>
      </w:r>
      <w:r>
        <w:rPr>
          <w:rFonts w:hint="default"/>
          <w:lang w:val="en-US" w:eastAsia="zh-CN"/>
        </w:rPr>
        <w:t>确保不发生一般及以上安全事故。</w:t>
      </w:r>
    </w:p>
    <w:p w14:paraId="0E1B4622">
      <w:pPr>
        <w:widowControl w:val="0"/>
        <w:numPr>
          <w:numId w:val="0"/>
        </w:numPr>
        <w:jc w:val="both"/>
        <w:rPr>
          <w:rFonts w:hint="default"/>
          <w:lang w:val="en-US" w:eastAsia="zh-CN"/>
        </w:rPr>
      </w:pPr>
    </w:p>
    <w:p w14:paraId="5E7381D1">
      <w:pPr>
        <w:keepNext w:val="0"/>
        <w:keepLines w:val="0"/>
        <w:pageBreakBefore w:val="0"/>
        <w:widowControl w:val="0"/>
        <w:numPr>
          <w:numId w:val="0"/>
        </w:numPr>
        <w:kinsoku/>
        <w:wordWrap/>
        <w:overflowPunct/>
        <w:topLinePunct w:val="0"/>
        <w:autoSpaceDE/>
        <w:autoSpaceDN/>
        <w:bidi w:val="0"/>
        <w:adjustRightInd/>
        <w:snapToGrid/>
        <w:spacing w:after="157" w:afterLines="50"/>
        <w:ind w:leftChars="0"/>
        <w:textAlignment w:val="auto"/>
        <w:rPr>
          <w:rFonts w:hint="eastAsia"/>
          <w:b/>
          <w:bCs/>
          <w:lang w:val="en-US" w:eastAsia="zh-CN"/>
        </w:rPr>
      </w:pPr>
      <w:r>
        <w:rPr>
          <w:rFonts w:hint="eastAsia"/>
          <w:b/>
          <w:bCs/>
          <w:lang w:val="en-US" w:eastAsia="zh-CN"/>
        </w:rPr>
        <w:t>八、材料品牌报审管理要求</w:t>
      </w:r>
    </w:p>
    <w:p w14:paraId="7070616E">
      <w:pPr>
        <w:rPr>
          <w:rFonts w:hint="default"/>
          <w:lang w:val="en-US" w:eastAsia="zh-CN"/>
        </w:rPr>
      </w:pPr>
      <w:r>
        <w:rPr>
          <w:rFonts w:hint="default"/>
          <w:lang w:val="en-US" w:eastAsia="zh-CN"/>
        </w:rPr>
        <w:t>第一条 材料品牌报审原则</w:t>
      </w:r>
    </w:p>
    <w:p w14:paraId="7CAA7C84">
      <w:pPr>
        <w:rPr>
          <w:rFonts w:hint="default"/>
          <w:lang w:val="en-US" w:eastAsia="zh-CN"/>
        </w:rPr>
      </w:pPr>
      <w:r>
        <w:rPr>
          <w:rFonts w:hint="default"/>
          <w:lang w:val="en-US" w:eastAsia="zh-CN"/>
        </w:rPr>
        <w:t>1.本工程所涉及的主要材料、设备、构配件(以下简称”材料”)的品牌、规格、技术参数等均应符合设计文件、国家相关标准及合同约定的质量要求。</w:t>
      </w:r>
    </w:p>
    <w:p w14:paraId="588360ED">
      <w:pPr>
        <w:rPr>
          <w:rFonts w:hint="default"/>
          <w:lang w:val="en-US" w:eastAsia="zh-CN"/>
        </w:rPr>
      </w:pPr>
      <w:r>
        <w:rPr>
          <w:rFonts w:hint="default"/>
          <w:lang w:val="en-US" w:eastAsia="zh-CN"/>
        </w:rPr>
        <w:t>2.</w:t>
      </w:r>
      <w:r>
        <w:rPr>
          <w:rFonts w:hint="eastAsia"/>
          <w:lang w:val="en-US" w:eastAsia="zh-CN"/>
        </w:rPr>
        <w:t>乙方</w:t>
      </w:r>
      <w:r>
        <w:rPr>
          <w:rFonts w:hint="default"/>
          <w:lang w:val="en-US" w:eastAsia="zh-CN"/>
        </w:rPr>
        <w:t>应在材料采购前至少 30个日历日向</w:t>
      </w:r>
      <w:r>
        <w:rPr>
          <w:rFonts w:hint="eastAsia"/>
          <w:lang w:val="en-US" w:eastAsia="zh-CN"/>
        </w:rPr>
        <w:t>甲方</w:t>
      </w:r>
      <w:r>
        <w:rPr>
          <w:rFonts w:hint="default"/>
          <w:lang w:val="en-US" w:eastAsia="zh-CN"/>
        </w:rPr>
        <w:t>提交《材料品牌报审表》，并附相关证明文件，经书面批准后方可采购使用。未经批准的材料不得进场，否则视为不合格材料。</w:t>
      </w:r>
    </w:p>
    <w:p w14:paraId="1F3BB899">
      <w:pPr>
        <w:rPr>
          <w:rFonts w:hint="default"/>
          <w:lang w:val="en-US" w:eastAsia="zh-CN"/>
        </w:rPr>
      </w:pPr>
      <w:r>
        <w:rPr>
          <w:rFonts w:hint="default"/>
          <w:lang w:val="en-US" w:eastAsia="zh-CN"/>
        </w:rPr>
        <w:t>3.</w:t>
      </w:r>
      <w:r>
        <w:rPr>
          <w:rFonts w:hint="eastAsia"/>
          <w:lang w:val="en-US" w:eastAsia="zh-CN"/>
        </w:rPr>
        <w:t>乙方</w:t>
      </w:r>
      <w:r>
        <w:rPr>
          <w:rFonts w:hint="default"/>
          <w:lang w:val="en-US" w:eastAsia="zh-CN"/>
        </w:rPr>
        <w:t>提交报审材料时，应提供至少3个同档次、同质量等级的推荐品牌供选择，并注明优先顺序及技术经济对比分析。发包人有权在推荐品牌中选择或另行指定同等档次的品牌。</w:t>
      </w:r>
    </w:p>
    <w:p w14:paraId="046A4D70">
      <w:pPr>
        <w:rPr>
          <w:rFonts w:hint="default"/>
          <w:lang w:val="en-US" w:eastAsia="zh-CN"/>
        </w:rPr>
      </w:pPr>
      <w:r>
        <w:rPr>
          <w:rFonts w:hint="default"/>
          <w:lang w:val="en-US" w:eastAsia="zh-CN"/>
        </w:rPr>
        <w:t>第二条 报审文件要求</w:t>
      </w:r>
    </w:p>
    <w:p w14:paraId="29097279">
      <w:pPr>
        <w:rPr>
          <w:rFonts w:hint="default"/>
          <w:lang w:val="en-US" w:eastAsia="zh-CN"/>
        </w:rPr>
      </w:pPr>
      <w:r>
        <w:rPr>
          <w:rFonts w:hint="eastAsia"/>
          <w:lang w:val="en-US" w:eastAsia="zh-CN"/>
        </w:rPr>
        <w:t>乙方</w:t>
      </w:r>
      <w:r>
        <w:rPr>
          <w:rFonts w:hint="default"/>
          <w:lang w:val="en-US" w:eastAsia="zh-CN"/>
        </w:rPr>
        <w:t>提交材料品牌报审时需提供以下资料:</w:t>
      </w:r>
    </w:p>
    <w:p w14:paraId="79D06E75">
      <w:pPr>
        <w:rPr>
          <w:rFonts w:hint="default"/>
          <w:lang w:val="en-US" w:eastAsia="zh-CN"/>
        </w:rPr>
      </w:pPr>
      <w:r>
        <w:rPr>
          <w:rFonts w:hint="default"/>
          <w:lang w:val="en-US" w:eastAsia="zh-CN"/>
        </w:rPr>
        <w:t>1.材料品牌、规格、型号、技术参数及执行标准;</w:t>
      </w:r>
    </w:p>
    <w:p w14:paraId="702FCC8F">
      <w:pPr>
        <w:rPr>
          <w:rFonts w:hint="default"/>
          <w:lang w:val="en-US" w:eastAsia="zh-CN"/>
        </w:rPr>
      </w:pPr>
      <w:r>
        <w:rPr>
          <w:rFonts w:hint="default"/>
          <w:lang w:val="en-US" w:eastAsia="zh-CN"/>
        </w:rPr>
        <w:t>2.生产厂家的资质证明、质量认证文件(如ISO认证、行业检测报告等)</w:t>
      </w:r>
    </w:p>
    <w:p w14:paraId="71EF4B0A">
      <w:pPr>
        <w:rPr>
          <w:rFonts w:hint="default"/>
          <w:lang w:val="en-US" w:eastAsia="zh-CN"/>
        </w:rPr>
      </w:pPr>
      <w:r>
        <w:rPr>
          <w:rFonts w:hint="default"/>
          <w:lang w:val="en-US" w:eastAsia="zh-CN"/>
        </w:rPr>
        <w:t>3.材料样品(如需)或实物图片、技术说明书;</w:t>
      </w:r>
    </w:p>
    <w:p w14:paraId="0ED3A37A">
      <w:pPr>
        <w:rPr>
          <w:rFonts w:hint="default"/>
          <w:lang w:val="en-US" w:eastAsia="zh-CN"/>
        </w:rPr>
      </w:pPr>
      <w:r>
        <w:rPr>
          <w:rFonts w:hint="default"/>
          <w:lang w:val="en-US" w:eastAsia="zh-CN"/>
        </w:rPr>
        <w:t>4.推荐品牌的市场价格、供货周期及售后服务承诺:</w:t>
      </w:r>
    </w:p>
    <w:p w14:paraId="16ABB238">
      <w:pPr>
        <w:rPr>
          <w:rFonts w:hint="default"/>
          <w:lang w:val="en-US" w:eastAsia="zh-CN"/>
        </w:rPr>
      </w:pPr>
      <w:r>
        <w:rPr>
          <w:rFonts w:hint="default"/>
          <w:lang w:val="en-US" w:eastAsia="zh-CN"/>
        </w:rPr>
        <w:t>5.其他</w:t>
      </w:r>
      <w:r>
        <w:rPr>
          <w:rFonts w:hint="eastAsia"/>
          <w:lang w:val="en-US" w:eastAsia="zh-CN"/>
        </w:rPr>
        <w:t>甲方</w:t>
      </w:r>
      <w:r>
        <w:rPr>
          <w:rFonts w:hint="default"/>
          <w:lang w:val="en-US" w:eastAsia="zh-CN"/>
        </w:rPr>
        <w:t>单位要求的证明文件。</w:t>
      </w:r>
    </w:p>
    <w:p w14:paraId="1A8B309B">
      <w:pPr>
        <w:widowControl w:val="0"/>
        <w:numPr>
          <w:numId w:val="0"/>
        </w:num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AB567"/>
    <w:multiLevelType w:val="singleLevel"/>
    <w:tmpl w:val="0EAAB567"/>
    <w:lvl w:ilvl="0" w:tentative="0">
      <w:start w:val="1"/>
      <w:numFmt w:val="decimal"/>
      <w:suff w:val="nothing"/>
      <w:lvlText w:val="%1、"/>
      <w:lvlJc w:val="left"/>
    </w:lvl>
  </w:abstractNum>
  <w:abstractNum w:abstractNumId="1">
    <w:nsid w:val="74EBC244"/>
    <w:multiLevelType w:val="singleLevel"/>
    <w:tmpl w:val="74EBC244"/>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170A14DE"/>
    <w:rsid w:val="022B3727"/>
    <w:rsid w:val="04427BE8"/>
    <w:rsid w:val="105D3EEA"/>
    <w:rsid w:val="18403B6F"/>
    <w:rsid w:val="306D597F"/>
    <w:rsid w:val="42723CE5"/>
    <w:rsid w:val="462439D6"/>
    <w:rsid w:val="4AB50E6A"/>
    <w:rsid w:val="55977CE7"/>
    <w:rsid w:val="586F5BEA"/>
    <w:rsid w:val="79DB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1308</Words>
  <Characters>1701</Characters>
  <Lines>0</Lines>
  <Paragraphs>0</Paragraphs>
  <TotalTime>0</TotalTime>
  <ScaleCrop>false</ScaleCrop>
  <LinksUpToDate>false</LinksUpToDate>
  <CharactersWithSpaces>1701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2025-02-21T07:10:00Z</dcterms:created>
  <dc:creator>陈晓辉</dc:creator>
  <cp:lastModifiedBy>黄惠东</cp:lastModifiedBy>
  <dcterms:modified xsi:type="dcterms:W3CDTF">2025-03-20T09:57:35Z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1CB8156E5C6948BAB42E900FFACD959A_11</vt:lpwstr>
  </property>
  <property fmtid="{D5CDD505-2E9C-101B-9397-08002B2CF9AE}" pid="4" name="KSOTemplateDocerSaveRecord">
    <vt:lpwstr>eyJoZGlkIjoiMjgxYmMwNjAxMTNkODI4Zjk3NjFjYWFiMTRlNzI0MGIiLCJ1c2VySWQiOiIxNTgyODMyODkzIn0=</vt:lpwstr>
  </property>
</Properties>
</file>