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6DF74">
      <w:pPr>
        <w:jc w:val="center"/>
        <w:rPr>
          <w:rFonts w:hint="eastAsia" w:ascii="楷体_GB2312" w:hAnsi="楷体_GB2312" w:eastAsia="楷体_GB2312" w:cs="楷体_GB2312"/>
          <w:sz w:val="32"/>
        </w:rPr>
      </w:pPr>
      <w:r>
        <w:rPr>
          <w:rFonts w:hint="eastAsia" w:ascii="楷体_GB2312" w:hAnsi="楷体_GB2312" w:eastAsia="楷体_GB2312" w:cs="楷体_GB2312"/>
          <w:sz w:val="32"/>
        </w:rPr>
        <w:t>采购公告</w:t>
      </w:r>
    </w:p>
    <w:p w14:paraId="27A5F156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344D4009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Cs w:val="21"/>
        </w:rPr>
        <w:t>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中山路历史文化街区改造项目太平路口东侧片区改造工程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土石方工程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公开采购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024163D0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项目名称：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中山路历史文化街区改造项目太平路口东侧片区改造工程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土石方工程</w:t>
      </w:r>
    </w:p>
    <w:p w14:paraId="44945202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项目编号：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ZBCG-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-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</w:t>
      </w:r>
    </w:p>
    <w:p w14:paraId="3CC15E4C">
      <w:pPr>
        <w:widowControl/>
        <w:snapToGrid w:val="0"/>
        <w:spacing w:line="360" w:lineRule="auto"/>
        <w:ind w:left="42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三、工程地点：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东莞石龙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            </w:t>
      </w:r>
    </w:p>
    <w:p w14:paraId="1D5B676A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四、采购限价：本项目采购控制价为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577325.26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元（含税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%）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Cs w:val="21"/>
        </w:rPr>
        <w:t>其中不含税工程价款为: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(小写)¥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529656.20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伍拾贰万玖仟陆佰伍拾陆元贰角整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;</w:t>
      </w:r>
      <w:r>
        <w:rPr>
          <w:rFonts w:hint="eastAsia" w:ascii="仿宋_GB2312" w:hAnsi="仿宋_GB2312" w:eastAsia="仿宋_GB2312" w:cs="仿宋_GB2312"/>
          <w:kern w:val="0"/>
          <w:szCs w:val="21"/>
        </w:rPr>
        <w:t>税金:(小写)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47669.06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肆万柒仟陆佰陆拾玖元零陆分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。（投标人报价不得高于采购限价）</w:t>
      </w:r>
    </w:p>
    <w:p w14:paraId="106DA5E1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五、工程概况：</w:t>
      </w:r>
      <w:r>
        <w:rPr>
          <w:rFonts w:hint="eastAsia" w:ascii="仿宋_GB2312" w:hAnsi="仿宋_GB2312" w:eastAsia="仿宋_GB2312" w:cs="仿宋_GB2312"/>
          <w:szCs w:val="21"/>
          <w:u w:val="none"/>
        </w:rPr>
        <w:t xml:space="preserve"> 本项目属改造工程，占地面积 27477 平方米。项目主要对石龙镇太平路口东侧片区内城市公共空间进行地面铺装、照明灯具、栏杆、标识标牌、儿童及运动设施、建构筑物等进行更新升级，完善给排水系统，并对片区内的池塘水体进行活化整治，构筑亲水平台，实现城市环境的整体提升。</w:t>
      </w:r>
    </w:p>
    <w:p w14:paraId="7D170256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六、工程范围：</w:t>
      </w:r>
      <w:bookmarkStart w:id="0" w:name="OLE_LINK1"/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主要内容涉及项目土方、淤泥、流砂开挖工作等，含施工措施费、安全文明施工费、赶工措施费、夜间施工增加费、土方消纳费及相关环保费用等一切相关措施费用，具体详见工程量清单</w:t>
      </w:r>
      <w:bookmarkEnd w:id="0"/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。</w:t>
      </w:r>
    </w:p>
    <w:p w14:paraId="7384F47F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七、承包方式：</w:t>
      </w:r>
    </w:p>
    <w:p w14:paraId="1117E120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1、开挖淤泥工程量按原始自然体积计算，以项目总承包，监理，代建共同确认的网格标高图计算体积结算。</w:t>
      </w:r>
    </w:p>
    <w:p w14:paraId="71D3357C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2、施工措施费、安全文明施工费、赶工措施费、夜间施工增加费等在综合单价中考虑，不另外计取。</w:t>
      </w:r>
    </w:p>
    <w:p w14:paraId="4A0A5451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3、土方消纳费及相关环保费用在综合单价中考虑，不另外计取。</w:t>
      </w:r>
    </w:p>
    <w:p w14:paraId="22716318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4、食宿自理，项目不予提供，均在综合综合单价中考虑；</w:t>
      </w:r>
    </w:p>
    <w:p w14:paraId="3F2377BF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5、车辆进出施工现场等冲洗，市政路污染清洗等一切相关措施费用，人工，辅材等均在综合单价中考虑，不另外计取；</w:t>
      </w:r>
    </w:p>
    <w:p w14:paraId="398F3927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6、临时填挖或垫钢板等相关措施费用均含在综合单价内，不另外计取</w:t>
      </w:r>
    </w:p>
    <w:p w14:paraId="180D3C48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7、原河水排放、疏干等相关措施费用均含在综合单价中，不另外计取。</w:t>
      </w:r>
    </w:p>
    <w:p w14:paraId="16A57538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8、水电费按合同结算价的0.5%扣除。</w:t>
      </w:r>
    </w:p>
    <w:p w14:paraId="1C65918E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八、工期：计划开、竣工日期：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03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日至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日，工期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日历天，具体施工时间根据项目部施工进度安排。</w:t>
      </w:r>
    </w:p>
    <w:p w14:paraId="2863EAE4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九、投标文件的递交时间及开标地点：以密封形式于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03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分前递交，截止时间为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03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分，所有应答文件必须在规定的应答截止时间前按规定地址送达采购人，逾期恕不接受。</w:t>
      </w:r>
    </w:p>
    <w:p w14:paraId="5727CA9D">
      <w:pPr>
        <w:widowControl/>
        <w:snapToGrid w:val="0"/>
        <w:spacing w:line="360" w:lineRule="auto"/>
        <w:ind w:firstLine="630" w:firstLineChars="3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开标地址：东莞市南城街道城市风景街8栋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Cs w:val="21"/>
        </w:rPr>
        <w:t>层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kern w:val="0"/>
          <w:szCs w:val="21"/>
        </w:rPr>
        <w:t>开标室。</w:t>
      </w:r>
    </w:p>
    <w:p w14:paraId="18208177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十、注意事项：</w:t>
      </w:r>
    </w:p>
    <w:p w14:paraId="7101D2D1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1、投标人必须全面响应采购文件要求，投标人任何附加条件采购人一律不接受或视为废标。</w:t>
      </w:r>
    </w:p>
    <w:p w14:paraId="1656BBEA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2、中标人严禁有挂靠或者违法转包行为。</w:t>
      </w:r>
    </w:p>
    <w:p w14:paraId="2CD95D09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3、投标文件严禁出现不平衡报价。</w:t>
      </w:r>
    </w:p>
    <w:p w14:paraId="4651C809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4、质量要求：现行的施工规范要求。</w:t>
      </w:r>
    </w:p>
    <w:p w14:paraId="2C6BF138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十一、采购文件获取：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szCs w:val="21"/>
        </w:rPr>
        <w:t>公司官网（http: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Cs w:val="21"/>
        </w:rPr>
        <w:t>/www.dggcc.cn）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4A4A95A7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十二、其他及特别内容说明：</w:t>
      </w:r>
    </w:p>
    <w:p w14:paraId="1AA3DA87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参考品牌（同等或优于）：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/    </w:t>
      </w:r>
      <w:r>
        <w:rPr>
          <w:rFonts w:hint="eastAsia" w:ascii="仿宋_GB2312" w:hAnsi="仿宋_GB2312" w:eastAsia="仿宋_GB2312" w:cs="仿宋_GB2312"/>
          <w:kern w:val="0"/>
          <w:szCs w:val="21"/>
        </w:rPr>
        <w:t>；进场需经采购人审核同意方可使用。</w:t>
      </w:r>
    </w:p>
    <w:p w14:paraId="30E330D4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十三、有关此次采购答疑事宜，按下列地址以书面或电话形式向采购人查询：  </w:t>
      </w:r>
    </w:p>
    <w:p w14:paraId="7CD9EFFB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采购人：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4242E49B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地址：东莞市南城区城市风景街8栋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Cs w:val="21"/>
        </w:rPr>
        <w:t>层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62E8BF55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联系人：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kern w:val="0"/>
          <w:szCs w:val="21"/>
        </w:rPr>
        <w:t>工                   邮政编码：523000</w:t>
      </w:r>
      <w:bookmarkStart w:id="1" w:name="_GoBack"/>
      <w:bookmarkEnd w:id="1"/>
    </w:p>
    <w:p w14:paraId="59C047E8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联系方式：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       传真：0769-39009090</w:t>
      </w:r>
    </w:p>
    <w:p w14:paraId="71BA39B7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543DC074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2BAFC979">
      <w:pPr>
        <w:widowControl/>
        <w:wordWrap w:val="0"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年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月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日     </w:t>
      </w:r>
    </w:p>
    <w:p w14:paraId="0B122B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2FC7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2025-02-28T03:24:31Z</dcterms:created>
  <dc:creator>lenovo</dc:creator>
  <cp:lastModifiedBy>黄惠东</cp:lastModifiedBy>
  <dcterms:modified xsi:type="dcterms:W3CDTF">2025-02-28T03:24:54Z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20F1949C089F41459F6E51BA5BCBA8DF_12</vt:lpwstr>
  </property>
</Properties>
</file>