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DB1F2">
      <w:pPr>
        <w:pStyle w:val="2"/>
        <w:spacing w:before="70" w:line="228" w:lineRule="auto"/>
        <w:ind w:left="3818" w:right="237" w:hanging="3497"/>
        <w:outlineLvl w:val="0"/>
        <w:rPr>
          <w:rFonts w:hint="default" w:eastAsia="宋体"/>
          <w:sz w:val="35"/>
          <w:szCs w:val="35"/>
          <w:lang w:val="en-US" w:eastAsia="zh-CN"/>
        </w:rPr>
      </w:pPr>
      <w:r>
        <w:rPr>
          <w:b/>
          <w:bCs/>
          <w:spacing w:val="6"/>
          <w:sz w:val="35"/>
          <w:szCs w:val="35"/>
        </w:rPr>
        <w:t>中山路历史文化街区改造项目--太平路口东侧片区改造工</w:t>
      </w:r>
      <w:r>
        <w:rPr>
          <w:b/>
          <w:bCs/>
          <w:spacing w:val="5"/>
          <w:sz w:val="35"/>
          <w:szCs w:val="35"/>
        </w:rPr>
        <w:t>程-</w:t>
      </w:r>
      <w:r>
        <w:rPr>
          <w:sz w:val="35"/>
          <w:szCs w:val="35"/>
        </w:rPr>
        <w:t xml:space="preserve"> </w:t>
      </w:r>
      <w:r>
        <w:rPr>
          <w:b/>
          <w:bCs/>
          <w:spacing w:val="5"/>
          <w:sz w:val="35"/>
          <w:szCs w:val="35"/>
        </w:rPr>
        <w:t>土石方工程</w:t>
      </w:r>
      <w:r>
        <w:rPr>
          <w:rFonts w:hint="eastAsia"/>
          <w:b/>
          <w:bCs/>
          <w:spacing w:val="5"/>
          <w:sz w:val="35"/>
          <w:szCs w:val="35"/>
          <w:lang w:val="en-US" w:eastAsia="zh-CN"/>
        </w:rPr>
        <w:t>工程量清单</w:t>
      </w:r>
    </w:p>
    <w:p w14:paraId="1518000B">
      <w:pPr>
        <w:spacing w:line="182" w:lineRule="exact"/>
      </w:pPr>
    </w:p>
    <w:tbl>
      <w:tblPr>
        <w:tblStyle w:val="5"/>
        <w:tblW w:w="10068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1617"/>
        <w:gridCol w:w="2626"/>
        <w:gridCol w:w="732"/>
        <w:gridCol w:w="990"/>
        <w:gridCol w:w="1019"/>
        <w:gridCol w:w="1062"/>
        <w:gridCol w:w="1243"/>
      </w:tblGrid>
      <w:tr w14:paraId="064180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779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  <w:right w:val="single" w:color="000000" w:sz="14" w:space="0"/>
            </w:tcBorders>
            <w:vAlign w:val="top"/>
          </w:tcPr>
          <w:p w14:paraId="7AA025C3">
            <w:pPr>
              <w:spacing w:line="320" w:lineRule="auto"/>
              <w:rPr>
                <w:rFonts w:ascii="Arial"/>
                <w:sz w:val="21"/>
              </w:rPr>
            </w:pPr>
          </w:p>
          <w:p w14:paraId="0686AD65">
            <w:pPr>
              <w:pStyle w:val="6"/>
              <w:spacing w:before="62" w:line="230" w:lineRule="auto"/>
              <w:ind w:left="192"/>
            </w:pPr>
            <w:r>
              <w:rPr>
                <w:spacing w:val="5"/>
              </w:rPr>
              <w:t>序号</w:t>
            </w:r>
          </w:p>
        </w:tc>
        <w:tc>
          <w:tcPr>
            <w:tcW w:w="1617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vAlign w:val="top"/>
          </w:tcPr>
          <w:p w14:paraId="11469AB8">
            <w:pPr>
              <w:spacing w:line="321" w:lineRule="auto"/>
              <w:rPr>
                <w:rFonts w:ascii="Arial"/>
                <w:sz w:val="21"/>
              </w:rPr>
            </w:pPr>
          </w:p>
          <w:p w14:paraId="4CC4D0DE">
            <w:pPr>
              <w:pStyle w:val="6"/>
              <w:spacing w:before="61" w:line="229" w:lineRule="auto"/>
              <w:ind w:left="406"/>
            </w:pPr>
            <w:r>
              <w:rPr>
                <w:spacing w:val="6"/>
              </w:rPr>
              <w:t>项目名称</w:t>
            </w:r>
          </w:p>
        </w:tc>
        <w:tc>
          <w:tcPr>
            <w:tcW w:w="2626" w:type="dxa"/>
            <w:vMerge w:val="restart"/>
            <w:tcBorders>
              <w:top w:val="single" w:color="000000" w:sz="14" w:space="0"/>
              <w:bottom w:val="nil"/>
            </w:tcBorders>
            <w:vAlign w:val="top"/>
          </w:tcPr>
          <w:p w14:paraId="53326C43">
            <w:pPr>
              <w:spacing w:line="321" w:lineRule="auto"/>
              <w:rPr>
                <w:rFonts w:ascii="Arial"/>
                <w:sz w:val="21"/>
              </w:rPr>
            </w:pPr>
          </w:p>
          <w:p w14:paraId="6D033740">
            <w:pPr>
              <w:pStyle w:val="6"/>
              <w:spacing w:before="62" w:line="228" w:lineRule="auto"/>
              <w:ind w:left="724"/>
            </w:pPr>
            <w:r>
              <w:rPr>
                <w:spacing w:val="7"/>
              </w:rPr>
              <w:t>项目特征描述</w:t>
            </w:r>
          </w:p>
        </w:tc>
        <w:tc>
          <w:tcPr>
            <w:tcW w:w="732" w:type="dxa"/>
            <w:vMerge w:val="restart"/>
            <w:tcBorders>
              <w:top w:val="single" w:color="000000" w:sz="14" w:space="0"/>
              <w:bottom w:val="nil"/>
            </w:tcBorders>
            <w:vAlign w:val="top"/>
          </w:tcPr>
          <w:p w14:paraId="5D0F236E">
            <w:pPr>
              <w:pStyle w:val="6"/>
              <w:spacing w:before="262" w:line="235" w:lineRule="auto"/>
              <w:ind w:left="276" w:right="50" w:hanging="199"/>
            </w:pPr>
            <w:r>
              <w:rPr>
                <w:spacing w:val="6"/>
              </w:rPr>
              <w:t>计量单</w:t>
            </w:r>
            <w:r>
              <w:t xml:space="preserve"> </w:t>
            </w:r>
            <w:r>
              <w:rPr>
                <w:spacing w:val="1"/>
              </w:rPr>
              <w:t>位</w:t>
            </w:r>
          </w:p>
        </w:tc>
        <w:tc>
          <w:tcPr>
            <w:tcW w:w="990" w:type="dxa"/>
            <w:vMerge w:val="restart"/>
            <w:tcBorders>
              <w:top w:val="single" w:color="000000" w:sz="14" w:space="0"/>
              <w:bottom w:val="nil"/>
            </w:tcBorders>
            <w:vAlign w:val="top"/>
          </w:tcPr>
          <w:p w14:paraId="2B17CCA1">
            <w:pPr>
              <w:spacing w:line="321" w:lineRule="auto"/>
              <w:rPr>
                <w:rFonts w:ascii="Arial"/>
                <w:sz w:val="21"/>
              </w:rPr>
            </w:pPr>
          </w:p>
          <w:p w14:paraId="305EE697">
            <w:pPr>
              <w:pStyle w:val="6"/>
              <w:spacing w:before="61" w:line="229" w:lineRule="auto"/>
              <w:ind w:left="211"/>
            </w:pPr>
            <w:r>
              <w:rPr>
                <w:spacing w:val="5"/>
              </w:rPr>
              <w:t>工程量</w:t>
            </w:r>
          </w:p>
        </w:tc>
        <w:tc>
          <w:tcPr>
            <w:tcW w:w="3324" w:type="dxa"/>
            <w:gridSpan w:val="3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E33826">
            <w:pPr>
              <w:pStyle w:val="6"/>
              <w:spacing w:before="66" w:line="227" w:lineRule="auto"/>
              <w:ind w:left="1182"/>
            </w:pPr>
            <w:r>
              <w:rPr>
                <w:spacing w:val="5"/>
              </w:rPr>
              <w:t>金额（元）</w:t>
            </w:r>
          </w:p>
        </w:tc>
      </w:tr>
      <w:tr w14:paraId="1FF4CB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79" w:type="dxa"/>
            <w:vMerge w:val="continue"/>
            <w:tcBorders>
              <w:top w:val="nil"/>
              <w:left w:val="single" w:color="000000" w:sz="14" w:space="0"/>
              <w:bottom w:val="nil"/>
              <w:right w:val="single" w:color="000000" w:sz="14" w:space="0"/>
            </w:tcBorders>
            <w:vAlign w:val="top"/>
          </w:tcPr>
          <w:p w14:paraId="61BCC4DB">
            <w:pPr>
              <w:rPr>
                <w:rFonts w:ascii="Arial"/>
                <w:sz w:val="21"/>
              </w:rPr>
            </w:pPr>
          </w:p>
        </w:tc>
        <w:tc>
          <w:tcPr>
            <w:tcW w:w="1617" w:type="dxa"/>
            <w:vMerge w:val="continue"/>
            <w:tcBorders>
              <w:top w:val="nil"/>
              <w:left w:val="single" w:color="000000" w:sz="14" w:space="0"/>
              <w:bottom w:val="nil"/>
            </w:tcBorders>
            <w:vAlign w:val="top"/>
          </w:tcPr>
          <w:p w14:paraId="2F1113BB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Merge w:val="continue"/>
            <w:tcBorders>
              <w:top w:val="nil"/>
              <w:bottom w:val="nil"/>
            </w:tcBorders>
            <w:vAlign w:val="top"/>
          </w:tcPr>
          <w:p w14:paraId="24DE5D80"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vMerge w:val="continue"/>
            <w:tcBorders>
              <w:top w:val="nil"/>
              <w:bottom w:val="nil"/>
            </w:tcBorders>
            <w:vAlign w:val="top"/>
          </w:tcPr>
          <w:p w14:paraId="6462A501"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vMerge w:val="continue"/>
            <w:tcBorders>
              <w:top w:val="nil"/>
              <w:bottom w:val="nil"/>
            </w:tcBorders>
            <w:vAlign w:val="top"/>
          </w:tcPr>
          <w:p w14:paraId="37689BDA"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Merge w:val="restart"/>
            <w:tcBorders>
              <w:bottom w:val="nil"/>
            </w:tcBorders>
            <w:vAlign w:val="top"/>
          </w:tcPr>
          <w:p w14:paraId="39D97FA9">
            <w:pPr>
              <w:pStyle w:val="6"/>
              <w:spacing w:before="95" w:line="234" w:lineRule="auto"/>
              <w:ind w:left="227" w:right="86" w:hanging="95"/>
            </w:pPr>
            <w:r>
              <w:rPr>
                <w:spacing w:val="6"/>
              </w:rPr>
              <w:t>不含税综</w:t>
            </w:r>
            <w:r>
              <w:t xml:space="preserve"> </w:t>
            </w:r>
            <w:r>
              <w:rPr>
                <w:spacing w:val="6"/>
              </w:rPr>
              <w:t>合单价</w:t>
            </w:r>
          </w:p>
        </w:tc>
        <w:tc>
          <w:tcPr>
            <w:tcW w:w="1062" w:type="dxa"/>
            <w:vMerge w:val="restart"/>
            <w:tcBorders>
              <w:bottom w:val="nil"/>
            </w:tcBorders>
            <w:vAlign w:val="top"/>
          </w:tcPr>
          <w:p w14:paraId="58792F68">
            <w:pPr>
              <w:pStyle w:val="6"/>
              <w:spacing w:before="220" w:line="227" w:lineRule="auto"/>
              <w:ind w:left="354"/>
            </w:pPr>
            <w:r>
              <w:rPr>
                <w:rFonts w:hint="eastAsia"/>
                <w:spacing w:val="4"/>
                <w:lang w:val="en-US" w:eastAsia="zh-CN"/>
              </w:rPr>
              <w:t>不含税</w:t>
            </w:r>
            <w:r>
              <w:rPr>
                <w:spacing w:val="4"/>
              </w:rPr>
              <w:t>合价</w:t>
            </w:r>
          </w:p>
        </w:tc>
        <w:tc>
          <w:tcPr>
            <w:tcW w:w="1243" w:type="dxa"/>
            <w:tcBorders>
              <w:right w:val="single" w:color="000000" w:sz="14" w:space="0"/>
            </w:tcBorders>
            <w:vAlign w:val="top"/>
          </w:tcPr>
          <w:p w14:paraId="1FCB5441">
            <w:pPr>
              <w:pStyle w:val="6"/>
              <w:spacing w:before="60" w:line="225" w:lineRule="auto"/>
              <w:ind w:left="444"/>
            </w:pPr>
            <w:r>
              <w:rPr>
                <w:spacing w:val="4"/>
              </w:rPr>
              <w:t>其中</w:t>
            </w:r>
          </w:p>
        </w:tc>
      </w:tr>
      <w:tr w14:paraId="59449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79" w:type="dxa"/>
            <w:vMerge w:val="continue"/>
            <w:tcBorders>
              <w:top w:val="nil"/>
              <w:left w:val="single" w:color="000000" w:sz="14" w:space="0"/>
              <w:right w:val="single" w:color="000000" w:sz="14" w:space="0"/>
            </w:tcBorders>
            <w:vAlign w:val="top"/>
          </w:tcPr>
          <w:p w14:paraId="64F2EDBB">
            <w:pPr>
              <w:rPr>
                <w:rFonts w:ascii="Arial"/>
                <w:sz w:val="21"/>
              </w:rPr>
            </w:pPr>
          </w:p>
        </w:tc>
        <w:tc>
          <w:tcPr>
            <w:tcW w:w="1617" w:type="dxa"/>
            <w:vMerge w:val="continue"/>
            <w:tcBorders>
              <w:top w:val="nil"/>
              <w:left w:val="single" w:color="000000" w:sz="14" w:space="0"/>
            </w:tcBorders>
            <w:vAlign w:val="top"/>
          </w:tcPr>
          <w:p w14:paraId="4C8C34C8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Merge w:val="continue"/>
            <w:tcBorders>
              <w:top w:val="nil"/>
            </w:tcBorders>
            <w:vAlign w:val="top"/>
          </w:tcPr>
          <w:p w14:paraId="788790CF"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vMerge w:val="continue"/>
            <w:tcBorders>
              <w:top w:val="nil"/>
            </w:tcBorders>
            <w:vAlign w:val="top"/>
          </w:tcPr>
          <w:p w14:paraId="2982FED5"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 w14:paraId="66C14E63"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Merge w:val="continue"/>
            <w:tcBorders>
              <w:top w:val="nil"/>
            </w:tcBorders>
            <w:vAlign w:val="top"/>
          </w:tcPr>
          <w:p w14:paraId="705EE36B">
            <w:pPr>
              <w:rPr>
                <w:rFonts w:ascii="Arial"/>
                <w:sz w:val="21"/>
              </w:rPr>
            </w:pPr>
          </w:p>
        </w:tc>
        <w:tc>
          <w:tcPr>
            <w:tcW w:w="1062" w:type="dxa"/>
            <w:vMerge w:val="continue"/>
            <w:tcBorders>
              <w:top w:val="nil"/>
            </w:tcBorders>
            <w:vAlign w:val="top"/>
          </w:tcPr>
          <w:p w14:paraId="698A635A">
            <w:pPr>
              <w:rPr>
                <w:rFonts w:ascii="Arial"/>
                <w:sz w:val="21"/>
              </w:rPr>
            </w:pPr>
          </w:p>
        </w:tc>
        <w:tc>
          <w:tcPr>
            <w:tcW w:w="1243" w:type="dxa"/>
            <w:tcBorders>
              <w:right w:val="single" w:color="000000" w:sz="14" w:space="0"/>
            </w:tcBorders>
            <w:vAlign w:val="top"/>
          </w:tcPr>
          <w:p w14:paraId="534F9571">
            <w:pPr>
              <w:pStyle w:val="6"/>
              <w:spacing w:before="63" w:line="222" w:lineRule="auto"/>
              <w:ind w:left="348"/>
            </w:pPr>
            <w:r>
              <w:rPr>
                <w:spacing w:val="4"/>
              </w:rPr>
              <w:t>暂估价</w:t>
            </w:r>
          </w:p>
        </w:tc>
      </w:tr>
      <w:tr w14:paraId="47337C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9" w:type="dxa"/>
            <w:tcBorders>
              <w:left w:val="single" w:color="000000" w:sz="14" w:space="0"/>
              <w:right w:val="single" w:color="000000" w:sz="14" w:space="0"/>
            </w:tcBorders>
            <w:vAlign w:val="top"/>
          </w:tcPr>
          <w:p w14:paraId="71798BCA">
            <w:pPr>
              <w:spacing w:line="255" w:lineRule="auto"/>
              <w:rPr>
                <w:rFonts w:ascii="Arial"/>
                <w:sz w:val="21"/>
              </w:rPr>
            </w:pPr>
          </w:p>
          <w:p w14:paraId="15B99076">
            <w:pPr>
              <w:pStyle w:val="6"/>
              <w:spacing w:before="61" w:line="190" w:lineRule="auto"/>
              <w:ind w:left="357"/>
            </w:pPr>
            <w:r>
              <w:t>1</w:t>
            </w:r>
          </w:p>
        </w:tc>
        <w:tc>
          <w:tcPr>
            <w:tcW w:w="1617" w:type="dxa"/>
            <w:tcBorders>
              <w:left w:val="single" w:color="000000" w:sz="14" w:space="0"/>
            </w:tcBorders>
            <w:vAlign w:val="top"/>
          </w:tcPr>
          <w:p w14:paraId="5E385EC0">
            <w:pPr>
              <w:pStyle w:val="6"/>
              <w:spacing w:before="288" w:line="230" w:lineRule="auto"/>
              <w:ind w:left="25"/>
            </w:pPr>
            <w:r>
              <w:rPr>
                <w:spacing w:val="7"/>
              </w:rPr>
              <w:t>挖淤泥、流砂</w:t>
            </w:r>
          </w:p>
        </w:tc>
        <w:tc>
          <w:tcPr>
            <w:tcW w:w="2626" w:type="dxa"/>
            <w:vAlign w:val="top"/>
          </w:tcPr>
          <w:p w14:paraId="55EA97A8">
            <w:pPr>
              <w:pStyle w:val="6"/>
              <w:spacing w:before="166" w:line="227" w:lineRule="auto"/>
              <w:ind w:left="47"/>
            </w:pPr>
            <w:r>
              <w:rPr>
                <w:spacing w:val="6"/>
              </w:rPr>
              <w:t>1.挖掘深度:综合考虑</w:t>
            </w:r>
          </w:p>
          <w:p w14:paraId="6E2DEB65">
            <w:pPr>
              <w:pStyle w:val="6"/>
              <w:spacing w:before="12" w:line="227" w:lineRule="auto"/>
              <w:ind w:left="34"/>
            </w:pPr>
            <w:r>
              <w:rPr>
                <w:spacing w:val="7"/>
              </w:rPr>
              <w:t>2.运距:报价单位自行考虑</w:t>
            </w:r>
          </w:p>
        </w:tc>
        <w:tc>
          <w:tcPr>
            <w:tcW w:w="732" w:type="dxa"/>
            <w:vAlign w:val="top"/>
          </w:tcPr>
          <w:p w14:paraId="63B373D8">
            <w:pPr>
              <w:pStyle w:val="6"/>
              <w:spacing w:before="288" w:line="255" w:lineRule="exact"/>
              <w:ind w:left="271"/>
            </w:pPr>
            <w:r>
              <w:rPr>
                <w:spacing w:val="4"/>
                <w:position w:val="1"/>
              </w:rPr>
              <w:t>m3</w:t>
            </w:r>
          </w:p>
        </w:tc>
        <w:tc>
          <w:tcPr>
            <w:tcW w:w="990" w:type="dxa"/>
            <w:vAlign w:val="top"/>
          </w:tcPr>
          <w:p w14:paraId="538C57AA">
            <w:pPr>
              <w:spacing w:line="255" w:lineRule="auto"/>
              <w:rPr>
                <w:rFonts w:ascii="Arial"/>
                <w:sz w:val="21"/>
              </w:rPr>
            </w:pPr>
          </w:p>
          <w:p w14:paraId="7AA3A401">
            <w:pPr>
              <w:pStyle w:val="6"/>
              <w:spacing w:before="61" w:line="190" w:lineRule="auto"/>
              <w:ind w:right="10"/>
              <w:jc w:val="right"/>
            </w:pPr>
            <w:r>
              <w:rPr>
                <w:spacing w:val="3"/>
              </w:rPr>
              <w:t>4115</w:t>
            </w:r>
          </w:p>
        </w:tc>
        <w:tc>
          <w:tcPr>
            <w:tcW w:w="1019" w:type="dxa"/>
            <w:vAlign w:val="top"/>
          </w:tcPr>
          <w:p w14:paraId="0826D038">
            <w:pPr>
              <w:pStyle w:val="6"/>
              <w:spacing w:before="59" w:line="184" w:lineRule="auto"/>
              <w:ind w:left="60"/>
              <w:rPr>
                <w:sz w:val="18"/>
                <w:szCs w:val="18"/>
              </w:rPr>
            </w:pPr>
          </w:p>
        </w:tc>
        <w:tc>
          <w:tcPr>
            <w:tcW w:w="1062" w:type="dxa"/>
            <w:vAlign w:val="top"/>
          </w:tcPr>
          <w:p w14:paraId="1CA3BE83">
            <w:pPr>
              <w:pStyle w:val="6"/>
              <w:spacing w:before="59" w:line="183" w:lineRule="auto"/>
              <w:ind w:left="51"/>
              <w:rPr>
                <w:sz w:val="18"/>
                <w:szCs w:val="18"/>
              </w:rPr>
            </w:pPr>
          </w:p>
        </w:tc>
        <w:tc>
          <w:tcPr>
            <w:tcW w:w="1243" w:type="dxa"/>
            <w:tcBorders>
              <w:right w:val="single" w:color="000000" w:sz="14" w:space="0"/>
            </w:tcBorders>
            <w:vAlign w:val="top"/>
          </w:tcPr>
          <w:p w14:paraId="19043851"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/</w:t>
            </w:r>
          </w:p>
        </w:tc>
      </w:tr>
      <w:tr w14:paraId="7489DC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9" w:type="dxa"/>
            <w:tcBorders>
              <w:left w:val="single" w:color="000000" w:sz="14" w:space="0"/>
              <w:right w:val="single" w:color="000000" w:sz="14" w:space="0"/>
            </w:tcBorders>
            <w:vAlign w:val="top"/>
          </w:tcPr>
          <w:p w14:paraId="63178BE1">
            <w:pPr>
              <w:spacing w:line="262" w:lineRule="auto"/>
              <w:rPr>
                <w:rFonts w:ascii="Arial"/>
                <w:sz w:val="21"/>
              </w:rPr>
            </w:pPr>
          </w:p>
          <w:p w14:paraId="537D1D2F">
            <w:pPr>
              <w:pStyle w:val="6"/>
              <w:spacing w:before="61" w:line="189" w:lineRule="auto"/>
              <w:ind w:left="344"/>
            </w:pPr>
            <w:r>
              <w:t>2</w:t>
            </w:r>
          </w:p>
        </w:tc>
        <w:tc>
          <w:tcPr>
            <w:tcW w:w="1617" w:type="dxa"/>
            <w:tcBorders>
              <w:left w:val="single" w:color="000000" w:sz="14" w:space="0"/>
            </w:tcBorders>
            <w:vAlign w:val="top"/>
          </w:tcPr>
          <w:p w14:paraId="7B597E06">
            <w:pPr>
              <w:pStyle w:val="6"/>
              <w:spacing w:before="293" w:line="230" w:lineRule="auto"/>
              <w:ind w:left="29"/>
            </w:pPr>
            <w:r>
              <w:rPr>
                <w:spacing w:val="7"/>
              </w:rPr>
              <w:t>一般土方开挖</w:t>
            </w:r>
          </w:p>
        </w:tc>
        <w:tc>
          <w:tcPr>
            <w:tcW w:w="2626" w:type="dxa"/>
            <w:vAlign w:val="top"/>
          </w:tcPr>
          <w:p w14:paraId="718B2375">
            <w:pPr>
              <w:pStyle w:val="6"/>
              <w:spacing w:before="171" w:line="227" w:lineRule="auto"/>
              <w:ind w:left="47"/>
            </w:pPr>
            <w:r>
              <w:rPr>
                <w:spacing w:val="6"/>
              </w:rPr>
              <w:t>1.挖掘深度:综合考虑</w:t>
            </w:r>
          </w:p>
          <w:p w14:paraId="0A2A7676">
            <w:pPr>
              <w:pStyle w:val="6"/>
              <w:spacing w:before="12" w:line="227" w:lineRule="auto"/>
              <w:ind w:left="34"/>
            </w:pPr>
            <w:r>
              <w:rPr>
                <w:spacing w:val="7"/>
              </w:rPr>
              <w:t>2.运距:报价单位自行考虑</w:t>
            </w:r>
          </w:p>
        </w:tc>
        <w:tc>
          <w:tcPr>
            <w:tcW w:w="732" w:type="dxa"/>
            <w:vAlign w:val="top"/>
          </w:tcPr>
          <w:p w14:paraId="29475BFA">
            <w:pPr>
              <w:pStyle w:val="6"/>
              <w:spacing w:before="294" w:line="255" w:lineRule="exact"/>
              <w:ind w:left="271"/>
            </w:pPr>
            <w:r>
              <w:rPr>
                <w:spacing w:val="4"/>
                <w:position w:val="1"/>
              </w:rPr>
              <w:t>m3</w:t>
            </w:r>
          </w:p>
        </w:tc>
        <w:tc>
          <w:tcPr>
            <w:tcW w:w="990" w:type="dxa"/>
            <w:vAlign w:val="top"/>
          </w:tcPr>
          <w:p w14:paraId="09DE82B0">
            <w:pPr>
              <w:spacing w:line="262" w:lineRule="auto"/>
              <w:rPr>
                <w:rFonts w:ascii="Arial"/>
                <w:sz w:val="21"/>
              </w:rPr>
            </w:pPr>
          </w:p>
          <w:p w14:paraId="726596E1">
            <w:pPr>
              <w:pStyle w:val="6"/>
              <w:spacing w:before="62" w:line="189" w:lineRule="auto"/>
              <w:ind w:right="10"/>
              <w:jc w:val="right"/>
            </w:pPr>
            <w:r>
              <w:rPr>
                <w:spacing w:val="3"/>
              </w:rPr>
              <w:t>308.67</w:t>
            </w:r>
          </w:p>
        </w:tc>
        <w:tc>
          <w:tcPr>
            <w:tcW w:w="1019" w:type="dxa"/>
            <w:vAlign w:val="top"/>
          </w:tcPr>
          <w:p w14:paraId="1D1BF6D5">
            <w:pPr>
              <w:pStyle w:val="6"/>
              <w:spacing w:before="59" w:line="184" w:lineRule="auto"/>
              <w:ind w:left="51"/>
              <w:rPr>
                <w:sz w:val="18"/>
                <w:szCs w:val="18"/>
              </w:rPr>
            </w:pPr>
          </w:p>
        </w:tc>
        <w:tc>
          <w:tcPr>
            <w:tcW w:w="1062" w:type="dxa"/>
            <w:vAlign w:val="top"/>
          </w:tcPr>
          <w:p w14:paraId="2026FF18">
            <w:pPr>
              <w:pStyle w:val="6"/>
              <w:spacing w:before="59" w:line="184" w:lineRule="auto"/>
              <w:ind w:left="49"/>
              <w:rPr>
                <w:sz w:val="18"/>
                <w:szCs w:val="18"/>
              </w:rPr>
            </w:pPr>
          </w:p>
        </w:tc>
        <w:tc>
          <w:tcPr>
            <w:tcW w:w="1243" w:type="dxa"/>
            <w:tcBorders>
              <w:right w:val="single" w:color="000000" w:sz="14" w:space="0"/>
            </w:tcBorders>
            <w:vAlign w:val="top"/>
          </w:tcPr>
          <w:p w14:paraId="391F8D1F"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/</w:t>
            </w:r>
          </w:p>
        </w:tc>
      </w:tr>
      <w:tr w14:paraId="49497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9" w:type="dxa"/>
            <w:tcBorders>
              <w:left w:val="single" w:color="000000" w:sz="14" w:space="0"/>
              <w:right w:val="single" w:color="000000" w:sz="14" w:space="0"/>
            </w:tcBorders>
            <w:vAlign w:val="top"/>
          </w:tcPr>
          <w:p w14:paraId="49644D08">
            <w:pPr>
              <w:spacing w:line="267" w:lineRule="auto"/>
              <w:rPr>
                <w:rFonts w:ascii="Arial"/>
                <w:sz w:val="21"/>
              </w:rPr>
            </w:pPr>
          </w:p>
          <w:p w14:paraId="0CEF9D5E">
            <w:pPr>
              <w:pStyle w:val="6"/>
              <w:spacing w:before="61" w:line="189" w:lineRule="auto"/>
              <w:ind w:left="344"/>
            </w:pPr>
            <w:r>
              <w:t>2</w:t>
            </w:r>
          </w:p>
        </w:tc>
        <w:tc>
          <w:tcPr>
            <w:tcW w:w="6984" w:type="dxa"/>
            <w:gridSpan w:val="5"/>
            <w:tcBorders>
              <w:left w:val="single" w:color="000000" w:sz="14" w:space="0"/>
            </w:tcBorders>
            <w:vAlign w:val="top"/>
          </w:tcPr>
          <w:p w14:paraId="1D44CD31">
            <w:pPr>
              <w:pStyle w:val="6"/>
              <w:spacing w:before="299" w:line="228" w:lineRule="auto"/>
              <w:ind w:left="2998"/>
            </w:pPr>
            <w:r>
              <w:rPr>
                <w:spacing w:val="6"/>
              </w:rPr>
              <w:t>不含税合计</w:t>
            </w:r>
          </w:p>
        </w:tc>
        <w:tc>
          <w:tcPr>
            <w:tcW w:w="1062" w:type="dxa"/>
            <w:vAlign w:val="top"/>
          </w:tcPr>
          <w:p w14:paraId="751AD0AC">
            <w:pPr>
              <w:pStyle w:val="6"/>
              <w:spacing w:before="59" w:line="183" w:lineRule="auto"/>
              <w:ind w:left="51"/>
              <w:rPr>
                <w:sz w:val="18"/>
                <w:szCs w:val="18"/>
              </w:rPr>
            </w:pPr>
          </w:p>
        </w:tc>
        <w:tc>
          <w:tcPr>
            <w:tcW w:w="1243" w:type="dxa"/>
            <w:tcBorders>
              <w:right w:val="single" w:color="000000" w:sz="14" w:space="0"/>
            </w:tcBorders>
            <w:vAlign w:val="top"/>
          </w:tcPr>
          <w:p w14:paraId="20317053"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/</w:t>
            </w:r>
          </w:p>
        </w:tc>
      </w:tr>
      <w:tr w14:paraId="1D1800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779" w:type="dxa"/>
            <w:tcBorders>
              <w:left w:val="single" w:color="000000" w:sz="14" w:space="0"/>
              <w:right w:val="single" w:color="000000" w:sz="14" w:space="0"/>
            </w:tcBorders>
            <w:vAlign w:val="top"/>
          </w:tcPr>
          <w:p w14:paraId="0BA9EAA3">
            <w:pPr>
              <w:spacing w:line="273" w:lineRule="auto"/>
              <w:rPr>
                <w:rFonts w:ascii="Arial"/>
                <w:sz w:val="21"/>
              </w:rPr>
            </w:pPr>
          </w:p>
          <w:p w14:paraId="00460C7E">
            <w:pPr>
              <w:pStyle w:val="6"/>
              <w:spacing w:before="61" w:line="189" w:lineRule="auto"/>
              <w:ind w:left="346"/>
            </w:pPr>
            <w:r>
              <w:t>3</w:t>
            </w:r>
          </w:p>
        </w:tc>
        <w:tc>
          <w:tcPr>
            <w:tcW w:w="6984" w:type="dxa"/>
            <w:gridSpan w:val="5"/>
            <w:tcBorders>
              <w:left w:val="single" w:color="000000" w:sz="14" w:space="0"/>
            </w:tcBorders>
            <w:vAlign w:val="top"/>
          </w:tcPr>
          <w:p w14:paraId="22A2D85A">
            <w:pPr>
              <w:spacing w:line="241" w:lineRule="auto"/>
              <w:rPr>
                <w:rFonts w:ascii="Arial"/>
                <w:sz w:val="21"/>
              </w:rPr>
            </w:pPr>
          </w:p>
          <w:p w14:paraId="5411CA40">
            <w:pPr>
              <w:pStyle w:val="6"/>
              <w:spacing w:before="62" w:line="229" w:lineRule="auto"/>
              <w:ind w:left="3294"/>
            </w:pPr>
            <w:r>
              <w:rPr>
                <w:spacing w:val="5"/>
              </w:rPr>
              <w:t>税金</w:t>
            </w:r>
          </w:p>
        </w:tc>
        <w:tc>
          <w:tcPr>
            <w:tcW w:w="1062" w:type="dxa"/>
            <w:vAlign w:val="top"/>
          </w:tcPr>
          <w:p w14:paraId="4D9A9B62">
            <w:pPr>
              <w:pStyle w:val="6"/>
              <w:spacing w:before="59" w:line="183" w:lineRule="auto"/>
              <w:ind w:left="47"/>
              <w:rPr>
                <w:sz w:val="18"/>
                <w:szCs w:val="18"/>
              </w:rPr>
            </w:pPr>
          </w:p>
        </w:tc>
        <w:tc>
          <w:tcPr>
            <w:tcW w:w="1243" w:type="dxa"/>
            <w:tcBorders>
              <w:right w:val="single" w:color="000000" w:sz="14" w:space="0"/>
            </w:tcBorders>
            <w:vAlign w:val="top"/>
          </w:tcPr>
          <w:p w14:paraId="2C09028E"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/</w:t>
            </w:r>
          </w:p>
        </w:tc>
      </w:tr>
      <w:tr w14:paraId="363F2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779" w:type="dxa"/>
            <w:tcBorders>
              <w:left w:val="single" w:color="000000" w:sz="14" w:space="0"/>
              <w:right w:val="single" w:color="000000" w:sz="14" w:space="0"/>
            </w:tcBorders>
            <w:vAlign w:val="top"/>
          </w:tcPr>
          <w:p w14:paraId="1E2CF22B">
            <w:pPr>
              <w:spacing w:line="278" w:lineRule="auto"/>
              <w:rPr>
                <w:rFonts w:ascii="Arial"/>
                <w:sz w:val="21"/>
              </w:rPr>
            </w:pPr>
          </w:p>
          <w:p w14:paraId="550B7E2C">
            <w:pPr>
              <w:pStyle w:val="6"/>
              <w:spacing w:before="61" w:line="189" w:lineRule="auto"/>
              <w:ind w:left="341"/>
            </w:pPr>
            <w:r>
              <w:t>4</w:t>
            </w:r>
          </w:p>
        </w:tc>
        <w:tc>
          <w:tcPr>
            <w:tcW w:w="6984" w:type="dxa"/>
            <w:gridSpan w:val="5"/>
            <w:tcBorders>
              <w:left w:val="single" w:color="000000" w:sz="14" w:space="0"/>
              <w:bottom w:val="single" w:color="000000" w:sz="14" w:space="0"/>
            </w:tcBorders>
            <w:vAlign w:val="top"/>
          </w:tcPr>
          <w:p w14:paraId="6CE35FCE">
            <w:pPr>
              <w:spacing w:line="246" w:lineRule="auto"/>
              <w:rPr>
                <w:rFonts w:ascii="Arial"/>
                <w:sz w:val="21"/>
              </w:rPr>
            </w:pPr>
          </w:p>
          <w:p w14:paraId="36466388">
            <w:pPr>
              <w:pStyle w:val="6"/>
              <w:spacing w:before="62" w:line="227" w:lineRule="auto"/>
              <w:ind w:left="2896"/>
            </w:pPr>
            <w:r>
              <w:rPr>
                <w:spacing w:val="6"/>
              </w:rPr>
              <w:t>含税价合计：</w:t>
            </w:r>
          </w:p>
        </w:tc>
        <w:tc>
          <w:tcPr>
            <w:tcW w:w="1062" w:type="dxa"/>
            <w:tcBorders>
              <w:bottom w:val="single" w:color="000000" w:sz="14" w:space="0"/>
            </w:tcBorders>
            <w:vAlign w:val="top"/>
          </w:tcPr>
          <w:p w14:paraId="0D6587E0">
            <w:pPr>
              <w:pStyle w:val="6"/>
              <w:spacing w:before="59" w:line="183" w:lineRule="auto"/>
              <w:ind w:left="51"/>
              <w:rPr>
                <w:sz w:val="18"/>
                <w:szCs w:val="18"/>
              </w:rPr>
            </w:pPr>
          </w:p>
        </w:tc>
        <w:tc>
          <w:tcPr>
            <w:tcW w:w="1243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08D8C24"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/</w:t>
            </w:r>
          </w:p>
        </w:tc>
      </w:tr>
    </w:tbl>
    <w:p w14:paraId="1DCE88F0">
      <w:pPr>
        <w:pStyle w:val="2"/>
        <w:spacing w:before="43" w:line="219" w:lineRule="auto"/>
        <w:ind w:left="76"/>
      </w:pPr>
      <w:r>
        <w:t>注：1、工程量按原始自然体积计算（其中河塘开挖淤泥以项目总承包，监理，代建共同确认的网格标高图</w:t>
      </w:r>
      <w:r>
        <w:rPr>
          <w:spacing w:val="-1"/>
        </w:rPr>
        <w:t>计算体积结算。）</w:t>
      </w:r>
    </w:p>
    <w:p w14:paraId="706956E3">
      <w:pPr>
        <w:pStyle w:val="2"/>
        <w:spacing w:before="9" w:line="218" w:lineRule="auto"/>
        <w:ind w:left="78"/>
      </w:pPr>
      <w:r>
        <w:t>2、施工措施费、安全文明施工费、赶工措施费、夜间施工增加费等在综合单价</w:t>
      </w:r>
      <w:r>
        <w:rPr>
          <w:spacing w:val="-1"/>
        </w:rPr>
        <w:t>中考虑，不另外计取。</w:t>
      </w:r>
    </w:p>
    <w:p w14:paraId="1841E7CE">
      <w:pPr>
        <w:pStyle w:val="2"/>
        <w:spacing w:before="13" w:line="218" w:lineRule="auto"/>
        <w:ind w:left="80"/>
      </w:pPr>
      <w:r>
        <w:rPr>
          <w:spacing w:val="-1"/>
        </w:rPr>
        <w:t>3、土方消纳费及相关环保费用在综合单价中考虑，不另外计取。</w:t>
      </w:r>
    </w:p>
    <w:p w14:paraId="36D04ECD">
      <w:pPr>
        <w:pStyle w:val="2"/>
        <w:spacing w:before="12" w:line="218" w:lineRule="auto"/>
        <w:ind w:left="76"/>
      </w:pPr>
      <w:r>
        <w:t>4、食宿自理，项目不予提供，均在综合综</w:t>
      </w:r>
      <w:r>
        <w:rPr>
          <w:spacing w:val="-1"/>
        </w:rPr>
        <w:t>合单价中考虑；</w:t>
      </w:r>
    </w:p>
    <w:p w14:paraId="67241C0E">
      <w:pPr>
        <w:pStyle w:val="2"/>
        <w:spacing w:before="13" w:line="218" w:lineRule="auto"/>
        <w:ind w:left="80"/>
      </w:pPr>
      <w:r>
        <w:t>5、车辆进出施工现场等冲洗，市政路污染清洗等一切相关措施费用，人工，辅材等均在综合单</w:t>
      </w:r>
      <w:r>
        <w:rPr>
          <w:spacing w:val="-1"/>
        </w:rPr>
        <w:t>价中考虑，不另外计取；</w:t>
      </w:r>
    </w:p>
    <w:p w14:paraId="2A9CF750">
      <w:pPr>
        <w:pStyle w:val="2"/>
        <w:spacing w:before="11" w:line="218" w:lineRule="auto"/>
        <w:ind w:left="78"/>
      </w:pPr>
      <w:r>
        <w:t>6、临时填挖或垫钢板等相关措施费用均含在综合</w:t>
      </w:r>
      <w:r>
        <w:rPr>
          <w:spacing w:val="-1"/>
        </w:rPr>
        <w:t>单价内，不另外计取</w:t>
      </w:r>
    </w:p>
    <w:p w14:paraId="70E6B08A">
      <w:pPr>
        <w:pStyle w:val="2"/>
        <w:spacing w:before="13" w:line="218" w:lineRule="auto"/>
        <w:ind w:left="81"/>
      </w:pPr>
      <w:r>
        <w:t>7、原河水排放、疏干等相关措施费用均含在</w:t>
      </w:r>
      <w:r>
        <w:rPr>
          <w:spacing w:val="-1"/>
        </w:rPr>
        <w:t>综合单价中，不另外计取。</w:t>
      </w:r>
    </w:p>
    <w:p w14:paraId="31E8DDAA">
      <w:pPr>
        <w:pStyle w:val="2"/>
        <w:spacing w:before="13" w:line="218" w:lineRule="auto"/>
        <w:ind w:left="77"/>
      </w:pPr>
      <w:r>
        <w:rPr>
          <w:spacing w:val="-1"/>
        </w:rPr>
        <w:t>8、水电费按合同结算价的0.5%扣除。</w:t>
      </w:r>
      <w:bookmarkStart w:id="0" w:name="_GoBack"/>
      <w:bookmarkEnd w:id="0"/>
    </w:p>
    <w:sectPr>
      <w:pgSz w:w="11905" w:h="16837"/>
      <w:pgMar w:top="1102" w:right="920" w:bottom="0" w:left="8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VhNGUzYzIxMzZiNGUwYjk4M2NhYzM1YTAzMjk5NTIifQ=="/>
  </w:docVars>
  <w:rsids>
    <w:rsidRoot w:val="00000000"/>
    <w:rsid w:val="4F2C1A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444</Words>
  <Characters>508</Characters>
  <TotalTime>0</TotalTime>
  <ScaleCrop>false</ScaleCrop>
  <LinksUpToDate>false</LinksUpToDate>
  <CharactersWithSpaces>511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2025-02-28T11:28:00Z</dcterms:created>
  <dc:creator>lenovo</dc:creator>
  <cp:lastModifiedBy>黄惠东</cp:lastModifiedBy>
  <dcterms:modified xsi:type="dcterms:W3CDTF">2025-02-28T03:30:32Z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2025-02-28T11:28:52Z</vt:filetime>
  </property>
  <property fmtid="{D5CDD505-2E9C-101B-9397-08002B2CF9AE}" pid="4" name="KSOProductBuildVer">
    <vt:lpwstr>2052-12.1.0.18276</vt:lpwstr>
  </property>
  <property fmtid="{D5CDD505-2E9C-101B-9397-08002B2CF9AE}" pid="5" name="ICV">
    <vt:lpwstr>164053E3F6274820BE210AFCBE8B43F9_12</vt:lpwstr>
  </property>
</Properties>
</file>