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采购公告</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充电桩采购安装工程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公开</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充电桩采购安装工程</w:t>
      </w:r>
      <w:r>
        <w:rPr>
          <w:rFonts w:hint="eastAsia" w:ascii="仿宋_GB2312" w:hAnsi="仿宋_GB2312" w:eastAsia="仿宋_GB2312" w:cs="仿宋_GB2312"/>
          <w:color w:val="auto"/>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default" w:ascii="仿宋_GB2312" w:hAnsi="仿宋_GB2312" w:eastAsia="仿宋_GB2312" w:cs="仿宋_GB2312"/>
          <w:color w:val="auto"/>
          <w:kern w:val="0"/>
          <w:sz w:val="24"/>
          <w:szCs w:val="24"/>
          <w:u w:val="single"/>
          <w:lang w:val="en-US" w:eastAsia="zh-CN"/>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208</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keepNext w:val="0"/>
        <w:keepLines w:val="0"/>
        <w:pageBreakBefore w:val="0"/>
        <w:numPr>
          <w:ilvl w:val="0"/>
          <w:numId w:val="0"/>
        </w:numPr>
        <w:kinsoku/>
        <w:wordWrap/>
        <w:overflowPunct/>
        <w:topLinePunct w:val="0"/>
        <w:bidi w:val="0"/>
        <w:spacing w:line="600" w:lineRule="exact"/>
        <w:ind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四、</w:t>
      </w:r>
      <w:r>
        <w:rPr>
          <w:rFonts w:hint="eastAsia" w:ascii="仿宋_GB2312" w:hAnsi="仿宋_GB2312" w:eastAsia="仿宋_GB2312" w:cs="仿宋_GB2312"/>
          <w:sz w:val="24"/>
          <w:szCs w:val="24"/>
          <w:lang w:val="en-US" w:eastAsia="zh-CN"/>
        </w:rPr>
        <w:t>本工程采购招控制价(含税</w:t>
      </w:r>
      <w:r>
        <w:rPr>
          <w:rFonts w:hint="eastAsia" w:ascii="Times New Roman" w:hAnsi="Times New Roman" w:eastAsia="仿宋_GB2312" w:cs="Times New Roman"/>
          <w:sz w:val="24"/>
          <w:szCs w:val="24"/>
          <w:u w:val="none"/>
          <w:lang w:val="en-US" w:eastAsia="zh-CN"/>
        </w:rPr>
        <w:t>9%</w:t>
      </w:r>
      <w:r>
        <w:rPr>
          <w:rFonts w:hint="eastAsia" w:ascii="仿宋_GB2312" w:hAnsi="仿宋_GB2312" w:eastAsia="仿宋_GB2312" w:cs="仿宋_GB2312"/>
          <w:sz w:val="24"/>
          <w:szCs w:val="24"/>
          <w:lang w:val="en-US" w:eastAsia="zh-CN"/>
        </w:rPr>
        <w:t>)为</w:t>
      </w:r>
      <w:r>
        <w:rPr>
          <w:rFonts w:hint="default" w:ascii="Times New Roman" w:hAnsi="Times New Roman" w:cs="Times New Roman"/>
          <w:sz w:val="24"/>
          <w:szCs w:val="24"/>
          <w:u w:val="single"/>
          <w:lang w:val="en-US" w:eastAsia="zh-CN"/>
        </w:rPr>
        <w:t>¥</w:t>
      </w:r>
      <w:r>
        <w:rPr>
          <w:rFonts w:hint="default" w:ascii="Times New Roman" w:hAnsi="Times New Roman" w:eastAsia="仿宋_GB2312" w:cs="Times New Roman"/>
          <w:sz w:val="24"/>
          <w:szCs w:val="24"/>
          <w:u w:val="single"/>
          <w:lang w:val="en-US" w:eastAsia="zh-CN"/>
        </w:rPr>
        <w:t>136,447.08</w:t>
      </w:r>
      <w:r>
        <w:rPr>
          <w:rFonts w:hint="eastAsia" w:ascii="仿宋_GB2312" w:hAnsi="仿宋_GB2312" w:eastAsia="仿宋_GB2312" w:cs="仿宋_GB2312"/>
          <w:sz w:val="24"/>
          <w:szCs w:val="24"/>
          <w:lang w:val="en-US" w:eastAsia="zh-CN"/>
        </w:rPr>
        <w:t>元，</w:t>
      </w:r>
      <w:r>
        <w:rPr>
          <w:rFonts w:hint="eastAsia" w:ascii="仿宋_GB2312" w:hAnsi="仿宋_GB2312" w:cs="仿宋_GB2312"/>
          <w:sz w:val="24"/>
          <w:szCs w:val="24"/>
          <w:lang w:val="en-US" w:eastAsia="zh-CN"/>
        </w:rPr>
        <w:t>拟以控制价作为采购限价</w:t>
      </w:r>
      <w:r>
        <w:rPr>
          <w:rFonts w:hint="eastAsia" w:ascii="仿宋_GB2312" w:hAnsi="仿宋_GB2312" w:eastAsia="仿宋_GB2312" w:cs="仿宋_GB2312"/>
          <w:sz w:val="24"/>
          <w:szCs w:val="24"/>
          <w:lang w:val="en-US" w:eastAsia="zh-CN"/>
        </w:rPr>
        <w:t>，即采购限价(含税</w:t>
      </w:r>
      <w:r>
        <w:rPr>
          <w:rFonts w:hint="eastAsia" w:ascii="Times New Roman" w:hAnsi="Times New Roman" w:eastAsia="仿宋_GB2312" w:cs="Times New Roman"/>
          <w:sz w:val="24"/>
          <w:szCs w:val="24"/>
          <w:u w:val="none"/>
          <w:lang w:val="en-US" w:eastAsia="zh-CN"/>
        </w:rPr>
        <w:t>9%</w:t>
      </w:r>
      <w:r>
        <w:rPr>
          <w:rFonts w:hint="eastAsia" w:ascii="仿宋_GB2312" w:hAnsi="仿宋_GB2312" w:eastAsia="仿宋_GB2312" w:cs="仿宋_GB2312"/>
          <w:sz w:val="24"/>
          <w:szCs w:val="24"/>
          <w:lang w:val="en-US" w:eastAsia="zh-CN"/>
        </w:rPr>
        <w:t>)为</w:t>
      </w:r>
      <w:r>
        <w:rPr>
          <w:rFonts w:hint="default" w:ascii="Times New Roman" w:hAnsi="Times New Roman" w:cs="Times New Roman"/>
          <w:sz w:val="24"/>
          <w:szCs w:val="24"/>
          <w:u w:val="single"/>
          <w:lang w:val="en-US" w:eastAsia="zh-CN"/>
        </w:rPr>
        <w:t>¥1</w:t>
      </w:r>
      <w:r>
        <w:rPr>
          <w:rFonts w:hint="default" w:ascii="Times New Roman" w:hAnsi="Times New Roman" w:eastAsia="仿宋_GB2312" w:cs="Times New Roman"/>
          <w:sz w:val="24"/>
          <w:szCs w:val="24"/>
          <w:u w:val="single"/>
          <w:lang w:val="en-US" w:eastAsia="zh-CN"/>
        </w:rPr>
        <w:t>36,447.08</w:t>
      </w:r>
      <w:r>
        <w:rPr>
          <w:rFonts w:hint="eastAsia" w:ascii="仿宋_GB2312" w:hAnsi="仿宋_GB2312" w:eastAsia="仿宋_GB2312" w:cs="仿宋_GB2312"/>
          <w:sz w:val="24"/>
          <w:szCs w:val="24"/>
          <w:lang w:val="en-US" w:eastAsia="zh-CN"/>
        </w:rPr>
        <w:t>元。</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default" w:ascii="Times New Roman" w:hAnsi="Times New Roman" w:eastAsia="仿宋_GB2312" w:cs="Times New Roman"/>
          <w:b/>
          <w:bCs/>
          <w:color w:val="auto"/>
          <w:kern w:val="0"/>
          <w:sz w:val="24"/>
          <w:szCs w:val="24"/>
          <w:u w:val="single"/>
          <w:lang w:val="en-US" w:eastAsia="zh-CN"/>
        </w:rPr>
      </w:pPr>
      <w:r>
        <w:rPr>
          <w:rFonts w:hint="eastAsia" w:ascii="仿宋_GB2312" w:hAnsi="仿宋_GB2312" w:eastAsia="仿宋_GB2312" w:cs="仿宋_GB2312"/>
          <w:color w:val="auto"/>
          <w:kern w:val="0"/>
          <w:sz w:val="24"/>
          <w:szCs w:val="24"/>
          <w:lang w:val="en-US" w:eastAsia="zh-CN"/>
        </w:rPr>
        <w:t>其中不含税工程价款为：（小写）</w:t>
      </w:r>
      <w:r>
        <w:rPr>
          <w:rFonts w:hint="eastAsia" w:ascii="Times New Roman" w:hAnsi="Times New Roman" w:eastAsia="仿宋_GB2312" w:cs="Times New Roman"/>
          <w:sz w:val="24"/>
          <w:szCs w:val="24"/>
          <w:u w:val="single"/>
          <w:lang w:val="en-US" w:eastAsia="zh-CN"/>
        </w:rPr>
        <w:t>¥125,180.81</w:t>
      </w:r>
      <w:r>
        <w:rPr>
          <w:rFonts w:hint="eastAsia" w:ascii="仿宋_GB2312" w:hAnsi="仿宋_GB2312" w:eastAsia="仿宋_GB2312" w:cs="仿宋_GB2312"/>
          <w:color w:val="auto"/>
          <w:kern w:val="0"/>
          <w:sz w:val="24"/>
          <w:szCs w:val="24"/>
          <w:lang w:val="en-US" w:eastAsia="zh-CN"/>
        </w:rPr>
        <w:t>元，（大写）</w:t>
      </w:r>
      <w:r>
        <w:rPr>
          <w:rFonts w:hint="eastAsia" w:ascii="仿宋_GB2312" w:hAnsi="仿宋_GB2312" w:eastAsia="仿宋_GB2312" w:cs="仿宋_GB2312"/>
          <w:color w:val="auto"/>
          <w:kern w:val="0"/>
          <w:sz w:val="24"/>
          <w:szCs w:val="24"/>
          <w:u w:val="single"/>
          <w:lang w:val="en-US" w:eastAsia="zh-CN"/>
        </w:rPr>
        <w:t>壹拾贰万伍仟壹佰捌拾元捌角壹分</w:t>
      </w:r>
      <w:r>
        <w:rPr>
          <w:rFonts w:hint="eastAsia" w:ascii="仿宋_GB2312" w:hAnsi="仿宋_GB2312" w:eastAsia="仿宋_GB2312" w:cs="仿宋_GB2312"/>
          <w:color w:val="auto"/>
          <w:kern w:val="0"/>
          <w:sz w:val="24"/>
          <w:szCs w:val="24"/>
          <w:lang w:val="en-US" w:eastAsia="zh-CN"/>
        </w:rPr>
        <w:t>；税金为</w:t>
      </w:r>
      <w:r>
        <w:rPr>
          <w:rFonts w:hint="default" w:ascii="Times New Roman" w:hAnsi="Times New Roman" w:eastAsia="仿宋_GB2312" w:cs="Times New Roman"/>
          <w:b w:val="0"/>
          <w:bCs w:val="0"/>
          <w:color w:val="auto"/>
          <w:kern w:val="0"/>
          <w:sz w:val="24"/>
          <w:szCs w:val="24"/>
          <w:u w:val="none"/>
          <w:lang w:val="en-US" w:eastAsia="zh-CN"/>
        </w:rPr>
        <w:t>：</w:t>
      </w:r>
      <w:r>
        <w:rPr>
          <w:rFonts w:hint="eastAsia" w:ascii="仿宋_GB2312" w:hAnsi="仿宋_GB2312" w:eastAsia="仿宋_GB2312" w:cs="仿宋_GB2312"/>
          <w:color w:val="auto"/>
          <w:kern w:val="0"/>
          <w:sz w:val="24"/>
          <w:szCs w:val="24"/>
          <w:lang w:val="en-US" w:eastAsia="zh-CN"/>
        </w:rPr>
        <w:t>（小写）</w:t>
      </w:r>
      <w:r>
        <w:rPr>
          <w:rFonts w:hint="eastAsia" w:ascii="Times New Roman" w:hAnsi="Times New Roman" w:eastAsia="仿宋_GB2312" w:cs="Times New Roman"/>
          <w:sz w:val="24"/>
          <w:szCs w:val="24"/>
          <w:u w:val="single"/>
          <w:lang w:val="en-US" w:eastAsia="zh-CN"/>
        </w:rPr>
        <w:t>¥11,266.27</w:t>
      </w:r>
      <w:r>
        <w:rPr>
          <w:rFonts w:hint="eastAsia" w:ascii="仿宋_GB2312" w:hAnsi="仿宋_GB2312" w:eastAsia="仿宋_GB2312" w:cs="仿宋_GB2312"/>
          <w:color w:val="auto"/>
          <w:kern w:val="0"/>
          <w:sz w:val="24"/>
          <w:szCs w:val="24"/>
          <w:lang w:val="en-US" w:eastAsia="zh-CN"/>
        </w:rPr>
        <w:t>元，（大写）</w:t>
      </w:r>
      <w:r>
        <w:rPr>
          <w:rFonts w:hint="eastAsia" w:ascii="仿宋_GB2312" w:hAnsi="仿宋_GB2312" w:eastAsia="仿宋_GB2312" w:cs="仿宋_GB2312"/>
          <w:color w:val="auto"/>
          <w:kern w:val="0"/>
          <w:sz w:val="24"/>
          <w:szCs w:val="24"/>
          <w:u w:val="single"/>
          <w:lang w:val="en-US" w:eastAsia="zh-CN"/>
        </w:rPr>
        <w:t>壹万壹仟贰佰陆拾陆元贰角柒分</w:t>
      </w:r>
      <w:r>
        <w:rPr>
          <w:rFonts w:hint="eastAsia" w:ascii="仿宋_GB2312" w:hAnsi="仿宋_GB2312" w:eastAsia="仿宋_GB2312" w:cs="仿宋_GB2312"/>
          <w:color w:val="auto"/>
          <w:kern w:val="0"/>
          <w:sz w:val="24"/>
          <w:szCs w:val="24"/>
          <w:lang w:val="en-US" w:eastAsia="zh-CN"/>
        </w:rPr>
        <w:t>。</w:t>
      </w:r>
    </w:p>
    <w:p>
      <w:pPr>
        <w:keepNext w:val="0"/>
        <w:keepLines w:val="0"/>
        <w:pageBreakBefore w:val="0"/>
        <w:widowControl/>
        <w:tabs>
          <w:tab w:val="left" w:pos="361"/>
        </w:tabs>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拟在地下室设置约66个7KW单相慢充充电桩。</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2" w:firstLineChars="17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1、承包范围：</w:t>
      </w:r>
      <w:r>
        <w:rPr>
          <w:rFonts w:hint="eastAsia" w:ascii="仿宋_GB2312" w:hAnsi="仿宋_GB2312" w:eastAsia="仿宋_GB2312" w:cs="仿宋_GB2312"/>
          <w:sz w:val="24"/>
          <w:szCs w:val="24"/>
          <w:lang w:val="en-US" w:eastAsia="zh-CN"/>
        </w:rPr>
        <w:t>本工程承包范围为东莞市民服务中心三期充电桩工程全部工作，包含充电桩供货及安装工程等图纸及采购文件所包含的全部工程内容及其他为实现合同目的所涉及的承包范围。</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具体承包范围包括以下内容：</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0" w:firstLineChars="175"/>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 地下室约66个7KW单相慢充充电桩采购及安装工程，不包含充电桩总配电箱至充电桩部分配电线路敷设；</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 根据采购人提供的采购基础图纸和采购要求进行项目充电桩深化设计（满足设计规范及保证通过验收要求前提下），提供深化设计图纸；</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 负责充电桩的采购、生产、加工、制作、包装、运输至项目工地、卸货、现场搬运、现场安装直至全部工作施工完毕，最终通过采购人验收；</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 本项目充电桩由中标人负责设计、供货及安装。</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 做好与现场其他分包之间配合协调工作，与其他专业配合及收尾工作。</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textAlignment w:val="auto"/>
        <w:rPr>
          <w:rFonts w:hint="eastAsia" w:ascii="仿宋_GB2312" w:hAnsi="仿宋_GB2312" w:eastAsia="仿宋_GB2312" w:cs="仿宋_GB2312"/>
          <w:color w:val="FF0000"/>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2、安全文明施工项目</w:t>
      </w:r>
      <w:r>
        <w:rPr>
          <w:rFonts w:hint="eastAsia" w:ascii="仿宋_GB2312" w:hAnsi="仿宋_GB2312" w:eastAsia="仿宋_GB2312" w:cs="仿宋_GB2312"/>
          <w:color w:val="auto"/>
          <w:kern w:val="0"/>
          <w:sz w:val="24"/>
          <w:szCs w:val="24"/>
          <w:u w:val="none"/>
          <w:lang w:val="en-US" w:eastAsia="zh-CN"/>
        </w:rPr>
        <w:t>包括不限于：</w:t>
      </w:r>
      <w:r>
        <w:rPr>
          <w:rFonts w:hint="eastAsia" w:ascii="仿宋_GB2312" w:hAnsi="仿宋_GB2312" w:eastAsia="仿宋_GB2312" w:cs="仿宋_GB2312"/>
          <w:sz w:val="24"/>
          <w:szCs w:val="24"/>
        </w:rPr>
        <w:t>红线范围内全部绿色施工安全防护相关维护，完成分包范围相关的安全文明施工。</w:t>
      </w:r>
      <w:r>
        <w:rPr>
          <w:rFonts w:hint="eastAsia" w:ascii="仿宋_GB2312" w:hAnsi="仿宋_GB2312" w:eastAsia="仿宋_GB2312" w:cs="仿宋_GB2312"/>
          <w:sz w:val="24"/>
          <w:szCs w:val="24"/>
          <w:lang w:val="en-US" w:eastAsia="zh-CN"/>
        </w:rPr>
        <w:t>包括配备分包安全员、完成工程范围相关的</w:t>
      </w:r>
      <w:r>
        <w:rPr>
          <w:rFonts w:hint="eastAsia" w:ascii="仿宋_GB2312" w:hAnsi="仿宋_GB2312" w:eastAsia="仿宋_GB2312" w:cs="仿宋_GB2312"/>
          <w:sz w:val="24"/>
          <w:szCs w:val="24"/>
        </w:rPr>
        <w:t>临水、临电、安全警示标志牌、宣传标语、场容场貌维护、材料堆放整理、现场防火、</w:t>
      </w:r>
      <w:r>
        <w:rPr>
          <w:rFonts w:hint="eastAsia" w:ascii="仿宋_GB2312" w:hAnsi="仿宋_GB2312" w:eastAsia="仿宋_GB2312" w:cs="仿宋_GB2312"/>
          <w:sz w:val="24"/>
          <w:szCs w:val="24"/>
          <w:lang w:eastAsia="zh-CN"/>
        </w:rPr>
        <w:t>工完场清、</w:t>
      </w:r>
      <w:r>
        <w:rPr>
          <w:rFonts w:hint="eastAsia" w:ascii="仿宋_GB2312" w:hAnsi="仿宋_GB2312" w:eastAsia="仿宋_GB2312" w:cs="仿宋_GB2312"/>
          <w:sz w:val="24"/>
          <w:szCs w:val="24"/>
        </w:rPr>
        <w:t>垃圾清运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清运采购方指定地点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施工相关的临时防护</w:t>
      </w:r>
      <w:r>
        <w:rPr>
          <w:rFonts w:hint="eastAsia" w:ascii="仿宋_GB2312" w:hAnsi="仿宋_GB2312" w:eastAsia="仿宋_GB2312" w:cs="仿宋_GB2312"/>
          <w:sz w:val="24"/>
          <w:szCs w:val="24"/>
        </w:rPr>
        <w:t>、安全防护用品、垂直运输防护、应急预案、非正常情况施工防护、施工扬尘污染防治等费用</w:t>
      </w:r>
      <w:r>
        <w:rPr>
          <w:rFonts w:hint="eastAsia" w:ascii="仿宋_GB2312" w:hAnsi="仿宋_GB2312" w:eastAsia="仿宋_GB2312" w:cs="仿宋_GB2312"/>
          <w:sz w:val="24"/>
          <w:szCs w:val="24"/>
          <w:lang w:eastAsia="zh-CN"/>
        </w:rPr>
        <w:t>，现场行政部门检查相关工作</w:t>
      </w:r>
      <w:r>
        <w:rPr>
          <w:rFonts w:hint="eastAsia" w:ascii="仿宋_GB2312" w:hAnsi="仿宋_GB2312" w:eastAsia="仿宋_GB2312" w:cs="仿宋_GB2312"/>
          <w:sz w:val="24"/>
          <w:szCs w:val="24"/>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textAlignment w:val="auto"/>
        <w:rPr>
          <w:rFonts w:hint="eastAsia"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3、项目资料：</w:t>
      </w:r>
      <w:r>
        <w:rPr>
          <w:rFonts w:hint="eastAsia" w:ascii="仿宋_GB2312" w:hAnsi="仿宋_GB2312" w:eastAsia="仿宋_GB2312" w:cs="仿宋_GB2312"/>
          <w:b w:val="0"/>
          <w:bCs w:val="0"/>
          <w:color w:val="auto"/>
          <w:kern w:val="0"/>
          <w:sz w:val="24"/>
          <w:szCs w:val="24"/>
          <w:u w:val="none"/>
          <w:lang w:val="en-US" w:eastAsia="zh-CN"/>
        </w:rPr>
        <w:t>包括不限于质检及安检等资料的编制及报送、技术支持及相关方案编制、专家送审等、协助项目部对外业务管理协调等。</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2" w:firstLineChars="200"/>
        <w:textAlignment w:val="auto"/>
        <w:rPr>
          <w:rFonts w:hint="default" w:ascii="仿宋_GB2312" w:hAnsi="仿宋_GB2312" w:eastAsia="仿宋_GB2312" w:cs="仿宋_GB2312"/>
          <w:b/>
          <w:bCs/>
          <w:color w:val="auto"/>
          <w:kern w:val="0"/>
          <w:sz w:val="24"/>
          <w:szCs w:val="24"/>
          <w:u w:val="none"/>
          <w:lang w:val="en-US" w:eastAsia="zh-CN"/>
        </w:rPr>
      </w:pPr>
      <w:r>
        <w:rPr>
          <w:rFonts w:hint="eastAsia" w:ascii="仿宋_GB2312" w:hAnsi="仿宋_GB2312" w:eastAsia="仿宋_GB2312" w:cs="仿宋_GB2312"/>
          <w:b/>
          <w:bCs/>
          <w:color w:val="auto"/>
          <w:kern w:val="0"/>
          <w:sz w:val="24"/>
          <w:szCs w:val="24"/>
          <w:u w:val="none"/>
          <w:lang w:val="en-US" w:eastAsia="zh-CN"/>
        </w:rPr>
        <w:t>4、其它：</w:t>
      </w:r>
      <w:r>
        <w:rPr>
          <w:rFonts w:hint="eastAsia" w:ascii="仿宋_GB2312" w:hAnsi="仿宋_GB2312" w:eastAsia="仿宋_GB2312" w:cs="仿宋_GB2312"/>
          <w:b w:val="0"/>
          <w:bCs w:val="0"/>
          <w:color w:val="auto"/>
          <w:kern w:val="0"/>
          <w:sz w:val="24"/>
          <w:szCs w:val="24"/>
          <w:u w:val="none"/>
          <w:lang w:val="en-US" w:eastAsia="zh-CN"/>
        </w:rPr>
        <w:t xml:space="preserve"> 进度要求：进场前需根据合同工期（或采购人项目部下达的指令）提交施工进度计划，施工中需提交每周周计划，每日提交施工人员计划及作业部位，需根据采购人要求进行调整施工进度计划，并满足总体施工进度计划。</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七、承包方式：</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480" w:firstLineChars="200"/>
        <w:textAlignment w:val="auto"/>
        <w:rPr>
          <w:rFonts w:hint="eastAsia" w:ascii="仿宋_GB2312" w:hAnsi="仿宋_GB2312" w:eastAsia="仿宋_GB2312" w:cs="仿宋_GB2312"/>
          <w:b w:val="0"/>
          <w:bCs w:val="0"/>
          <w:color w:val="auto"/>
          <w:kern w:val="0"/>
          <w:sz w:val="24"/>
          <w:szCs w:val="24"/>
          <w:u w:val="none"/>
          <w:lang w:val="en-US" w:eastAsia="zh-CN"/>
        </w:rPr>
      </w:pPr>
      <w:r>
        <w:rPr>
          <w:rFonts w:hint="eastAsia" w:ascii="仿宋_GB2312" w:hAnsi="仿宋_GB2312" w:eastAsia="仿宋_GB2312" w:cs="仿宋_GB2312"/>
          <w:b w:val="0"/>
          <w:bCs w:val="0"/>
          <w:color w:val="auto"/>
          <w:kern w:val="0"/>
          <w:sz w:val="24"/>
          <w:szCs w:val="24"/>
          <w:u w:val="none"/>
          <w:lang w:val="en-US" w:eastAsia="zh-CN"/>
        </w:rPr>
        <w:t>本合同包括系统方案图纸深化设计费、包工、包料、包供应设备、包安装调试、包质量、包安全、包工期、包施工机械、包安全文明施工、包资料、包验收合格、包保险、包保修、包风险、包与其他分包单位的配合等。但不含总包配合费。</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2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4</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2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26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26</w:t>
      </w:r>
      <w:r>
        <w:rPr>
          <w:rFonts w:hint="eastAsia" w:ascii="仿宋_GB2312" w:hAnsi="仿宋_GB2312" w:eastAsia="仿宋_GB2312" w:cs="仿宋_GB2312"/>
          <w:color w:val="auto"/>
          <w:kern w:val="0"/>
          <w:sz w:val="24"/>
          <w:szCs w:val="24"/>
          <w:highlight w:val="none"/>
        </w:rPr>
        <w:t>日历天，具体施工时间根据项目部施工进度安排。</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26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26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9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40</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十、注意事项：</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1、投标人必须全面响应采购文件要求，投标人任何附加条件采购人一律不接受或</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视为废标。</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2、中标单位严禁有挂靠或者违法转包行为。</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3、投标文件严禁出现不平衡报价。</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0"/>
        <w:textAlignment w:val="auto"/>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4、质量要求：现行的施工规范要求。</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w:t>
      </w:r>
      <w:r>
        <w:rPr>
          <w:rFonts w:hint="eastAsia" w:ascii="仿宋_GB2312" w:hAnsi="仿宋_GB2312" w:eastAsia="仿宋_GB2312" w:cs="仿宋_GB2312"/>
          <w:color w:val="000000"/>
          <w:kern w:val="0"/>
          <w:sz w:val="24"/>
        </w:rPr>
        <w:t>莞建公司官网（http:/www.dggcc.cn）、东实集团官网（http://www.dgsy.com.cn）采购公告处获取</w:t>
      </w:r>
      <w:r>
        <w:rPr>
          <w:rFonts w:hint="eastAsia" w:ascii="仿宋_GB2312" w:hAnsi="仿宋_GB2312" w:eastAsia="仿宋_GB2312" w:cs="仿宋_GB2312"/>
          <w:color w:val="auto"/>
          <w:kern w:val="0"/>
          <w:sz w:val="24"/>
          <w:szCs w:val="24"/>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w:t>
      </w:r>
      <w:r>
        <w:rPr>
          <w:rFonts w:hint="eastAsia" w:ascii="仿宋_GB2312" w:hAnsi="仿宋_GB2312" w:eastAsia="仿宋_GB2312" w:cs="仿宋_GB2312"/>
          <w:color w:val="auto"/>
          <w:kern w:val="0"/>
          <w:sz w:val="24"/>
          <w:szCs w:val="24"/>
          <w:lang w:val="en-US" w:eastAsia="zh-CN"/>
        </w:rPr>
        <w:t>8</w:t>
      </w:r>
      <w:r>
        <w:rPr>
          <w:rFonts w:hint="eastAsia" w:ascii="仿宋_GB2312" w:hAnsi="仿宋_GB2312" w:eastAsia="仿宋_GB2312" w:cs="仿宋_GB2312"/>
          <w:color w:val="auto"/>
          <w:kern w:val="0"/>
          <w:sz w:val="24"/>
          <w:szCs w:val="24"/>
        </w:rPr>
        <w:t>栋莞建公司</w:t>
      </w:r>
      <w:r>
        <w:rPr>
          <w:rFonts w:hint="eastAsia" w:ascii="仿宋_GB2312" w:hAnsi="仿宋_GB2312" w:eastAsia="仿宋_GB2312" w:cs="仿宋_GB2312"/>
          <w:color w:val="auto"/>
          <w:kern w:val="0"/>
          <w:sz w:val="24"/>
          <w:szCs w:val="24"/>
          <w:lang w:val="en-US" w:eastAsia="zh-CN"/>
        </w:rPr>
        <w:t>4楼招投标部</w:t>
      </w:r>
      <w:r>
        <w:rPr>
          <w:rFonts w:hint="eastAsia" w:ascii="仿宋_GB2312" w:hAnsi="仿宋_GB2312" w:eastAsia="仿宋_GB2312" w:cs="仿宋_GB2312"/>
          <w:color w:val="auto"/>
          <w:kern w:val="0"/>
          <w:sz w:val="24"/>
          <w:szCs w:val="24"/>
        </w:rPr>
        <w:t>。</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420" w:firstLineChars="175"/>
        <w:jc w:val="righ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东莞市莞城建筑工程有限公司</w:t>
      </w:r>
    </w:p>
    <w:p>
      <w:r>
        <w:rPr>
          <w:rFonts w:hint="eastAsia" w:ascii="仿宋_GB2312" w:hAnsi="仿宋_GB2312" w:eastAsia="仿宋_GB2312" w:cs="仿宋_GB2312"/>
          <w:color w:val="auto"/>
          <w:kern w:val="0"/>
          <w:sz w:val="24"/>
          <w:szCs w:val="24"/>
          <w:lang w:val="en-US" w:eastAsia="zh-CN"/>
        </w:rPr>
        <w:t xml:space="preserve">                                               2024年1月22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康简标题宋">
    <w:panose1 w:val="02010609000101010101"/>
    <w:charset w:val="00"/>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62D72178"/>
    <w:rsid w:val="01E35812"/>
    <w:rsid w:val="04464BCF"/>
    <w:rsid w:val="05A92512"/>
    <w:rsid w:val="08177FEC"/>
    <w:rsid w:val="0F8A4340"/>
    <w:rsid w:val="11C0046E"/>
    <w:rsid w:val="15601899"/>
    <w:rsid w:val="17E92FD6"/>
    <w:rsid w:val="1BEB04EA"/>
    <w:rsid w:val="1C4A1F34"/>
    <w:rsid w:val="20605CA4"/>
    <w:rsid w:val="230A6B99"/>
    <w:rsid w:val="25F74F3C"/>
    <w:rsid w:val="27D80F84"/>
    <w:rsid w:val="29C315B7"/>
    <w:rsid w:val="2A491FE4"/>
    <w:rsid w:val="2E092B4D"/>
    <w:rsid w:val="2F1F4DB3"/>
    <w:rsid w:val="320002E8"/>
    <w:rsid w:val="40E75278"/>
    <w:rsid w:val="4C231338"/>
    <w:rsid w:val="4D6E138C"/>
    <w:rsid w:val="529B0C90"/>
    <w:rsid w:val="54F91E30"/>
    <w:rsid w:val="55E944E3"/>
    <w:rsid w:val="55ED3409"/>
    <w:rsid w:val="5BF71789"/>
    <w:rsid w:val="5C1A696F"/>
    <w:rsid w:val="5EF90A2F"/>
    <w:rsid w:val="5F821C8B"/>
    <w:rsid w:val="62D72178"/>
    <w:rsid w:val="6A017A4C"/>
    <w:rsid w:val="6DB16768"/>
    <w:rsid w:val="6DD67253"/>
    <w:rsid w:val="7627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2024-01-22T01:51:00Z</dcterms:created>
  <dc:creator>MCmai</dc:creator>
  <cp:lastModifiedBy>MCmai</cp:lastModifiedBy>
  <cp:lastPrinted>2024-01-22T01:52:10Z</cp:lastPrinted>
  <dcterms:modified xsi:type="dcterms:W3CDTF">2024-01-22T02:23:48Z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EA66F400E3AD410282CDDE866C14BAE2_11</vt:lpwstr>
  </property>
</Properties>
</file>