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000000"/>
          <w:sz w:val="52"/>
          <w:szCs w:val="52"/>
        </w:rPr>
      </w:pPr>
    </w:p>
    <w:p>
      <w:pPr>
        <w:jc w:val="center"/>
        <w:rPr>
          <w:rFonts w:hint="eastAsia" w:ascii="仿宋" w:hAnsi="仿宋" w:eastAsia="仿宋" w:cs="仿宋"/>
          <w:color w:val="000000"/>
          <w:sz w:val="52"/>
          <w:szCs w:val="52"/>
        </w:rPr>
      </w:pPr>
    </w:p>
    <w:p>
      <w:pPr>
        <w:spacing w:line="360" w:lineRule="auto"/>
        <w:jc w:val="center"/>
        <w:rPr>
          <w:rFonts w:hint="eastAsia" w:ascii="仿宋" w:hAnsi="仿宋" w:eastAsia="仿宋" w:cs="仿宋"/>
          <w:b w:val="0"/>
          <w:bCs w:val="0"/>
          <w:color w:val="000000"/>
          <w:sz w:val="84"/>
        </w:rPr>
      </w:pPr>
      <w:r>
        <w:rPr>
          <w:rFonts w:hint="eastAsia" w:ascii="仿宋" w:hAnsi="仿宋" w:eastAsia="仿宋" w:cs="仿宋"/>
          <w:b w:val="0"/>
          <w:bCs w:val="0"/>
          <w:color w:val="000000"/>
          <w:sz w:val="84"/>
        </w:rPr>
        <w:t>采  购  文  件</w:t>
      </w:r>
    </w:p>
    <w:p>
      <w:pPr>
        <w:rPr>
          <w:rFonts w:hint="eastAsia" w:ascii="仿宋" w:hAnsi="仿宋" w:eastAsia="仿宋" w:cs="仿宋"/>
          <w:color w:val="000000"/>
          <w:sz w:val="52"/>
          <w:szCs w:val="52"/>
        </w:rPr>
      </w:pPr>
    </w:p>
    <w:p>
      <w:pPr>
        <w:jc w:val="center"/>
        <w:rPr>
          <w:rFonts w:hint="eastAsia" w:ascii="仿宋" w:hAnsi="仿宋" w:eastAsia="仿宋" w:cs="仿宋"/>
          <w:b w:val="0"/>
          <w:bCs/>
          <w:color w:val="000000"/>
          <w:sz w:val="44"/>
          <w:szCs w:val="44"/>
          <w:lang w:val="en-US" w:eastAsia="zh-CN"/>
        </w:rPr>
      </w:pPr>
      <w:r>
        <w:rPr>
          <w:rFonts w:hint="eastAsia" w:ascii="仿宋" w:hAnsi="仿宋" w:eastAsia="仿宋" w:cs="仿宋"/>
          <w:b w:val="0"/>
          <w:bCs/>
          <w:color w:val="000000"/>
          <w:sz w:val="44"/>
          <w:szCs w:val="44"/>
          <w:lang w:val="en-US" w:eastAsia="zh-CN"/>
        </w:rPr>
        <w:t>广东省东莞市城区配套物流仓储建设项目</w:t>
      </w:r>
    </w:p>
    <w:p>
      <w:pPr>
        <w:jc w:val="center"/>
        <w:rPr>
          <w:rFonts w:hint="eastAsia" w:ascii="仿宋" w:hAnsi="仿宋" w:eastAsia="仿宋" w:cs="仿宋"/>
          <w:b/>
          <w:color w:val="000000"/>
          <w:sz w:val="48"/>
          <w:lang w:eastAsia="zh-CN"/>
        </w:rPr>
      </w:pPr>
      <w:r>
        <w:rPr>
          <w:rFonts w:hint="eastAsia" w:ascii="仿宋" w:hAnsi="仿宋" w:eastAsia="仿宋" w:cs="仿宋"/>
          <w:b w:val="0"/>
          <w:bCs/>
          <w:color w:val="000000"/>
          <w:sz w:val="44"/>
          <w:szCs w:val="44"/>
          <w:lang w:val="en-US" w:eastAsia="zh-CN"/>
        </w:rPr>
        <w:t>电缆</w:t>
      </w:r>
      <w:r>
        <w:rPr>
          <w:rFonts w:hint="eastAsia" w:ascii="仿宋" w:hAnsi="仿宋" w:eastAsia="仿宋" w:cs="仿宋"/>
          <w:b w:val="0"/>
          <w:bCs/>
          <w:color w:val="000000"/>
          <w:sz w:val="44"/>
          <w:szCs w:val="44"/>
          <w:lang w:eastAsia="zh-CN"/>
        </w:rPr>
        <w:t>采购</w:t>
      </w:r>
    </w:p>
    <w:p>
      <w:pPr>
        <w:jc w:val="center"/>
        <w:rPr>
          <w:rFonts w:hint="eastAsia" w:ascii="仿宋" w:hAnsi="仿宋" w:eastAsia="仿宋" w:cs="仿宋"/>
          <w:bCs/>
          <w:color w:val="000000"/>
          <w:sz w:val="32"/>
        </w:rPr>
      </w:pPr>
    </w:p>
    <w:p>
      <w:pPr>
        <w:jc w:val="center"/>
        <w:rPr>
          <w:rFonts w:hint="eastAsia" w:ascii="仿宋" w:hAnsi="仿宋" w:eastAsia="仿宋" w:cs="仿宋"/>
          <w:bCs/>
          <w:color w:val="000000"/>
          <w:sz w:val="32"/>
          <w:szCs w:val="32"/>
          <w:u w:val="single"/>
        </w:rPr>
      </w:pPr>
      <w:r>
        <w:rPr>
          <w:rFonts w:hint="eastAsia" w:ascii="仿宋" w:hAnsi="仿宋" w:eastAsia="仿宋" w:cs="仿宋"/>
          <w:bCs/>
          <w:color w:val="000000"/>
          <w:sz w:val="32"/>
          <w:szCs w:val="32"/>
        </w:rPr>
        <w:t>项目编号：</w:t>
      </w:r>
      <w:r>
        <w:rPr>
          <w:rFonts w:hint="eastAsia" w:ascii="仿宋" w:hAnsi="仿宋" w:eastAsia="仿宋" w:cs="仿宋"/>
          <w:bCs/>
          <w:color w:val="000000"/>
          <w:sz w:val="32"/>
          <w:szCs w:val="32"/>
          <w:u w:val="single"/>
        </w:rPr>
        <w:t xml:space="preserve"> ZBCG-202</w:t>
      </w:r>
      <w:r>
        <w:rPr>
          <w:rFonts w:hint="eastAsia" w:ascii="仿宋" w:hAnsi="仿宋" w:eastAsia="仿宋" w:cs="仿宋"/>
          <w:bCs/>
          <w:color w:val="000000"/>
          <w:sz w:val="32"/>
          <w:szCs w:val="32"/>
          <w:u w:val="single"/>
          <w:lang w:val="en-US" w:eastAsia="zh-CN"/>
        </w:rPr>
        <w:t>3</w:t>
      </w:r>
      <w:r>
        <w:rPr>
          <w:rFonts w:hint="eastAsia" w:ascii="仿宋" w:hAnsi="仿宋" w:eastAsia="仿宋" w:cs="仿宋"/>
          <w:bCs/>
          <w:color w:val="000000"/>
          <w:sz w:val="32"/>
          <w:szCs w:val="32"/>
          <w:u w:val="single"/>
        </w:rPr>
        <w:t>-</w:t>
      </w:r>
      <w:r>
        <w:rPr>
          <w:rFonts w:hint="eastAsia" w:ascii="仿宋" w:hAnsi="仿宋" w:eastAsia="仿宋" w:cs="仿宋"/>
          <w:bCs/>
          <w:color w:val="000000"/>
          <w:sz w:val="32"/>
          <w:szCs w:val="32"/>
          <w:u w:val="single"/>
          <w:lang w:val="en-US" w:eastAsia="zh-CN"/>
        </w:rPr>
        <w:t>138</w:t>
      </w:r>
      <w:r>
        <w:rPr>
          <w:rFonts w:hint="eastAsia" w:ascii="仿宋" w:hAnsi="仿宋" w:eastAsia="仿宋" w:cs="仿宋"/>
          <w:bCs/>
          <w:color w:val="000000"/>
          <w:sz w:val="32"/>
          <w:szCs w:val="32"/>
          <w:u w:val="single"/>
        </w:rPr>
        <w:t xml:space="preserve"> </w:t>
      </w:r>
    </w:p>
    <w:p>
      <w:pPr>
        <w:rPr>
          <w:rFonts w:hint="eastAsia" w:ascii="仿宋" w:hAnsi="仿宋" w:eastAsia="仿宋" w:cs="仿宋"/>
          <w:color w:val="000000"/>
          <w:sz w:val="36"/>
          <w:szCs w:val="36"/>
        </w:rPr>
      </w:pPr>
      <w:r>
        <w:rPr>
          <w:rFonts w:hint="eastAsia" w:ascii="仿宋" w:hAnsi="仿宋" w:eastAsia="仿宋" w:cs="仿宋"/>
          <w:color w:val="000000"/>
          <w:sz w:val="36"/>
          <w:szCs w:val="36"/>
        </w:rPr>
        <w:t xml:space="preserve"> </w:t>
      </w:r>
    </w:p>
    <w:p>
      <w:pPr>
        <w:spacing w:line="360" w:lineRule="auto"/>
        <w:jc w:val="center"/>
        <w:rPr>
          <w:rFonts w:hint="eastAsia" w:ascii="仿宋" w:hAnsi="仿宋" w:eastAsia="仿宋" w:cs="仿宋"/>
          <w:color w:val="000000"/>
        </w:rPr>
      </w:pPr>
      <w:r>
        <w:rPr>
          <w:rFonts w:hint="eastAsia" w:ascii="仿宋" w:hAnsi="仿宋" w:eastAsia="仿宋" w:cs="仿宋"/>
          <w:color w:val="000000"/>
        </w:rPr>
        <w:drawing>
          <wp:inline distT="0" distB="0" distL="114300" distR="114300">
            <wp:extent cx="1612900" cy="1616710"/>
            <wp:effectExtent l="0" t="0" r="0" b="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5"/>
                    <a:stretch>
                      <a:fillRect/>
                    </a:stretch>
                  </pic:blipFill>
                  <pic:spPr>
                    <a:xfrm>
                      <a:off x="0" y="0"/>
                      <a:ext cx="1612900" cy="1616710"/>
                    </a:xfrm>
                    <a:prstGeom prst="rect">
                      <a:avLst/>
                    </a:prstGeom>
                    <a:noFill/>
                    <a:ln>
                      <a:noFill/>
                    </a:ln>
                  </pic:spPr>
                </pic:pic>
              </a:graphicData>
            </a:graphic>
          </wp:inline>
        </w:drawing>
      </w:r>
    </w:p>
    <w:p>
      <w:pPr>
        <w:spacing w:line="360" w:lineRule="auto"/>
        <w:rPr>
          <w:rFonts w:hint="eastAsia" w:ascii="仿宋" w:hAnsi="仿宋" w:eastAsia="仿宋" w:cs="仿宋"/>
          <w:bCs/>
          <w:color w:val="000000"/>
          <w:sz w:val="32"/>
        </w:rPr>
      </w:pPr>
    </w:p>
    <w:p>
      <w:pPr>
        <w:spacing w:line="360" w:lineRule="auto"/>
        <w:rPr>
          <w:rFonts w:hint="eastAsia" w:ascii="仿宋" w:hAnsi="仿宋" w:eastAsia="仿宋" w:cs="仿宋"/>
          <w:bCs/>
          <w:color w:val="000000"/>
          <w:sz w:val="32"/>
        </w:rPr>
      </w:pPr>
    </w:p>
    <w:p>
      <w:pPr>
        <w:spacing w:line="360" w:lineRule="auto"/>
        <w:rPr>
          <w:rFonts w:hint="eastAsia" w:ascii="仿宋" w:hAnsi="仿宋" w:eastAsia="仿宋" w:cs="仿宋"/>
          <w:bCs/>
          <w:color w:val="000000"/>
          <w:sz w:val="32"/>
        </w:rPr>
      </w:pPr>
    </w:p>
    <w:p>
      <w:pPr>
        <w:spacing w:line="360" w:lineRule="auto"/>
        <w:jc w:val="center"/>
        <w:rPr>
          <w:rFonts w:hint="eastAsia" w:ascii="仿宋" w:hAnsi="仿宋" w:eastAsia="仿宋" w:cs="仿宋"/>
          <w:bCs/>
          <w:color w:val="000000"/>
          <w:sz w:val="32"/>
        </w:rPr>
      </w:pPr>
      <w:r>
        <w:rPr>
          <w:rFonts w:hint="eastAsia" w:ascii="仿宋" w:hAnsi="仿宋" w:eastAsia="仿宋" w:cs="仿宋"/>
          <w:bCs/>
          <w:color w:val="000000"/>
          <w:sz w:val="32"/>
        </w:rPr>
        <w:t>东莞市莞城建筑工程有限公司</w:t>
      </w:r>
    </w:p>
    <w:p>
      <w:pPr>
        <w:spacing w:line="360" w:lineRule="auto"/>
        <w:ind w:left="538"/>
        <w:jc w:val="center"/>
        <w:rPr>
          <w:rFonts w:hint="eastAsia" w:ascii="仿宋" w:hAnsi="仿宋" w:eastAsia="仿宋" w:cs="仿宋"/>
          <w:bCs/>
          <w:color w:val="000000"/>
          <w:sz w:val="32"/>
        </w:rPr>
        <w:sectPr>
          <w:pgSz w:w="11906" w:h="16838"/>
          <w:pgMar w:top="1134" w:right="1418" w:bottom="1134" w:left="1418" w:header="851" w:footer="992" w:gutter="0"/>
          <w:cols w:space="720" w:num="1"/>
          <w:docGrid w:type="lines" w:linePitch="312" w:charSpace="0"/>
        </w:sectPr>
      </w:pPr>
      <w:r>
        <w:rPr>
          <w:rFonts w:hint="eastAsia" w:ascii="仿宋" w:hAnsi="仿宋" w:eastAsia="仿宋" w:cs="仿宋"/>
          <w:bCs/>
          <w:color w:val="000000"/>
          <w:sz w:val="32"/>
        </w:rPr>
        <w:t>202</w:t>
      </w:r>
      <w:r>
        <w:rPr>
          <w:rFonts w:hint="eastAsia" w:ascii="仿宋" w:hAnsi="仿宋" w:eastAsia="仿宋" w:cs="仿宋"/>
          <w:bCs/>
          <w:color w:val="000000"/>
          <w:sz w:val="32"/>
          <w:lang w:val="en-US" w:eastAsia="zh-CN"/>
        </w:rPr>
        <w:t>3</w:t>
      </w:r>
      <w:r>
        <w:rPr>
          <w:rFonts w:hint="eastAsia" w:ascii="仿宋" w:hAnsi="仿宋" w:eastAsia="仿宋" w:cs="仿宋"/>
          <w:bCs/>
          <w:color w:val="000000"/>
          <w:sz w:val="32"/>
        </w:rPr>
        <w:t>年1</w:t>
      </w:r>
      <w:r>
        <w:rPr>
          <w:rFonts w:hint="eastAsia" w:ascii="仿宋" w:hAnsi="仿宋" w:eastAsia="仿宋" w:cs="仿宋"/>
          <w:bCs/>
          <w:color w:val="000000"/>
          <w:sz w:val="32"/>
          <w:lang w:val="en-US" w:eastAsia="zh-CN"/>
        </w:rPr>
        <w:t>1</w:t>
      </w:r>
      <w:r>
        <w:rPr>
          <w:rFonts w:hint="eastAsia" w:ascii="仿宋" w:hAnsi="仿宋" w:eastAsia="仿宋" w:cs="仿宋"/>
          <w:bCs/>
          <w:color w:val="000000"/>
          <w:sz w:val="32"/>
        </w:rPr>
        <w:t>月</w:t>
      </w:r>
    </w:p>
    <w:p>
      <w:pPr>
        <w:tabs>
          <w:tab w:val="left" w:pos="210"/>
        </w:tabs>
        <w:jc w:val="center"/>
        <w:rPr>
          <w:rFonts w:hint="eastAsia" w:ascii="仿宋" w:hAnsi="仿宋" w:eastAsia="仿宋" w:cs="仿宋"/>
          <w:b/>
          <w:bCs/>
          <w:color w:val="000000"/>
          <w:sz w:val="24"/>
          <w:szCs w:val="24"/>
        </w:rPr>
      </w:pPr>
      <w:r>
        <w:rPr>
          <w:rFonts w:hint="eastAsia" w:ascii="仿宋" w:hAnsi="仿宋" w:eastAsia="仿宋" w:cs="仿宋"/>
          <w:b/>
          <w:bCs/>
          <w:color w:val="000000"/>
          <w:sz w:val="28"/>
          <w:szCs w:val="28"/>
        </w:rPr>
        <w:t>第一部分 采购公告</w:t>
      </w:r>
    </w:p>
    <w:p>
      <w:pPr>
        <w:widowControl/>
        <w:snapToGrid w:val="0"/>
        <w:spacing w:line="48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至：投标人</w:t>
      </w:r>
    </w:p>
    <w:p>
      <w:pPr>
        <w:widowControl/>
        <w:snapToGrid w:val="0"/>
        <w:spacing w:line="480" w:lineRule="auto"/>
        <w:ind w:left="239" w:leftChars="114"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东莞市莞城建筑工程有限公司就</w:t>
      </w:r>
      <w:r>
        <w:rPr>
          <w:rFonts w:hint="eastAsia" w:ascii="仿宋" w:hAnsi="仿宋" w:eastAsia="仿宋" w:cs="仿宋"/>
          <w:color w:val="000000"/>
          <w:kern w:val="0"/>
          <w:sz w:val="24"/>
          <w:szCs w:val="24"/>
          <w:u w:val="single"/>
          <w:lang w:val="en-US" w:eastAsia="zh-CN"/>
        </w:rPr>
        <w:t>广东省东莞市城区配套物流仓储建设项目-电缆采购</w:t>
      </w:r>
      <w:r>
        <w:rPr>
          <w:rFonts w:hint="eastAsia" w:ascii="仿宋" w:hAnsi="仿宋" w:eastAsia="仿宋" w:cs="仿宋"/>
          <w:color w:val="000000"/>
          <w:kern w:val="0"/>
          <w:sz w:val="24"/>
          <w:szCs w:val="24"/>
        </w:rPr>
        <w:t>进行</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u w:val="single"/>
        </w:rPr>
        <w:t>公开采购</w:t>
      </w:r>
      <w:r>
        <w:rPr>
          <w:rFonts w:hint="eastAsia" w:ascii="仿宋" w:hAnsi="仿宋" w:eastAsia="仿宋" w:cs="仿宋"/>
          <w:color w:val="000000"/>
          <w:kern w:val="0"/>
          <w:sz w:val="24"/>
          <w:szCs w:val="24"/>
          <w:u w:val="single"/>
          <w:lang w:val="en-US" w:eastAsia="zh-CN"/>
        </w:rPr>
        <w:t xml:space="preserve"> </w:t>
      </w:r>
      <w:r>
        <w:rPr>
          <w:rFonts w:hint="eastAsia" w:ascii="仿宋" w:hAnsi="仿宋" w:eastAsia="仿宋" w:cs="仿宋"/>
          <w:color w:val="000000"/>
          <w:kern w:val="0"/>
          <w:sz w:val="24"/>
          <w:szCs w:val="24"/>
        </w:rPr>
        <w:t>现将有关事项说明如下：</w:t>
      </w:r>
    </w:p>
    <w:p>
      <w:pPr>
        <w:widowControl/>
        <w:snapToGrid w:val="0"/>
        <w:spacing w:line="480" w:lineRule="auto"/>
        <w:ind w:left="0" w:leftChars="0" w:firstLine="420" w:firstLineChars="0"/>
        <w:rPr>
          <w:rFonts w:hint="eastAsia" w:ascii="仿宋" w:hAnsi="仿宋" w:eastAsia="仿宋" w:cs="仿宋"/>
          <w:color w:val="000000"/>
          <w:kern w:val="0"/>
          <w:sz w:val="24"/>
          <w:szCs w:val="24"/>
          <w:u w:val="single"/>
          <w:lang w:eastAsia="zh-CN"/>
        </w:rPr>
      </w:pPr>
      <w:r>
        <w:rPr>
          <w:rFonts w:hint="eastAsia" w:ascii="仿宋" w:hAnsi="仿宋" w:eastAsia="仿宋" w:cs="仿宋"/>
          <w:color w:val="000000"/>
          <w:kern w:val="0"/>
          <w:sz w:val="24"/>
          <w:szCs w:val="24"/>
        </w:rPr>
        <w:t>一、项目名称：</w:t>
      </w:r>
      <w:r>
        <w:rPr>
          <w:rFonts w:hint="eastAsia" w:ascii="仿宋" w:hAnsi="仿宋" w:eastAsia="仿宋" w:cs="仿宋"/>
          <w:color w:val="000000"/>
          <w:kern w:val="0"/>
          <w:sz w:val="24"/>
          <w:szCs w:val="24"/>
          <w:u w:val="single"/>
          <w:lang w:val="en-US" w:eastAsia="zh-CN"/>
        </w:rPr>
        <w:t>广东省东莞市城区配套物流仓储建设项目-电缆采</w:t>
      </w:r>
      <w:r>
        <w:rPr>
          <w:rFonts w:hint="eastAsia" w:ascii="仿宋" w:hAnsi="仿宋" w:eastAsia="仿宋" w:cs="仿宋"/>
          <w:color w:val="000000"/>
          <w:kern w:val="0"/>
          <w:sz w:val="24"/>
          <w:szCs w:val="24"/>
          <w:u w:val="single"/>
          <w:lang w:eastAsia="zh-CN"/>
        </w:rPr>
        <w:t>购</w:t>
      </w:r>
    </w:p>
    <w:p>
      <w:pPr>
        <w:widowControl/>
        <w:snapToGrid w:val="0"/>
        <w:spacing w:line="480" w:lineRule="auto"/>
        <w:ind w:left="0" w:leftChars="0" w:firstLine="420" w:firstLineChars="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二、项目编号：</w:t>
      </w:r>
      <w:r>
        <w:rPr>
          <w:rFonts w:hint="eastAsia" w:ascii="仿宋" w:hAnsi="仿宋" w:eastAsia="仿宋" w:cs="仿宋"/>
          <w:color w:val="000000"/>
          <w:kern w:val="0"/>
          <w:sz w:val="24"/>
          <w:szCs w:val="24"/>
          <w:u w:val="single"/>
        </w:rPr>
        <w:t xml:space="preserve">  ZBCG-202</w:t>
      </w:r>
      <w:r>
        <w:rPr>
          <w:rFonts w:hint="eastAsia" w:ascii="仿宋" w:hAnsi="仿宋" w:eastAsia="仿宋" w:cs="仿宋"/>
          <w:color w:val="000000"/>
          <w:kern w:val="0"/>
          <w:sz w:val="24"/>
          <w:szCs w:val="24"/>
          <w:u w:val="single"/>
          <w:lang w:val="en-US" w:eastAsia="zh-CN"/>
        </w:rPr>
        <w:t>3</w:t>
      </w:r>
      <w:r>
        <w:rPr>
          <w:rFonts w:hint="eastAsia" w:ascii="仿宋" w:hAnsi="仿宋" w:eastAsia="仿宋" w:cs="仿宋"/>
          <w:color w:val="000000"/>
          <w:kern w:val="0"/>
          <w:sz w:val="24"/>
          <w:szCs w:val="24"/>
          <w:u w:val="single"/>
        </w:rPr>
        <w:t>-</w:t>
      </w:r>
      <w:r>
        <w:rPr>
          <w:rFonts w:hint="eastAsia" w:ascii="仿宋" w:hAnsi="仿宋" w:eastAsia="仿宋" w:cs="仿宋"/>
          <w:color w:val="000000"/>
          <w:kern w:val="0"/>
          <w:sz w:val="24"/>
          <w:szCs w:val="24"/>
          <w:u w:val="single"/>
          <w:lang w:val="en-US" w:eastAsia="zh-CN"/>
        </w:rPr>
        <w:t xml:space="preserve">138 </w:t>
      </w:r>
      <w:r>
        <w:rPr>
          <w:rFonts w:hint="eastAsia" w:ascii="仿宋" w:hAnsi="仿宋" w:eastAsia="仿宋" w:cs="仿宋"/>
          <w:color w:val="000000"/>
          <w:kern w:val="0"/>
          <w:sz w:val="24"/>
          <w:szCs w:val="24"/>
          <w:u w:val="single"/>
        </w:rPr>
        <w:t xml:space="preserve"> </w:t>
      </w:r>
    </w:p>
    <w:p>
      <w:pPr>
        <w:widowControl/>
        <w:snapToGrid w:val="0"/>
        <w:spacing w:line="480" w:lineRule="auto"/>
        <w:ind w:left="0" w:leftChars="0" w:firstLine="420" w:firstLineChars="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三、工程地点：</w:t>
      </w:r>
      <w:r>
        <w:rPr>
          <w:rFonts w:hint="eastAsia" w:ascii="仿宋" w:hAnsi="仿宋" w:eastAsia="仿宋" w:cs="仿宋"/>
          <w:color w:val="000000"/>
          <w:kern w:val="0"/>
          <w:sz w:val="24"/>
          <w:szCs w:val="24"/>
          <w:u w:val="single"/>
        </w:rPr>
        <w:t xml:space="preserve"> 东莞市寮步镇上屯村  </w:t>
      </w:r>
    </w:p>
    <w:p>
      <w:pPr>
        <w:widowControl/>
        <w:snapToGrid w:val="0"/>
        <w:spacing w:line="480" w:lineRule="auto"/>
        <w:ind w:left="0" w:leftChars="0" w:firstLine="420" w:firstLineChars="0"/>
        <w:rPr>
          <w:rFonts w:hint="eastAsia" w:ascii="仿宋" w:hAnsi="仿宋" w:eastAsia="仿宋" w:cs="仿宋"/>
          <w:color w:val="auto"/>
          <w:kern w:val="0"/>
          <w:sz w:val="24"/>
          <w:szCs w:val="24"/>
          <w:u w:val="none"/>
          <w:lang w:val="en-US" w:eastAsia="zh-CN"/>
        </w:rPr>
      </w:pPr>
      <w:r>
        <w:rPr>
          <w:rFonts w:hint="eastAsia" w:ascii="仿宋" w:hAnsi="仿宋" w:eastAsia="仿宋" w:cs="仿宋"/>
          <w:color w:val="000000"/>
          <w:kern w:val="0"/>
          <w:sz w:val="24"/>
          <w:szCs w:val="24"/>
        </w:rPr>
        <w:t>四、最高限价：本项目</w:t>
      </w:r>
      <w:r>
        <w:rPr>
          <w:rFonts w:hint="eastAsia" w:ascii="仿宋" w:hAnsi="仿宋" w:eastAsia="仿宋" w:cs="仿宋"/>
          <w:b/>
          <w:bCs/>
          <w:color w:val="000000"/>
          <w:kern w:val="0"/>
          <w:sz w:val="24"/>
          <w:szCs w:val="24"/>
          <w:lang w:val="en-US" w:eastAsia="zh-CN"/>
        </w:rPr>
        <w:t>限价</w:t>
      </w:r>
      <w:r>
        <w:rPr>
          <w:rFonts w:hint="eastAsia" w:ascii="仿宋" w:hAnsi="仿宋" w:eastAsia="仿宋" w:cs="仿宋"/>
          <w:b/>
          <w:bCs/>
          <w:color w:val="000000"/>
          <w:kern w:val="0"/>
          <w:sz w:val="24"/>
          <w:szCs w:val="24"/>
        </w:rPr>
        <w:t>为</w:t>
      </w:r>
      <w:r>
        <w:rPr>
          <w:rFonts w:hint="eastAsia" w:ascii="仿宋" w:hAnsi="仿宋" w:eastAsia="仿宋" w:cs="仿宋"/>
          <w:color w:val="000000"/>
          <w:kern w:val="0"/>
          <w:sz w:val="24"/>
          <w:szCs w:val="24"/>
          <w:lang w:val="en-US" w:eastAsia="zh-CN"/>
        </w:rPr>
        <w:t>¥10,911,194.76元（含税13%），不含税限价：¥9,655,924.57元。</w:t>
      </w:r>
    </w:p>
    <w:p>
      <w:pPr>
        <w:widowControl/>
        <w:snapToGrid w:val="0"/>
        <w:spacing w:line="480" w:lineRule="auto"/>
        <w:ind w:firstLine="640"/>
        <w:rPr>
          <w:rFonts w:hint="eastAsia" w:ascii="仿宋" w:hAnsi="仿宋" w:eastAsia="仿宋" w:cs="仿宋"/>
          <w:color w:val="auto"/>
          <w:kern w:val="0"/>
          <w:sz w:val="24"/>
          <w:szCs w:val="24"/>
          <w:lang w:val="en-US" w:eastAsia="zh-CN"/>
        </w:rPr>
      </w:pPr>
      <w:r>
        <w:rPr>
          <w:rFonts w:hint="eastAsia" w:ascii="仿宋" w:hAnsi="仿宋" w:eastAsia="仿宋" w:cs="仿宋"/>
          <w:color w:val="000000"/>
          <w:kern w:val="0"/>
          <w:sz w:val="24"/>
          <w:szCs w:val="24"/>
        </w:rPr>
        <w:t>五、项目概况：</w:t>
      </w:r>
      <w:r>
        <w:rPr>
          <w:rFonts w:hint="eastAsia" w:ascii="仿宋" w:hAnsi="仿宋" w:eastAsia="仿宋" w:cs="仿宋"/>
          <w:color w:val="auto"/>
          <w:kern w:val="0"/>
          <w:sz w:val="24"/>
          <w:szCs w:val="24"/>
          <w:lang w:val="en-US" w:eastAsia="zh-CN"/>
        </w:rPr>
        <w:t>广东省东莞市城区配套物流仓储建设</w:t>
      </w:r>
      <w:r>
        <w:rPr>
          <w:rFonts w:hint="eastAsia" w:ascii="仿宋" w:hAnsi="仿宋" w:eastAsia="仿宋" w:cs="仿宋"/>
          <w:color w:val="auto"/>
          <w:kern w:val="0"/>
          <w:sz w:val="24"/>
          <w:szCs w:val="24"/>
        </w:rPr>
        <w:t>项目总建筑面积约</w:t>
      </w:r>
      <w:r>
        <w:rPr>
          <w:rFonts w:hint="eastAsia" w:ascii="仿宋" w:hAnsi="仿宋" w:eastAsia="仿宋" w:cs="仿宋"/>
          <w:b w:val="0"/>
          <w:bCs w:val="0"/>
          <w:color w:val="auto"/>
          <w:sz w:val="24"/>
          <w:szCs w:val="24"/>
          <w:u w:val="none"/>
          <w:lang w:val="en-US" w:eastAsia="zh-CN"/>
        </w:rPr>
        <w:t>48655平方米，用地面积23748.62平方米，地下室面积17700平方米，建筑最大高度24.9米</w:t>
      </w:r>
      <w:r>
        <w:rPr>
          <w:rFonts w:hint="eastAsia" w:ascii="仿宋" w:hAnsi="仿宋" w:eastAsia="仿宋" w:cs="仿宋"/>
          <w:color w:val="auto"/>
          <w:kern w:val="0"/>
          <w:sz w:val="24"/>
          <w:szCs w:val="24"/>
        </w:rPr>
        <w:t>。建设内容包括：商业、社会公共停车场等</w:t>
      </w:r>
      <w:r>
        <w:rPr>
          <w:rFonts w:hint="eastAsia" w:ascii="仿宋" w:hAnsi="仿宋" w:eastAsia="仿宋" w:cs="仿宋"/>
          <w:color w:val="auto"/>
          <w:kern w:val="0"/>
          <w:sz w:val="24"/>
          <w:szCs w:val="24"/>
          <w:lang w:val="en-US" w:eastAsia="zh-CN"/>
        </w:rPr>
        <w:t>。</w:t>
      </w:r>
    </w:p>
    <w:p>
      <w:pPr>
        <w:widowControl/>
        <w:snapToGrid w:val="0"/>
        <w:spacing w:line="480" w:lineRule="auto"/>
        <w:ind w:firstLine="240" w:firstLineChars="100"/>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六、工程范围：</w:t>
      </w:r>
      <w:r>
        <w:rPr>
          <w:rFonts w:hint="eastAsia" w:ascii="仿宋" w:hAnsi="仿宋" w:eastAsia="仿宋" w:cs="仿宋"/>
          <w:color w:val="000000"/>
          <w:kern w:val="0"/>
          <w:sz w:val="24"/>
          <w:szCs w:val="24"/>
          <w:lang w:val="en-US" w:eastAsia="zh-CN"/>
        </w:rPr>
        <w:t>矿物电缆型号为：BBTRZ-3*120+2*70、BBTRZ-4*25+1*16等13种型号、以及电力电缆：WDZB-YJY-4*120+1*70、WDZB-YJY-5*10、WDZB-YJY-5*16等51种型号，共计约58776米。</w:t>
      </w:r>
      <w:r>
        <w:rPr>
          <w:rFonts w:hint="eastAsia" w:ascii="仿宋" w:hAnsi="仿宋" w:eastAsia="仿宋" w:cs="仿宋"/>
          <w:color w:val="000000"/>
          <w:kern w:val="0"/>
          <w:sz w:val="24"/>
          <w:szCs w:val="24"/>
        </w:rPr>
        <w:t>具体详见采购清单，最终工程量以实际采购为准</w:t>
      </w:r>
      <w:r>
        <w:rPr>
          <w:rFonts w:hint="eastAsia" w:ascii="仿宋" w:hAnsi="仿宋" w:eastAsia="仿宋" w:cs="仿宋"/>
          <w:color w:val="000000"/>
          <w:kern w:val="0"/>
          <w:sz w:val="24"/>
          <w:szCs w:val="24"/>
          <w:lang w:eastAsia="zh-CN"/>
        </w:rPr>
        <w:t>。</w:t>
      </w:r>
    </w:p>
    <w:p>
      <w:pPr>
        <w:widowControl/>
        <w:snapToGrid w:val="0"/>
        <w:spacing w:line="480" w:lineRule="auto"/>
        <w:ind w:firstLine="240" w:firstLineChars="1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6.1：电缆质量标准：电缆质量必须符合满足国家标准(GB2706.1.2-91、GB12706.1.3-91)的要求及行业主管部门、质量技术监督部门和地方的有关法规及规范的规定要求。</w:t>
      </w:r>
    </w:p>
    <w:p>
      <w:pPr>
        <w:widowControl/>
        <w:snapToGrid w:val="0"/>
        <w:spacing w:line="480" w:lineRule="auto"/>
        <w:ind w:firstLine="240" w:firstLineChars="1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6.2：品牌参考（同等或优于）：花缆、程通、新兴、中亚、南牌；</w:t>
      </w:r>
    </w:p>
    <w:p>
      <w:pPr>
        <w:widowControl/>
        <w:snapToGrid w:val="0"/>
        <w:spacing w:line="480" w:lineRule="auto"/>
        <w:ind w:firstLine="240" w:firstLineChars="1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6.3：通知送货方式：由采购人通过纸质下料单通知中标人，中标人保证自采购人下单日7-15天内货物到达现场。（附供货周期承诺函）。</w:t>
      </w:r>
    </w:p>
    <w:p>
      <w:pPr>
        <w:widowControl/>
        <w:snapToGrid w:val="0"/>
        <w:spacing w:line="480" w:lineRule="auto"/>
        <w:ind w:firstLine="240" w:firstLineChars="1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6.4：交货方式及要求：供应方送货至采购工地，卸至采购方指定的卸货地点，并承担装、运、卸、交收前保管等费用，在过程中如发生安全事故由供应方自行承担；供应方提供不符合合同约定的电力电缆，采购人有权拒绝接受，由此造成的损失，由供应方自行承担。产品进场时，需提供该批次规格厂家质量证明文件复印件加盖厂家或供货商公章，若货物无前述文件，采购人有权拒收。</w:t>
      </w:r>
    </w:p>
    <w:p>
      <w:pPr>
        <w:widowControl/>
        <w:snapToGrid w:val="0"/>
        <w:spacing w:line="480" w:lineRule="auto"/>
        <w:ind w:left="0" w:leftChars="0" w:firstLine="420" w:firstLineChars="175"/>
        <w:rPr>
          <w:rFonts w:hint="eastAsia" w:ascii="仿宋" w:hAnsi="仿宋" w:eastAsia="仿宋" w:cs="仿宋"/>
          <w:color w:val="000000"/>
          <w:kern w:val="0"/>
          <w:szCs w:val="21"/>
          <w:lang w:val="en-US" w:eastAsia="zh-CN"/>
        </w:rPr>
      </w:pPr>
      <w:r>
        <w:rPr>
          <w:rFonts w:hint="eastAsia" w:ascii="仿宋" w:hAnsi="仿宋" w:eastAsia="仿宋" w:cs="仿宋"/>
          <w:color w:val="000000"/>
          <w:kern w:val="0"/>
          <w:sz w:val="24"/>
          <w:szCs w:val="24"/>
          <w:lang w:val="en-US" w:eastAsia="zh-CN"/>
        </w:rPr>
        <w:t>交货验收由采购方、供应方共同完成，包括到场时间、批次数量、各种规格型号、场地提供、临时签收等。货到工地，由采购方、监理方现场随机抽样监督送检；如送检不合格，则该批电缆退货，所发生的费用由中标单位负责；如发生3次以上送检不合格，将追究其相关责任。</w:t>
      </w:r>
    </w:p>
    <w:p>
      <w:pPr>
        <w:widowControl/>
        <w:snapToGrid w:val="0"/>
        <w:spacing w:line="480" w:lineRule="auto"/>
        <w:ind w:firstLine="64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七、承包方式：</w:t>
      </w:r>
    </w:p>
    <w:p>
      <w:pPr>
        <w:widowControl/>
        <w:snapToGrid w:val="0"/>
        <w:spacing w:line="480" w:lineRule="auto"/>
        <w:ind w:firstLine="64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 xml:space="preserve">本次采购计价方式为综合单价包干，价格包括中标人将货品标的物运卸至采购人指定地点并通过验收的价款，不再因市场行情等任何原因而变化。综合单价具体包括产品的成品、生产、出厂检测、供应、包装、管理费、税金、利润、运输费、保险费、运输损耗、装卸货、货到工地负责堆放至需方指定地点（堆放整齐）及交收前保管等所发生的一切费用，还包括前期设计配合、现场协调、配合验收、因质量问题引起的维修和更换、技术指导和培训、责任义务等各项费用。工程量按照甲方书面订单并收货验收合 </w:t>
      </w:r>
    </w:p>
    <w:p>
      <w:pPr>
        <w:widowControl/>
        <w:snapToGrid w:val="0"/>
        <w:spacing w:line="480" w:lineRule="auto"/>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格的数量进行结算。</w:t>
      </w:r>
    </w:p>
    <w:p>
      <w:pPr>
        <w:widowControl/>
        <w:snapToGrid w:val="0"/>
        <w:spacing w:line="480" w:lineRule="auto"/>
        <w:ind w:firstLine="640"/>
        <w:rPr>
          <w:rFonts w:hint="default" w:ascii="仿宋" w:hAnsi="仿宋" w:eastAsia="仿宋" w:cs="仿宋"/>
          <w:color w:val="FF0000"/>
          <w:kern w:val="0"/>
          <w:sz w:val="24"/>
          <w:szCs w:val="24"/>
          <w:lang w:val="en-US" w:eastAsia="zh-CN"/>
        </w:rPr>
      </w:pPr>
      <w:r>
        <w:rPr>
          <w:rFonts w:hint="eastAsia" w:ascii="仿宋" w:hAnsi="仿宋" w:eastAsia="仿宋" w:cs="仿宋"/>
          <w:color w:val="000000"/>
          <w:kern w:val="0"/>
          <w:sz w:val="24"/>
          <w:szCs w:val="24"/>
          <w:lang w:val="en-US" w:eastAsia="zh-CN"/>
        </w:rPr>
        <w:t>八</w:t>
      </w:r>
      <w:r>
        <w:rPr>
          <w:rFonts w:hint="eastAsia" w:ascii="仿宋" w:hAnsi="仿宋" w:eastAsia="仿宋" w:cs="仿宋"/>
          <w:color w:val="000000"/>
          <w:kern w:val="0"/>
          <w:sz w:val="24"/>
          <w:szCs w:val="24"/>
        </w:rPr>
        <w:t>、服务期：</w:t>
      </w:r>
      <w:r>
        <w:rPr>
          <w:rFonts w:hint="eastAsia" w:ascii="仿宋" w:hAnsi="仿宋" w:eastAsia="仿宋" w:cs="仿宋"/>
          <w:color w:val="auto"/>
          <w:kern w:val="0"/>
          <w:sz w:val="24"/>
          <w:szCs w:val="24"/>
          <w:highlight w:val="none"/>
        </w:rPr>
        <w:t>计划</w:t>
      </w:r>
      <w:r>
        <w:rPr>
          <w:rFonts w:hint="eastAsia" w:ascii="仿宋" w:hAnsi="仿宋" w:eastAsia="仿宋" w:cs="仿宋"/>
          <w:color w:val="auto"/>
          <w:kern w:val="0"/>
          <w:sz w:val="24"/>
          <w:szCs w:val="24"/>
          <w:highlight w:val="none"/>
          <w:lang w:val="en-US" w:eastAsia="zh-CN"/>
        </w:rPr>
        <w:t>采购开始、结束</w:t>
      </w:r>
      <w:r>
        <w:rPr>
          <w:rFonts w:hint="eastAsia" w:ascii="仿宋" w:hAnsi="仿宋" w:eastAsia="仿宋" w:cs="仿宋"/>
          <w:color w:val="auto"/>
          <w:kern w:val="0"/>
          <w:sz w:val="24"/>
          <w:szCs w:val="24"/>
          <w:highlight w:val="none"/>
        </w:rPr>
        <w:t>日期：</w:t>
      </w:r>
      <w:r>
        <w:rPr>
          <w:rFonts w:hint="eastAsia" w:ascii="仿宋" w:hAnsi="仿宋" w:eastAsia="仿宋" w:cs="仿宋"/>
          <w:color w:val="auto"/>
          <w:kern w:val="0"/>
          <w:sz w:val="24"/>
          <w:szCs w:val="24"/>
          <w:highlight w:val="none"/>
          <w:u w:val="single"/>
        </w:rPr>
        <w:t>202</w:t>
      </w:r>
      <w:r>
        <w:rPr>
          <w:rFonts w:hint="eastAsia" w:ascii="仿宋" w:hAnsi="仿宋" w:eastAsia="仿宋" w:cs="仿宋"/>
          <w:color w:val="auto"/>
          <w:kern w:val="0"/>
          <w:sz w:val="24"/>
          <w:szCs w:val="24"/>
          <w:highlight w:val="none"/>
          <w:u w:val="single"/>
          <w:lang w:eastAsia="zh-CN"/>
        </w:rPr>
        <w:t>3</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lang w:val="en-US" w:eastAsia="zh-CN"/>
        </w:rPr>
        <w:t xml:space="preserve"> 12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lang w:val="en-US" w:eastAsia="zh-CN"/>
        </w:rPr>
        <w:t xml:space="preserve"> 15 </w:t>
      </w:r>
      <w:r>
        <w:rPr>
          <w:rFonts w:hint="eastAsia" w:ascii="仿宋" w:hAnsi="仿宋" w:eastAsia="仿宋" w:cs="仿宋"/>
          <w:color w:val="auto"/>
          <w:kern w:val="0"/>
          <w:sz w:val="24"/>
          <w:szCs w:val="24"/>
          <w:highlight w:val="none"/>
        </w:rPr>
        <w:t>日至</w:t>
      </w:r>
      <w:r>
        <w:rPr>
          <w:rFonts w:hint="eastAsia" w:ascii="仿宋" w:hAnsi="仿宋" w:eastAsia="仿宋" w:cs="仿宋"/>
          <w:color w:val="auto"/>
          <w:kern w:val="0"/>
          <w:sz w:val="24"/>
          <w:szCs w:val="24"/>
          <w:highlight w:val="none"/>
          <w:u w:val="single"/>
        </w:rPr>
        <w:t>202</w:t>
      </w:r>
      <w:r>
        <w:rPr>
          <w:rFonts w:hint="eastAsia" w:ascii="仿宋" w:hAnsi="仿宋" w:eastAsia="仿宋" w:cs="仿宋"/>
          <w:color w:val="auto"/>
          <w:kern w:val="0"/>
          <w:sz w:val="24"/>
          <w:szCs w:val="24"/>
          <w:highlight w:val="none"/>
          <w:u w:val="single"/>
          <w:lang w:val="en-US" w:eastAsia="zh-CN"/>
        </w:rPr>
        <w:t>4</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lang w:val="en-US" w:eastAsia="zh-CN"/>
        </w:rPr>
        <w:t xml:space="preserve"> 6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lang w:val="en-US" w:eastAsia="zh-CN"/>
        </w:rPr>
        <w:t xml:space="preserve"> 30 </w:t>
      </w:r>
      <w:r>
        <w:rPr>
          <w:rFonts w:hint="eastAsia" w:ascii="仿宋" w:hAnsi="仿宋" w:eastAsia="仿宋" w:cs="仿宋"/>
          <w:color w:val="auto"/>
          <w:kern w:val="0"/>
          <w:sz w:val="24"/>
          <w:szCs w:val="24"/>
          <w:highlight w:val="none"/>
        </w:rPr>
        <w:t>日，</w:t>
      </w:r>
      <w:r>
        <w:rPr>
          <w:rFonts w:hint="eastAsia" w:ascii="仿宋" w:hAnsi="仿宋" w:eastAsia="仿宋" w:cs="仿宋"/>
          <w:color w:val="000000"/>
          <w:kern w:val="0"/>
          <w:sz w:val="24"/>
          <w:szCs w:val="24"/>
        </w:rPr>
        <w:t>暂定</w:t>
      </w:r>
      <w:r>
        <w:rPr>
          <w:rFonts w:hint="eastAsia" w:ascii="仿宋" w:hAnsi="仿宋" w:eastAsia="仿宋" w:cs="仿宋"/>
          <w:color w:val="000000"/>
          <w:kern w:val="0"/>
          <w:sz w:val="24"/>
          <w:szCs w:val="24"/>
          <w:lang w:val="en-US" w:eastAsia="zh-CN"/>
        </w:rPr>
        <w:t>198</w:t>
      </w:r>
      <w:r>
        <w:rPr>
          <w:rFonts w:hint="eastAsia" w:ascii="仿宋" w:hAnsi="仿宋" w:eastAsia="仿宋" w:cs="仿宋"/>
          <w:color w:val="000000"/>
          <w:kern w:val="0"/>
          <w:sz w:val="24"/>
          <w:szCs w:val="24"/>
        </w:rPr>
        <w:t>个日历天，具体施工时间根据项目部施工进度安排。</w:t>
      </w:r>
      <w:r>
        <w:rPr>
          <w:rFonts w:hint="eastAsia" w:ascii="仿宋" w:hAnsi="仿宋" w:eastAsia="仿宋" w:cs="仿宋"/>
          <w:color w:val="000000"/>
          <w:kern w:val="0"/>
          <w:sz w:val="24"/>
          <w:szCs w:val="24"/>
          <w:lang w:val="en-US" w:eastAsia="zh-CN"/>
        </w:rPr>
        <w:t>供货周期：下单后7-15天货到现场。</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九</w:t>
      </w:r>
      <w:r>
        <w:rPr>
          <w:rFonts w:hint="eastAsia" w:ascii="仿宋" w:hAnsi="仿宋" w:eastAsia="仿宋" w:cs="仿宋"/>
          <w:color w:val="000000"/>
          <w:kern w:val="0"/>
          <w:sz w:val="24"/>
          <w:szCs w:val="24"/>
        </w:rPr>
        <w:t>、报价文件的递交时间为：以密封形式于</w:t>
      </w:r>
      <w:r>
        <w:rPr>
          <w:rFonts w:hint="eastAsia" w:ascii="仿宋" w:hAnsi="仿宋" w:eastAsia="仿宋" w:cs="仿宋"/>
          <w:color w:val="000000"/>
          <w:kern w:val="0"/>
          <w:sz w:val="24"/>
          <w:szCs w:val="24"/>
          <w:u w:val="single"/>
        </w:rPr>
        <w:t xml:space="preserve"> 202</w:t>
      </w:r>
      <w:r>
        <w:rPr>
          <w:rFonts w:hint="eastAsia" w:ascii="仿宋" w:hAnsi="仿宋" w:eastAsia="仿宋" w:cs="仿宋"/>
          <w:color w:val="000000"/>
          <w:kern w:val="0"/>
          <w:sz w:val="24"/>
          <w:szCs w:val="24"/>
          <w:u w:val="single"/>
          <w:lang w:val="en-US" w:eastAsia="zh-CN"/>
        </w:rPr>
        <w:t>3</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1</w:t>
      </w:r>
      <w:r>
        <w:rPr>
          <w:rFonts w:hint="eastAsia" w:ascii="仿宋" w:hAnsi="仿宋" w:eastAsia="仿宋" w:cs="仿宋"/>
          <w:color w:val="000000"/>
          <w:kern w:val="0"/>
          <w:sz w:val="24"/>
          <w:szCs w:val="24"/>
          <w:u w:val="single"/>
          <w:lang w:val="en-US" w:eastAsia="zh-CN"/>
        </w:rPr>
        <w:t>1</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17</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15</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时</w:t>
      </w:r>
      <w:r>
        <w:rPr>
          <w:rFonts w:hint="eastAsia" w:ascii="仿宋" w:hAnsi="仿宋" w:eastAsia="仿宋" w:cs="仿宋"/>
          <w:color w:val="000000"/>
          <w:kern w:val="0"/>
          <w:sz w:val="24"/>
          <w:szCs w:val="24"/>
          <w:u w:val="single"/>
          <w:lang w:val="en-US" w:eastAsia="zh-CN"/>
        </w:rPr>
        <w:t xml:space="preserve"> 00 </w:t>
      </w:r>
      <w:r>
        <w:rPr>
          <w:rFonts w:hint="eastAsia" w:ascii="仿宋" w:hAnsi="仿宋" w:eastAsia="仿宋" w:cs="仿宋"/>
          <w:color w:val="000000"/>
          <w:kern w:val="0"/>
          <w:sz w:val="24"/>
          <w:szCs w:val="24"/>
        </w:rPr>
        <w:t>分前递交，截止时间为</w:t>
      </w:r>
      <w:r>
        <w:rPr>
          <w:rFonts w:hint="eastAsia" w:ascii="仿宋" w:hAnsi="仿宋" w:eastAsia="仿宋" w:cs="仿宋"/>
          <w:color w:val="000000"/>
          <w:kern w:val="0"/>
          <w:sz w:val="24"/>
          <w:szCs w:val="24"/>
          <w:u w:val="single"/>
        </w:rPr>
        <w:t>202</w:t>
      </w:r>
      <w:r>
        <w:rPr>
          <w:rFonts w:hint="eastAsia" w:ascii="仿宋" w:hAnsi="仿宋" w:eastAsia="仿宋" w:cs="仿宋"/>
          <w:color w:val="000000"/>
          <w:kern w:val="0"/>
          <w:sz w:val="24"/>
          <w:szCs w:val="24"/>
          <w:u w:val="single"/>
          <w:lang w:val="en-US" w:eastAsia="zh-CN"/>
        </w:rPr>
        <w:t>3</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11</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17</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 xml:space="preserve">15 </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时</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u w:val="single"/>
          <w:lang w:val="en-US" w:eastAsia="zh-CN"/>
        </w:rPr>
        <w:t>00</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分，所有应答文件必须在规定的应答截止时间前按规定地址送达采购方，逾期恕不接受。</w:t>
      </w:r>
    </w:p>
    <w:p>
      <w:pPr>
        <w:widowControl/>
        <w:snapToGrid w:val="0"/>
        <w:spacing w:line="360" w:lineRule="auto"/>
        <w:rPr>
          <w:rFonts w:hint="eastAsia" w:ascii="仿宋" w:hAnsi="仿宋" w:eastAsia="仿宋" w:cs="仿宋"/>
          <w:color w:val="000000"/>
          <w:kern w:val="0"/>
          <w:sz w:val="24"/>
          <w:szCs w:val="24"/>
        </w:rPr>
      </w:pPr>
      <w:r>
        <w:rPr>
          <w:rFonts w:hint="eastAsia" w:ascii="仿宋" w:hAnsi="仿宋" w:eastAsia="仿宋" w:cs="仿宋"/>
          <w:b/>
          <w:bCs/>
          <w:color w:val="auto"/>
          <w:kern w:val="0"/>
          <w:sz w:val="24"/>
          <w:szCs w:val="24"/>
        </w:rPr>
        <w:t>开标地址：</w:t>
      </w:r>
      <w:r>
        <w:rPr>
          <w:rFonts w:hint="eastAsia" w:ascii="仿宋" w:hAnsi="仿宋" w:eastAsia="仿宋" w:cs="仿宋"/>
          <w:color w:val="auto"/>
          <w:kern w:val="0"/>
          <w:sz w:val="24"/>
          <w:szCs w:val="24"/>
        </w:rPr>
        <w:t>东莞市南城</w:t>
      </w:r>
      <w:r>
        <w:rPr>
          <w:rFonts w:hint="eastAsia" w:ascii="仿宋" w:hAnsi="仿宋" w:eastAsia="仿宋" w:cs="仿宋"/>
          <w:color w:val="auto"/>
          <w:kern w:val="0"/>
          <w:sz w:val="24"/>
          <w:szCs w:val="24"/>
          <w:lang w:val="en-US" w:eastAsia="zh-CN"/>
        </w:rPr>
        <w:t>街道城市风景街</w:t>
      </w:r>
      <w:r>
        <w:rPr>
          <w:rFonts w:hint="eastAsia" w:ascii="仿宋" w:hAnsi="仿宋" w:eastAsia="仿宋" w:cs="仿宋"/>
          <w:color w:val="auto"/>
          <w:kern w:val="0"/>
          <w:sz w:val="24"/>
          <w:szCs w:val="24"/>
        </w:rPr>
        <w:t>9栋5层莞建公司开标室（东莞市地震局旧址）。</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十</w:t>
      </w:r>
      <w:r>
        <w:rPr>
          <w:rFonts w:hint="eastAsia" w:ascii="仿宋" w:hAnsi="仿宋" w:eastAsia="仿宋" w:cs="仿宋"/>
          <w:color w:val="000000"/>
          <w:kern w:val="0"/>
          <w:sz w:val="24"/>
          <w:szCs w:val="24"/>
        </w:rPr>
        <w:t>、注意事项：</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1、投标人必须全面响应采购文件要求，投标人任何附加条件采购人一律不接受或视为废标。</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2、中标单位严禁有挂靠或者违法转包行为。</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3、投标文件严禁出现不平衡报价。</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4、质量要求：符合国家相关标准。</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w:t>
      </w:r>
      <w:r>
        <w:rPr>
          <w:rFonts w:hint="eastAsia" w:ascii="仿宋" w:hAnsi="仿宋" w:eastAsia="仿宋" w:cs="仿宋"/>
          <w:color w:val="000000"/>
          <w:kern w:val="0"/>
          <w:sz w:val="24"/>
          <w:szCs w:val="24"/>
          <w:lang w:val="en-US" w:eastAsia="zh-CN"/>
        </w:rPr>
        <w:t>一</w:t>
      </w:r>
      <w:r>
        <w:rPr>
          <w:rFonts w:hint="eastAsia" w:ascii="仿宋" w:hAnsi="仿宋" w:eastAsia="仿宋" w:cs="仿宋"/>
          <w:color w:val="000000"/>
          <w:kern w:val="0"/>
          <w:sz w:val="24"/>
          <w:szCs w:val="24"/>
        </w:rPr>
        <w:t>、采购文件获取：在莞建公司官网（</w:t>
      </w:r>
      <w:r>
        <w:rPr>
          <w:rFonts w:hint="eastAsia" w:ascii="仿宋" w:hAnsi="仿宋" w:eastAsia="仿宋" w:cs="仿宋"/>
          <w:color w:val="000000"/>
          <w:kern w:val="0"/>
          <w:sz w:val="24"/>
          <w:szCs w:val="24"/>
        </w:rPr>
        <w:fldChar w:fldCharType="begin"/>
      </w:r>
      <w:r>
        <w:rPr>
          <w:rFonts w:hint="eastAsia" w:ascii="仿宋" w:hAnsi="仿宋" w:eastAsia="仿宋" w:cs="仿宋"/>
          <w:color w:val="000000"/>
          <w:kern w:val="0"/>
          <w:sz w:val="24"/>
          <w:szCs w:val="24"/>
        </w:rPr>
        <w:instrText xml:space="preserve"> HYPERLINK "http://www.dggcc.cn" </w:instrText>
      </w:r>
      <w:r>
        <w:rPr>
          <w:rFonts w:hint="eastAsia" w:ascii="仿宋" w:hAnsi="仿宋" w:eastAsia="仿宋" w:cs="仿宋"/>
          <w:color w:val="000000"/>
          <w:kern w:val="0"/>
          <w:sz w:val="24"/>
          <w:szCs w:val="24"/>
        </w:rPr>
        <w:fldChar w:fldCharType="separate"/>
      </w:r>
      <w:r>
        <w:rPr>
          <w:rFonts w:hint="eastAsia" w:ascii="仿宋" w:hAnsi="仿宋" w:eastAsia="仿宋" w:cs="仿宋"/>
          <w:color w:val="000000"/>
          <w:kern w:val="0"/>
          <w:sz w:val="24"/>
          <w:szCs w:val="24"/>
        </w:rPr>
        <w:t>http://www.dggcc.cn</w:t>
      </w:r>
      <w:r>
        <w:rPr>
          <w:rFonts w:hint="eastAsia" w:ascii="仿宋" w:hAnsi="仿宋" w:eastAsia="仿宋" w:cs="仿宋"/>
          <w:color w:val="000000"/>
          <w:kern w:val="0"/>
          <w:sz w:val="24"/>
          <w:szCs w:val="24"/>
        </w:rPr>
        <w:fldChar w:fldCharType="end"/>
      </w:r>
      <w:r>
        <w:rPr>
          <w:rFonts w:hint="eastAsia" w:ascii="仿宋" w:hAnsi="仿宋" w:eastAsia="仿宋" w:cs="仿宋"/>
          <w:color w:val="000000"/>
          <w:kern w:val="0"/>
          <w:sz w:val="24"/>
          <w:szCs w:val="24"/>
        </w:rPr>
        <w:t>）、东实集团官网（http://www.dgsy.com.cn）采购公告处获取。</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w:t>
      </w:r>
      <w:r>
        <w:rPr>
          <w:rFonts w:hint="eastAsia" w:ascii="仿宋" w:hAnsi="仿宋" w:eastAsia="仿宋" w:cs="仿宋"/>
          <w:color w:val="000000"/>
          <w:kern w:val="0"/>
          <w:sz w:val="24"/>
          <w:szCs w:val="24"/>
          <w:lang w:val="en-US" w:eastAsia="zh-CN"/>
        </w:rPr>
        <w:t>二</w:t>
      </w:r>
      <w:r>
        <w:rPr>
          <w:rFonts w:hint="eastAsia" w:ascii="仿宋" w:hAnsi="仿宋" w:eastAsia="仿宋" w:cs="仿宋"/>
          <w:color w:val="000000"/>
          <w:kern w:val="0"/>
          <w:sz w:val="24"/>
          <w:szCs w:val="24"/>
        </w:rPr>
        <w:t xml:space="preserve">、有关此次采购答疑事宜，按下列地址以书面或电话形式向采购人查询：  </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采购人：东莞市莞城建筑工程有限公司</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地址：东莞市南城区城市风景街 莞建公司5楼 会议室</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联系人：</w:t>
      </w:r>
      <w:r>
        <w:rPr>
          <w:rFonts w:hint="eastAsia" w:ascii="仿宋" w:hAnsi="仿宋" w:eastAsia="仿宋" w:cs="仿宋"/>
          <w:color w:val="000000"/>
          <w:kern w:val="0"/>
          <w:sz w:val="24"/>
          <w:szCs w:val="24"/>
          <w:lang w:val="en-US" w:eastAsia="zh-CN"/>
        </w:rPr>
        <w:t>刘</w:t>
      </w:r>
      <w:r>
        <w:rPr>
          <w:rFonts w:hint="eastAsia" w:ascii="仿宋" w:hAnsi="仿宋" w:eastAsia="仿宋" w:cs="仿宋"/>
          <w:color w:val="000000"/>
          <w:kern w:val="0"/>
          <w:sz w:val="24"/>
          <w:szCs w:val="24"/>
        </w:rPr>
        <w:t>工</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邮政编码：511400 </w:t>
      </w:r>
    </w:p>
    <w:p>
      <w:pPr>
        <w:widowControl/>
        <w:snapToGrid w:val="0"/>
        <w:spacing w:line="480" w:lineRule="auto"/>
        <w:ind w:firstLine="64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联系方式：</w:t>
      </w:r>
      <w:r>
        <w:rPr>
          <w:rFonts w:hint="eastAsia" w:ascii="仿宋" w:hAnsi="仿宋" w:eastAsia="仿宋" w:cs="仿宋"/>
          <w:color w:val="000000"/>
          <w:kern w:val="0"/>
          <w:sz w:val="24"/>
          <w:szCs w:val="24"/>
          <w:lang w:val="en-US" w:eastAsia="zh-CN"/>
        </w:rPr>
        <w:t xml:space="preserve">18681007730    </w:t>
      </w:r>
    </w:p>
    <w:p>
      <w:pPr>
        <w:widowControl/>
        <w:snapToGrid w:val="0"/>
        <w:spacing w:line="480" w:lineRule="auto"/>
        <w:ind w:firstLine="64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传真： 0769-39009090  </w:t>
      </w:r>
    </w:p>
    <w:p>
      <w:pPr>
        <w:widowControl/>
        <w:snapToGrid w:val="0"/>
        <w:spacing w:line="480" w:lineRule="auto"/>
        <w:ind w:firstLine="64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东莞市莞城建筑工程有限公司</w:t>
      </w:r>
    </w:p>
    <w:p>
      <w:pPr>
        <w:widowControl/>
        <w:snapToGrid w:val="0"/>
        <w:spacing w:line="480" w:lineRule="auto"/>
        <w:ind w:firstLine="64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 xml:space="preserve">2023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lang w:val="en-US" w:eastAsia="zh-CN"/>
        </w:rPr>
        <w:t xml:space="preserve"> 11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lang w:val="en-US" w:eastAsia="zh-CN"/>
        </w:rPr>
        <w:t xml:space="preserve"> 13 </w:t>
      </w:r>
      <w:r>
        <w:rPr>
          <w:rFonts w:hint="eastAsia" w:ascii="仿宋" w:hAnsi="仿宋" w:eastAsia="仿宋" w:cs="仿宋"/>
          <w:color w:val="000000"/>
          <w:kern w:val="0"/>
          <w:sz w:val="24"/>
          <w:szCs w:val="24"/>
        </w:rPr>
        <w:t xml:space="preserve">日     </w:t>
      </w:r>
    </w:p>
    <w:p>
      <w:pPr>
        <w:widowControl/>
        <w:snapToGrid w:val="0"/>
        <w:spacing w:line="480" w:lineRule="auto"/>
        <w:ind w:firstLine="640"/>
        <w:rPr>
          <w:rFonts w:hint="eastAsia" w:ascii="仿宋" w:hAnsi="仿宋" w:eastAsia="仿宋" w:cs="仿宋"/>
          <w:color w:val="000000"/>
          <w:kern w:val="0"/>
          <w:sz w:val="24"/>
          <w:szCs w:val="24"/>
        </w:rPr>
      </w:pPr>
    </w:p>
    <w:p>
      <w:pPr>
        <w:widowControl/>
        <w:snapToGrid w:val="0"/>
        <w:spacing w:line="480" w:lineRule="auto"/>
        <w:ind w:firstLine="640"/>
        <w:rPr>
          <w:rFonts w:hint="eastAsia" w:ascii="仿宋" w:hAnsi="仿宋" w:eastAsia="仿宋" w:cs="仿宋"/>
          <w:color w:val="000000"/>
          <w:kern w:val="0"/>
          <w:sz w:val="21"/>
          <w:szCs w:val="21"/>
        </w:rPr>
      </w:pPr>
    </w:p>
    <w:p>
      <w:pPr>
        <w:widowControl/>
        <w:snapToGrid w:val="0"/>
        <w:spacing w:line="480" w:lineRule="auto"/>
        <w:ind w:firstLine="640"/>
        <w:rPr>
          <w:rFonts w:hint="eastAsia" w:ascii="仿宋" w:hAnsi="仿宋" w:eastAsia="仿宋" w:cs="仿宋"/>
          <w:color w:val="000000"/>
          <w:kern w:val="0"/>
          <w:sz w:val="21"/>
          <w:szCs w:val="21"/>
        </w:rPr>
      </w:pPr>
    </w:p>
    <w:p>
      <w:pPr>
        <w:widowControl/>
        <w:snapToGrid w:val="0"/>
        <w:spacing w:line="480" w:lineRule="auto"/>
        <w:rPr>
          <w:rFonts w:hint="eastAsia" w:ascii="仿宋" w:hAnsi="仿宋" w:eastAsia="仿宋" w:cs="仿宋"/>
          <w:b/>
          <w:bCs/>
          <w:color w:val="000000"/>
          <w:sz w:val="21"/>
          <w:szCs w:val="21"/>
        </w:rPr>
      </w:pPr>
      <w:r>
        <w:rPr>
          <w:rFonts w:hint="eastAsia" w:ascii="仿宋" w:hAnsi="仿宋" w:eastAsia="仿宋" w:cs="仿宋"/>
          <w:color w:val="000000"/>
          <w:kern w:val="0"/>
          <w:sz w:val="21"/>
          <w:szCs w:val="21"/>
        </w:rPr>
        <w:br w:type="page"/>
      </w:r>
    </w:p>
    <w:p>
      <w:pPr>
        <w:widowControl/>
        <w:snapToGrid w:val="0"/>
        <w:spacing w:line="360" w:lineRule="auto"/>
        <w:jc w:val="center"/>
        <w:rPr>
          <w:rFonts w:hint="eastAsia" w:ascii="仿宋" w:hAnsi="仿宋" w:eastAsia="仿宋" w:cs="仿宋"/>
          <w:b/>
          <w:bCs/>
          <w:color w:val="000000"/>
          <w:sz w:val="21"/>
          <w:szCs w:val="21"/>
        </w:rPr>
      </w:pPr>
      <w:r>
        <w:rPr>
          <w:rFonts w:hint="eastAsia" w:ascii="仿宋" w:hAnsi="仿宋" w:eastAsia="仿宋" w:cs="仿宋"/>
          <w:b/>
          <w:bCs/>
          <w:color w:val="000000"/>
          <w:sz w:val="28"/>
          <w:szCs w:val="28"/>
        </w:rPr>
        <w:t>第二部分 投标前须知</w:t>
      </w:r>
    </w:p>
    <w:p>
      <w:pPr>
        <w:widowControl/>
        <w:snapToGrid w:val="0"/>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一、投标人要求：</w:t>
      </w:r>
    </w:p>
    <w:p>
      <w:pPr>
        <w:widowControl/>
        <w:snapToGrid w:val="0"/>
        <w:spacing w:line="360" w:lineRule="auto"/>
        <w:ind w:firstLine="482" w:firstLineChars="200"/>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lang w:val="en-US" w:eastAsia="zh-CN"/>
        </w:rPr>
        <w:t>1、</w:t>
      </w:r>
      <w:r>
        <w:rPr>
          <w:rFonts w:hint="eastAsia" w:ascii="仿宋" w:hAnsi="仿宋" w:eastAsia="仿宋" w:cs="仿宋"/>
          <w:b/>
          <w:bCs/>
          <w:color w:val="auto"/>
          <w:kern w:val="0"/>
          <w:sz w:val="24"/>
          <w:szCs w:val="24"/>
        </w:rPr>
        <w:t>中华人民共和国境内注册的有合法经营资格的国内独立法人，具有独立承担民事责任的能力。</w:t>
      </w:r>
    </w:p>
    <w:p>
      <w:pPr>
        <w:widowControl/>
        <w:numPr>
          <w:ilvl w:val="0"/>
          <w:numId w:val="0"/>
        </w:numPr>
        <w:snapToGrid w:val="0"/>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color w:val="auto"/>
          <w:kern w:val="0"/>
          <w:sz w:val="24"/>
          <w:szCs w:val="24"/>
        </w:rPr>
        <w:t>满足《中华人民共和国政府采购法》第二十二条</w:t>
      </w:r>
      <w:r>
        <w:rPr>
          <w:rFonts w:hint="eastAsia" w:ascii="仿宋" w:hAnsi="仿宋" w:eastAsia="仿宋" w:cs="仿宋"/>
          <w:color w:val="auto"/>
          <w:kern w:val="0"/>
          <w:sz w:val="24"/>
          <w:szCs w:val="24"/>
          <w:lang w:val="en-US" w:eastAsia="zh-CN"/>
        </w:rPr>
        <w:t>之</w:t>
      </w:r>
      <w:r>
        <w:rPr>
          <w:rFonts w:hint="eastAsia" w:ascii="仿宋" w:hAnsi="仿宋" w:eastAsia="仿宋" w:cs="仿宋"/>
          <w:color w:val="auto"/>
          <w:kern w:val="0"/>
          <w:sz w:val="24"/>
          <w:szCs w:val="24"/>
        </w:rPr>
        <w:t>规定。</w:t>
      </w:r>
    </w:p>
    <w:p>
      <w:pPr>
        <w:widowControl/>
        <w:numPr>
          <w:ilvl w:val="0"/>
          <w:numId w:val="0"/>
        </w:numPr>
        <w:snapToGrid w:val="0"/>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kern w:val="0"/>
          <w:sz w:val="24"/>
          <w:szCs w:val="24"/>
          <w:highlight w:val="none"/>
          <w:lang w:val="en-US" w:eastAsia="zh-CN"/>
        </w:rPr>
        <w:t>3、</w:t>
      </w:r>
      <w:r>
        <w:rPr>
          <w:rFonts w:hint="eastAsia" w:ascii="仿宋" w:hAnsi="仿宋" w:eastAsia="仿宋" w:cs="仿宋"/>
          <w:b/>
          <w:bCs/>
          <w:color w:val="auto"/>
          <w:sz w:val="24"/>
          <w:szCs w:val="24"/>
          <w:highlight w:val="none"/>
        </w:rPr>
        <w:t>投标人可为电缆制造商、代理商，代理商投标的必须出具电缆制造商对所供电缆的授权书原件。投标人是所投物资的制造商或制造商授权参加本次投标的唯一授权代理商；同一投标物资的制造商和唯一授权代理商不能同时投标，否则仅接受制造商的投标。生产厂家必须通过3C 认证</w:t>
      </w:r>
      <w:r>
        <w:rPr>
          <w:rFonts w:hint="eastAsia" w:ascii="仿宋" w:hAnsi="仿宋" w:eastAsia="仿宋" w:cs="仿宋"/>
          <w:b/>
          <w:bCs/>
          <w:color w:val="auto"/>
          <w:sz w:val="24"/>
          <w:szCs w:val="24"/>
          <w:highlight w:val="none"/>
          <w:lang w:eastAsia="zh-CN"/>
        </w:rPr>
        <w:t>。</w:t>
      </w:r>
    </w:p>
    <w:p>
      <w:pPr>
        <w:widowControl/>
        <w:numPr>
          <w:ilvl w:val="0"/>
          <w:numId w:val="0"/>
        </w:numPr>
        <w:snapToGrid w:val="0"/>
        <w:spacing w:line="360" w:lineRule="auto"/>
        <w:ind w:firstLine="482" w:firstLineChars="200"/>
        <w:rPr>
          <w:rFonts w:hint="eastAsia" w:ascii="仿宋" w:hAnsi="仿宋" w:eastAsia="仿宋" w:cs="仿宋"/>
          <w:color w:val="auto"/>
          <w:kern w:val="0"/>
          <w:sz w:val="24"/>
          <w:szCs w:val="24"/>
          <w:lang w:val="en-US" w:eastAsia="zh-CN"/>
        </w:rPr>
      </w:pPr>
      <w:r>
        <w:rPr>
          <w:rFonts w:hint="eastAsia" w:ascii="仿宋" w:hAnsi="仿宋" w:eastAsia="仿宋" w:cs="仿宋"/>
          <w:b/>
          <w:bCs/>
          <w:color w:val="auto"/>
          <w:sz w:val="24"/>
          <w:szCs w:val="24"/>
          <w:highlight w:val="none"/>
          <w:lang w:val="en-US" w:eastAsia="zh-CN"/>
        </w:rPr>
        <w:t>4、</w:t>
      </w:r>
      <w:r>
        <w:rPr>
          <w:rFonts w:hint="eastAsia" w:ascii="仿宋" w:hAnsi="仿宋" w:eastAsia="仿宋" w:cs="仿宋"/>
          <w:color w:val="auto"/>
          <w:kern w:val="0"/>
          <w:sz w:val="24"/>
          <w:szCs w:val="24"/>
          <w:lang w:val="en-US" w:eastAsia="zh-CN"/>
        </w:rPr>
        <w:t>2021 年 1 月 1 日至今（以合同签订时间为准）至少具有 1 项电缆供货业绩并提供证明文件；必须提供合同复印件，合同复印件应包括封面、签字页（含有签字、盖章）及能显示项目名称和主要内容部分，否则视同没提供该业绩。</w:t>
      </w:r>
    </w:p>
    <w:p>
      <w:pPr>
        <w:widowControl/>
        <w:numPr>
          <w:ilvl w:val="0"/>
          <w:numId w:val="0"/>
        </w:numPr>
        <w:snapToGrid w:val="0"/>
        <w:spacing w:line="360" w:lineRule="auto"/>
        <w:ind w:firstLine="480" w:firstLineChars="20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5、投标人具有良好的银行资信和商业信誉，没有处于被吊销营业执照或责令停业，财产被接管、查封或冻结，濒临关闭、破产等状态。</w:t>
      </w:r>
      <w:r>
        <w:rPr>
          <w:rFonts w:hint="eastAsia" w:ascii="仿宋" w:hAnsi="仿宋" w:eastAsia="仿宋" w:cs="仿宋"/>
          <w:b/>
          <w:bCs/>
          <w:color w:val="auto"/>
          <w:kern w:val="0"/>
          <w:sz w:val="24"/>
          <w:szCs w:val="24"/>
          <w:lang w:val="en-US" w:eastAsia="zh-CN"/>
        </w:rPr>
        <w:t>提供基本开户行出具的资信证明、提供承诺（格式自拟）。</w:t>
      </w:r>
    </w:p>
    <w:p>
      <w:pPr>
        <w:widowControl/>
        <w:snapToGrid w:val="0"/>
        <w:spacing w:line="360" w:lineRule="auto"/>
        <w:ind w:firstLine="480" w:firstLineChars="20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6</w:t>
      </w:r>
      <w:r>
        <w:rPr>
          <w:rFonts w:hint="eastAsia" w:ascii="仿宋" w:hAnsi="仿宋" w:eastAsia="仿宋" w:cs="仿宋"/>
          <w:color w:val="auto"/>
          <w:kern w:val="0"/>
          <w:sz w:val="24"/>
          <w:szCs w:val="24"/>
        </w:rPr>
        <w:t>、本次采购不接受联合体投标。</w:t>
      </w:r>
      <w:r>
        <w:rPr>
          <w:rFonts w:hint="eastAsia" w:ascii="仿宋" w:hAnsi="仿宋" w:eastAsia="仿宋" w:cs="仿宋"/>
          <w:color w:val="000000"/>
          <w:kern w:val="0"/>
          <w:sz w:val="24"/>
          <w:szCs w:val="24"/>
        </w:rPr>
        <w:t>本采购项目投标人所中标段不能转包。</w:t>
      </w:r>
    </w:p>
    <w:p>
      <w:pPr>
        <w:widowControl/>
        <w:numPr>
          <w:ilvl w:val="0"/>
          <w:numId w:val="0"/>
        </w:numPr>
        <w:snapToGrid w:val="0"/>
        <w:spacing w:line="360" w:lineRule="auto"/>
        <w:ind w:firstLine="480" w:firstLineChars="20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7</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lang w:val="en-US" w:eastAsia="zh-CN"/>
        </w:rPr>
        <w:t>投标人应是公司库内的合格供应商。或当投标人为采购人供应商库外单位时，应经过采购人采购小组在合作意愿、公司实力、团队能力、履约能力等方面进行综合评价，综合评分合格后，方可接受其投标。</w:t>
      </w:r>
    </w:p>
    <w:p>
      <w:pPr>
        <w:widowControl/>
        <w:numPr>
          <w:ilvl w:val="0"/>
          <w:numId w:val="0"/>
        </w:numPr>
        <w:snapToGrid w:val="0"/>
        <w:spacing w:line="360" w:lineRule="auto"/>
        <w:ind w:firstLine="480" w:firstLineChars="200"/>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8、凡自采购公告发布之日起前半年内被采购人履约评价为不合格或经行政监督部门处罚的不得参与本项目。</w:t>
      </w:r>
    </w:p>
    <w:p>
      <w:pPr>
        <w:widowControl/>
        <w:snapToGrid w:val="0"/>
        <w:spacing w:line="360" w:lineRule="auto"/>
        <w:ind w:left="525" w:leftChars="250"/>
        <w:rPr>
          <w:rFonts w:hint="eastAsia" w:ascii="仿宋" w:hAnsi="仿宋" w:eastAsia="仿宋" w:cs="仿宋"/>
          <w:color w:val="000000"/>
          <w:kern w:val="0"/>
          <w:sz w:val="24"/>
          <w:szCs w:val="24"/>
        </w:rPr>
      </w:pPr>
      <w:r>
        <w:rPr>
          <w:rFonts w:hint="eastAsia" w:ascii="仿宋" w:hAnsi="仿宋" w:eastAsia="仿宋" w:cs="仿宋"/>
          <w:b/>
          <w:color w:val="000000"/>
          <w:kern w:val="0"/>
          <w:sz w:val="24"/>
          <w:szCs w:val="24"/>
        </w:rPr>
        <w:t>二、踏勘现场：</w:t>
      </w:r>
    </w:p>
    <w:p>
      <w:pPr>
        <w:widowControl/>
        <w:snapToGrid w:val="0"/>
        <w:spacing w:line="360" w:lineRule="auto"/>
        <w:ind w:firstLine="602" w:firstLineChars="250"/>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该项目需进行踏勘现场，请投标人于不少于投标截止日期</w:t>
      </w:r>
      <w:r>
        <w:rPr>
          <w:rFonts w:hint="eastAsia" w:ascii="仿宋" w:hAnsi="仿宋" w:eastAsia="仿宋" w:cs="仿宋"/>
          <w:b/>
          <w:color w:val="000000"/>
          <w:kern w:val="0"/>
          <w:sz w:val="24"/>
          <w:szCs w:val="24"/>
          <w:lang w:val="en-US" w:eastAsia="zh-CN"/>
        </w:rPr>
        <w:t>一</w:t>
      </w:r>
      <w:r>
        <w:rPr>
          <w:rFonts w:hint="eastAsia" w:ascii="仿宋" w:hAnsi="仿宋" w:eastAsia="仿宋" w:cs="仿宋"/>
          <w:b/>
          <w:color w:val="000000"/>
          <w:kern w:val="0"/>
          <w:sz w:val="24"/>
          <w:szCs w:val="24"/>
        </w:rPr>
        <w:t>个日历天之前联系采购人到实地踏勘考察并领取现场踏勘证明。结合施工现场的实际情况进行施工组织设计,如因投标人未到现场踏勘，则取消该投标人投标资格。</w:t>
      </w:r>
    </w:p>
    <w:p>
      <w:pPr>
        <w:widowControl/>
        <w:snapToGrid w:val="0"/>
        <w:spacing w:line="360" w:lineRule="auto"/>
        <w:ind w:firstLine="600" w:firstLineChars="25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三、合同签订时间：由中标人收到中标通知书后（30天内），与采购人签订合同。</w:t>
      </w:r>
    </w:p>
    <w:p>
      <w:pPr>
        <w:widowControl/>
        <w:snapToGrid w:val="0"/>
        <w:spacing w:line="360" w:lineRule="auto"/>
        <w:ind w:firstLine="602" w:firstLineChars="250"/>
        <w:rPr>
          <w:rFonts w:hint="eastAsia" w:ascii="仿宋" w:hAnsi="仿宋" w:eastAsia="仿宋" w:cs="仿宋"/>
          <w:b/>
          <w:color w:val="000000"/>
          <w:sz w:val="21"/>
          <w:szCs w:val="21"/>
        </w:rPr>
      </w:pPr>
      <w:r>
        <w:rPr>
          <w:rFonts w:hint="eastAsia" w:ascii="仿宋" w:hAnsi="仿宋" w:eastAsia="仿宋" w:cs="仿宋"/>
          <w:b/>
          <w:color w:val="000000"/>
          <w:kern w:val="0"/>
          <w:sz w:val="24"/>
          <w:szCs w:val="24"/>
        </w:rPr>
        <w:t>四、</w:t>
      </w:r>
      <w:r>
        <w:rPr>
          <w:rFonts w:hint="eastAsia" w:ascii="仿宋" w:hAnsi="仿宋" w:eastAsia="仿宋" w:cs="仿宋"/>
          <w:b/>
          <w:color w:val="000000"/>
          <w:sz w:val="24"/>
          <w:szCs w:val="24"/>
        </w:rPr>
        <w:t>结算原则：</w:t>
      </w:r>
      <w:r>
        <w:rPr>
          <w:rFonts w:hint="eastAsia" w:ascii="仿宋" w:hAnsi="仿宋" w:eastAsia="仿宋" w:cs="仿宋"/>
          <w:b/>
          <w:color w:val="000000"/>
          <w:sz w:val="24"/>
          <w:szCs w:val="24"/>
          <w:lang w:val="en-US" w:eastAsia="zh-CN"/>
        </w:rPr>
        <w:t>最终结算数量按照甲方书面订单并确认收货验收合格的数量进行结算。</w:t>
      </w:r>
      <w:r>
        <w:rPr>
          <w:rFonts w:hint="eastAsia" w:ascii="仿宋" w:hAnsi="仿宋" w:eastAsia="仿宋" w:cs="仿宋"/>
          <w:b/>
          <w:color w:val="000000"/>
          <w:sz w:val="21"/>
          <w:szCs w:val="21"/>
        </w:rPr>
        <w:t xml:space="preserve">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单价调整方式：以2023年9月28日上海有色金属网SMM1＃电解铜均价67460元/吨作为铜价基准价，以采购下达书面订货当日上海有色金属网广东SMM1＃电解铜均价与投标基准价相比，每超过±500元/吨，电线电缆综合单价相应涨跌1%，波动在±500元/吨内及其他情况综合单价均不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例如：以WDZN-YJY-3*95单价197元/m为例，假设铜基准价67460元/吨，1、订货当日铜价68060元/吨，价差600元/吨，单价调整1%，单价：197*（1+1%）=198.97元/m。2、订货当日铜价68760元/吨，价差1300元/吨，单价调整2%，单价：197*（1+2%）=200.94元/m。</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若实际施工过程中增加合同清单外规格电缆，单价按合同内相似规格型号电缆调价。当日所供数量以甲方签认订单总额为准；若供货单位接订单未按时送达的，以下单时间和供货时间价格较低的时间调整统计；</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eastAsia="zh-CN"/>
        </w:rPr>
      </w:pPr>
      <w:r>
        <w:rPr>
          <w:rFonts w:hint="eastAsia" w:ascii="仿宋" w:hAnsi="仿宋" w:eastAsia="仿宋" w:cs="仿宋"/>
          <w:b/>
          <w:bCs/>
          <w:color w:val="auto"/>
          <w:kern w:val="0"/>
          <w:sz w:val="24"/>
          <w:highlight w:val="none"/>
          <w:lang w:eastAsia="zh-CN"/>
        </w:rPr>
        <w:t>不平衡报价</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eastAsia="zh-CN"/>
        </w:rPr>
      </w:pPr>
      <w:r>
        <w:rPr>
          <w:rFonts w:hint="eastAsia" w:ascii="仿宋" w:hAnsi="仿宋" w:eastAsia="仿宋" w:cs="仿宋"/>
          <w:b/>
          <w:bCs/>
          <w:color w:val="auto"/>
          <w:kern w:val="0"/>
          <w:sz w:val="24"/>
          <w:highlight w:val="none"/>
          <w:lang w:eastAsia="zh-CN"/>
        </w:rPr>
        <w:t>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招标控制价或预算价相应清单项目的综合单价(P1)偏差超过一定幅度时，即当PO&lt;P1X (1-L) X (1-15%)或PO&gt;P1X (1+15%)时［L为报价浮动率，L= (1 一中标价/招标控制价)X100%,上式中中标价、招标控制价均不含安全防护、文明施工措施等单列费］,投标人填报的综合单价P0视为严重不平衡报价。</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eastAsia="zh-CN"/>
        </w:rPr>
      </w:pPr>
      <w:r>
        <w:rPr>
          <w:rFonts w:hint="eastAsia" w:ascii="仿宋" w:hAnsi="仿宋" w:eastAsia="仿宋" w:cs="仿宋"/>
          <w:b/>
          <w:bCs/>
          <w:color w:val="auto"/>
          <w:kern w:val="0"/>
          <w:sz w:val="24"/>
          <w:highlight w:val="none"/>
          <w:lang w:eastAsia="zh-CN"/>
        </w:rPr>
        <w:t>2、严重不平衡报价应按照如下规定调整：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eastAsia="zh-CN"/>
        </w:rPr>
      </w:pPr>
      <w:r>
        <w:rPr>
          <w:rFonts w:hint="eastAsia" w:ascii="仿宋" w:hAnsi="仿宋" w:eastAsia="仿宋" w:cs="仿宋"/>
          <w:b/>
          <w:bCs/>
          <w:color w:val="auto"/>
          <w:kern w:val="0"/>
          <w:sz w:val="24"/>
          <w:highlight w:val="none"/>
          <w:lang w:eastAsia="zh-CN"/>
        </w:rPr>
        <w:t>1）当P0&lt;PlX(l-L)X(l-15%)时，该类项目的综合单价按照PlX(l-L)X(l-15%)调整。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eastAsia="zh-CN"/>
        </w:rPr>
      </w:pPr>
      <w:r>
        <w:rPr>
          <w:rFonts w:hint="eastAsia" w:ascii="仿宋" w:hAnsi="仿宋" w:eastAsia="仿宋" w:cs="仿宋"/>
          <w:b/>
          <w:bCs/>
          <w:color w:val="auto"/>
          <w:kern w:val="0"/>
          <w:sz w:val="24"/>
          <w:highlight w:val="none"/>
          <w:lang w:eastAsia="zh-CN"/>
        </w:rPr>
        <w:t>2）当PO&gt;P1X(1+15%)时，该类项目的综合单价按照P1X (1+15%)调整。</w:t>
      </w:r>
    </w:p>
    <w:p>
      <w:pPr>
        <w:widowControl/>
        <w:snapToGrid w:val="0"/>
        <w:spacing w:line="360" w:lineRule="auto"/>
        <w:ind w:firstLine="602" w:firstLineChars="250"/>
        <w:rPr>
          <w:rFonts w:hint="eastAsia" w:ascii="仿宋" w:hAnsi="仿宋" w:eastAsia="仿宋" w:cs="仿宋"/>
          <w:b/>
          <w:bCs/>
          <w:color w:val="auto"/>
          <w:kern w:val="0"/>
          <w:sz w:val="24"/>
          <w:highlight w:val="none"/>
          <w:lang w:eastAsia="zh-CN"/>
        </w:rPr>
      </w:pPr>
      <w:r>
        <w:rPr>
          <w:rFonts w:hint="eastAsia" w:ascii="仿宋" w:hAnsi="仿宋" w:eastAsia="仿宋" w:cs="仿宋"/>
          <w:b/>
          <w:bCs/>
          <w:color w:val="auto"/>
          <w:kern w:val="0"/>
          <w:sz w:val="24"/>
          <w:highlight w:val="none"/>
          <w:lang w:eastAsia="zh-CN"/>
        </w:rPr>
        <w:t>3、调整后的综合单价只是作为变更增减工程结算单价的依据，合同内完成工程量价款的计价应按 调整前承包人投标单价执行。</w:t>
      </w:r>
    </w:p>
    <w:p>
      <w:pPr>
        <w:widowControl/>
        <w:snapToGrid w:val="0"/>
        <w:spacing w:line="360" w:lineRule="auto"/>
        <w:ind w:firstLine="602" w:firstLineChars="250"/>
        <w:rPr>
          <w:rFonts w:hint="eastAsia" w:ascii="仿宋" w:hAnsi="仿宋" w:eastAsia="仿宋" w:cs="仿宋"/>
          <w:b/>
          <w:bCs/>
          <w:color w:val="auto"/>
          <w:kern w:val="0"/>
          <w:sz w:val="24"/>
          <w:highlight w:val="none"/>
          <w:lang w:val="en-US" w:eastAsia="zh-CN"/>
        </w:rPr>
      </w:pPr>
    </w:p>
    <w:p>
      <w:pPr>
        <w:widowControl/>
        <w:numPr>
          <w:ilvl w:val="0"/>
          <w:numId w:val="1"/>
        </w:numPr>
        <w:snapToGrid w:val="0"/>
        <w:spacing w:line="360" w:lineRule="auto"/>
        <w:ind w:left="0" w:leftChars="0" w:firstLine="482" w:firstLineChars="200"/>
        <w:rPr>
          <w:rFonts w:hint="eastAsia" w:ascii="仿宋" w:hAnsi="仿宋" w:eastAsia="仿宋" w:cs="仿宋"/>
          <w:b/>
          <w:color w:val="000000"/>
          <w:sz w:val="24"/>
          <w:szCs w:val="24"/>
        </w:rPr>
      </w:pPr>
      <w:r>
        <w:rPr>
          <w:rFonts w:hint="eastAsia" w:ascii="仿宋" w:hAnsi="仿宋" w:eastAsia="仿宋" w:cs="仿宋"/>
          <w:b/>
          <w:color w:val="000000"/>
          <w:sz w:val="24"/>
          <w:szCs w:val="24"/>
        </w:rPr>
        <w:t>工程付款方式：</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（1）工程预付款：本项目没有预付款；</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乙方每批货到现场并经甲方确认收货后十五个工作日内，甲方支付乙方至该批次总价款的100 %。乙方须提供本合同全额发票，发票税率为13%专用发票，遇国家税务政策调整所引起的合同价格变化，按照不含税价格调整结算价格。</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2）甲方每次付款前，乙方需提供甲方确认的下料单以及经甲方单位确认的送货单，材料进场的报审表及合法有效的税务发票给甲方，否则甲方有权顺延付款或不支付款项。且不承担延迟付款的任何责任。同时，也不免除乙方在本合同项下应尽的各项义务。</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3）供货数量超过本合同数量10%时，乙方应当书面通知甲方项目部并及时报甲方成本部进行确认和审核，经甲方成本部核准后方可供货，否则，甲方对于超额供货的不予确认和支付货款，一切责任由乙方自行承担。</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（4）当期铜期货价以下单当时的截图为准。</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5）甲方每次付款前，乙方需提供经甲方及监理单位确认的送货单，材料进场的报审表及合法有效的税务发票给甲方，否则甲方有权顺延付款或不支付款项。且不承担延迟付款的任何责任。同时，也不免除乙方在本合同项下应尽的各项义务。在甲方支付至合同总价（结算总价）100%时，乙方需提供至与合同总价（结算总价）等额的合法税务发票。</w:t>
      </w:r>
    </w:p>
    <w:p>
      <w:pPr>
        <w:widowControl/>
        <w:snapToGrid w:val="0"/>
        <w:spacing w:line="360" w:lineRule="auto"/>
        <w:ind w:left="0" w:leftChars="0" w:firstLine="480"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（6）甲方首次付款前，乙方需提供厂家或乙方出具的质保保证书，并明确在非人为损坏的情况下提供2 年的产品质量保修服务。详见第四部分（合同文件）</w:t>
      </w:r>
    </w:p>
    <w:p>
      <w:pPr>
        <w:widowControl/>
        <w:snapToGrid w:val="0"/>
        <w:spacing w:line="360" w:lineRule="auto"/>
        <w:ind w:firstLine="482" w:firstLineChars="200"/>
        <w:rPr>
          <w:rFonts w:hint="eastAsia" w:ascii="仿宋" w:hAnsi="仿宋" w:eastAsia="仿宋" w:cs="仿宋"/>
          <w:b w:val="0"/>
          <w:bCs/>
          <w:color w:val="000000"/>
          <w:sz w:val="24"/>
          <w:szCs w:val="24"/>
          <w:lang w:val="en-US" w:eastAsia="zh-CN"/>
        </w:rPr>
      </w:pPr>
      <w:r>
        <w:rPr>
          <w:rFonts w:hint="eastAsia" w:ascii="仿宋" w:hAnsi="仿宋" w:eastAsia="仿宋" w:cs="仿宋"/>
          <w:b/>
          <w:color w:val="000000"/>
          <w:kern w:val="0"/>
          <w:sz w:val="24"/>
          <w:szCs w:val="24"/>
        </w:rPr>
        <w:t>六、投标文件份数：商务部分正本</w:t>
      </w:r>
      <w:r>
        <w:rPr>
          <w:rFonts w:hint="eastAsia" w:ascii="仿宋" w:hAnsi="仿宋" w:eastAsia="仿宋" w:cs="仿宋"/>
          <w:b/>
          <w:color w:val="000000"/>
          <w:kern w:val="0"/>
          <w:sz w:val="24"/>
          <w:szCs w:val="24"/>
          <w:u w:val="single"/>
        </w:rPr>
        <w:t>1</w:t>
      </w:r>
      <w:r>
        <w:rPr>
          <w:rFonts w:hint="eastAsia" w:ascii="仿宋" w:hAnsi="仿宋" w:eastAsia="仿宋" w:cs="仿宋"/>
          <w:b/>
          <w:color w:val="000000"/>
          <w:kern w:val="0"/>
          <w:sz w:val="24"/>
          <w:szCs w:val="24"/>
        </w:rPr>
        <w:t>份，副本</w:t>
      </w:r>
      <w:r>
        <w:rPr>
          <w:rFonts w:hint="eastAsia" w:ascii="仿宋" w:hAnsi="仿宋" w:eastAsia="仿宋" w:cs="仿宋"/>
          <w:b/>
          <w:color w:val="000000"/>
          <w:kern w:val="0"/>
          <w:sz w:val="24"/>
          <w:szCs w:val="24"/>
          <w:u w:val="single"/>
        </w:rPr>
        <w:t>1</w:t>
      </w:r>
      <w:r>
        <w:rPr>
          <w:rFonts w:hint="eastAsia" w:ascii="仿宋" w:hAnsi="仿宋" w:eastAsia="仿宋" w:cs="仿宋"/>
          <w:b/>
          <w:color w:val="000000"/>
          <w:kern w:val="0"/>
          <w:sz w:val="24"/>
          <w:szCs w:val="24"/>
        </w:rPr>
        <w:t>份，电子版本1份</w:t>
      </w:r>
      <w:r>
        <w:rPr>
          <w:rFonts w:hint="eastAsia" w:ascii="仿宋_GB2312" w:hAnsi="仿宋_GB2312" w:eastAsia="仿宋_GB2312" w:cs="仿宋_GB2312"/>
          <w:b/>
          <w:bCs w:val="0"/>
          <w:color w:val="auto"/>
          <w:kern w:val="0"/>
          <w:sz w:val="21"/>
          <w:szCs w:val="21"/>
        </w:rPr>
        <w:t>（</w:t>
      </w:r>
      <w:r>
        <w:rPr>
          <w:rFonts w:hint="eastAsia" w:ascii="仿宋_GB2312" w:hAnsi="仿宋_GB2312" w:eastAsia="仿宋_GB2312" w:cs="仿宋_GB2312"/>
          <w:b/>
          <w:bCs w:val="0"/>
          <w:color w:val="auto"/>
          <w:kern w:val="0"/>
          <w:sz w:val="21"/>
          <w:szCs w:val="21"/>
          <w:lang w:val="en-US" w:eastAsia="zh-CN"/>
        </w:rPr>
        <w:t>包含签字盖章版PDF扫描投标文件、报价清单Excel版本，以</w:t>
      </w:r>
      <w:r>
        <w:rPr>
          <w:rFonts w:hint="eastAsia" w:ascii="仿宋_GB2312" w:hAnsi="仿宋_GB2312" w:eastAsia="仿宋_GB2312" w:cs="仿宋_GB2312"/>
          <w:b/>
          <w:bCs w:val="0"/>
          <w:color w:val="auto"/>
          <w:kern w:val="0"/>
          <w:sz w:val="21"/>
          <w:szCs w:val="21"/>
        </w:rPr>
        <w:t>U盘存储提交）</w:t>
      </w:r>
      <w:r>
        <w:rPr>
          <w:rFonts w:hint="eastAsia" w:ascii="仿宋_GB2312" w:hAnsi="仿宋_GB2312" w:eastAsia="仿宋_GB2312" w:cs="仿宋_GB2312"/>
          <w:b w:val="0"/>
          <w:bCs/>
          <w:color w:val="auto"/>
          <w:kern w:val="0"/>
          <w:sz w:val="21"/>
          <w:szCs w:val="21"/>
        </w:rPr>
        <w:t>，</w:t>
      </w:r>
      <w:r>
        <w:rPr>
          <w:rFonts w:hint="eastAsia" w:ascii="仿宋" w:hAnsi="仿宋" w:eastAsia="仿宋" w:cs="仿宋"/>
          <w:b w:val="0"/>
          <w:bCs/>
          <w:color w:val="000000"/>
          <w:sz w:val="24"/>
          <w:szCs w:val="24"/>
          <w:lang w:val="en-US" w:eastAsia="zh-CN"/>
        </w:rPr>
        <w:t>技术部分由中标人对现场进行详细勘查后提供给采购人。</w:t>
      </w:r>
    </w:p>
    <w:p>
      <w:pPr>
        <w:widowControl/>
        <w:snapToGrid w:val="0"/>
        <w:spacing w:line="360" w:lineRule="auto"/>
        <w:ind w:left="0" w:leftChars="0" w:firstLine="422" w:firstLineChars="175"/>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七、定标方式：</w:t>
      </w:r>
      <w:r>
        <w:rPr>
          <w:rFonts w:hint="eastAsia" w:ascii="仿宋" w:hAnsi="仿宋" w:eastAsia="仿宋" w:cs="仿宋"/>
          <w:b/>
          <w:color w:val="000000"/>
          <w:sz w:val="24"/>
          <w:szCs w:val="24"/>
        </w:rPr>
        <w:t>以最低价法（有效标中不含税总价最低者中标）确定中标单位。</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八、投标有效期：投标有效期为投标截止时间至其后的60天。</w:t>
      </w:r>
    </w:p>
    <w:p>
      <w:pPr>
        <w:widowControl/>
        <w:snapToGrid w:val="0"/>
        <w:spacing w:line="360" w:lineRule="auto"/>
        <w:ind w:firstLine="480" w:firstLineChars="200"/>
        <w:rPr>
          <w:rFonts w:hint="eastAsia" w:ascii="仿宋" w:hAnsi="仿宋" w:eastAsia="仿宋" w:cs="仿宋"/>
          <w:b/>
          <w:color w:val="000000"/>
          <w:kern w:val="0"/>
          <w:sz w:val="24"/>
          <w:szCs w:val="24"/>
        </w:rPr>
      </w:pPr>
      <w:r>
        <w:rPr>
          <w:rFonts w:hint="eastAsia" w:ascii="仿宋" w:hAnsi="仿宋" w:eastAsia="仿宋" w:cs="仿宋"/>
          <w:color w:val="000000"/>
          <w:kern w:val="0"/>
          <w:sz w:val="24"/>
          <w:szCs w:val="24"/>
        </w:rPr>
        <w:t>九、如需勘察现场请联系采购方项目负责人</w:t>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b/>
          <w:bCs/>
          <w:color w:val="auto"/>
          <w:kern w:val="0"/>
          <w:sz w:val="24"/>
          <w:szCs w:val="24"/>
          <w:lang w:val="en-US" w:eastAsia="zh-CN"/>
        </w:rPr>
        <w:t xml:space="preserve">张生 </w:t>
      </w:r>
      <w:r>
        <w:rPr>
          <w:rFonts w:hint="eastAsia" w:ascii="仿宋" w:hAnsi="仿宋" w:eastAsia="仿宋" w:cs="仿宋"/>
          <w:b/>
          <w:bCs/>
          <w:color w:val="auto"/>
          <w:kern w:val="0"/>
          <w:sz w:val="24"/>
          <w:szCs w:val="24"/>
        </w:rPr>
        <w:t>15989913590</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十、废标规定：</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（1）投标文件未密封和未按本采购文件要求装订的；</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（2）未按采购文件规定提交投标担保的；（如有）</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（3）未按投标文件要求编制、签字和盖章的；</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（4）投标文件字迹模糊、无法辨认的；</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（5）未按采购文件要求递交附件资料的</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（6）投标文件中的投标报价高于投标最高限价； </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（7）投标文件中“投标函”的投标总价与“工程量清单汇总表”中的含税工程造价报价不一致的；</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（8）投标人递交两份或多份内容不同的投标文件，或在一份投标文件中对同一采购项目报有两个或多个报价，且未书面声明哪投标一个有效；</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（9）投标文件没有对采购文件做出实质性响应；</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（10）采购文件要求编制已标价的工程量清单时，投标人更改或删除工程量清单综合单价报价表内的项目或工程量，或工程量清单综合单价报价表缺页；</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（11）投标单位报价清单出现不平衡报价的，且不接受修正报价者；</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（12）投标文件里有出现采购文件规定以外的标记；</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（13）投标文件没按采购文件第三部分格式要求编写。（不可装订与该项目无相关的资料）</w:t>
      </w:r>
    </w:p>
    <w:p>
      <w:pPr>
        <w:widowControl/>
        <w:snapToGrid w:val="0"/>
        <w:spacing w:line="360" w:lineRule="auto"/>
        <w:ind w:left="0" w:leftChars="0" w:firstLine="420" w:firstLineChars="175"/>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14</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采购文件要求编制已标价的工程量清单时，投标人更改或删除工程量清单综合单价报价表内的项目或工程量，或工程量清单综合单价报价表缺页</w:t>
      </w:r>
    </w:p>
    <w:p>
      <w:pPr>
        <w:widowControl/>
        <w:snapToGrid w:val="0"/>
        <w:spacing w:line="440" w:lineRule="exact"/>
        <w:ind w:firstLine="480" w:firstLineChars="200"/>
        <w:rPr>
          <w:rFonts w:hint="eastAsia" w:ascii="仿宋" w:hAnsi="仿宋" w:eastAsia="仿宋" w:cs="仿宋"/>
          <w:b w:val="0"/>
          <w:bCs w:val="0"/>
          <w:color w:val="auto"/>
          <w:kern w:val="0"/>
          <w:sz w:val="24"/>
          <w:szCs w:val="24"/>
        </w:rPr>
      </w:pPr>
      <w:r>
        <w:rPr>
          <w:rFonts w:hint="eastAsia" w:ascii="仿宋" w:hAnsi="仿宋" w:eastAsia="仿宋" w:cs="仿宋"/>
          <w:b w:val="0"/>
          <w:bCs/>
          <w:color w:val="auto"/>
          <w:kern w:val="0"/>
          <w:sz w:val="24"/>
          <w:szCs w:val="24"/>
          <w:lang w:val="en-US" w:eastAsia="zh-CN"/>
        </w:rPr>
        <w:t>十一、</w:t>
      </w:r>
      <w:r>
        <w:rPr>
          <w:rFonts w:hint="eastAsia" w:ascii="仿宋" w:hAnsi="仿宋" w:eastAsia="仿宋" w:cs="仿宋"/>
          <w:b w:val="0"/>
          <w:bCs w:val="0"/>
          <w:color w:val="auto"/>
          <w:kern w:val="2"/>
          <w:sz w:val="24"/>
          <w:szCs w:val="24"/>
          <w:lang w:val="en-US" w:eastAsia="zh-CN"/>
        </w:rPr>
        <w:t>重新采购和不再采购</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有下列情形之一的，</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人将不</w:t>
      </w:r>
      <w:r>
        <w:rPr>
          <w:rFonts w:hint="eastAsia" w:ascii="仿宋" w:hAnsi="仿宋" w:eastAsia="仿宋" w:cs="仿宋"/>
          <w:color w:val="auto"/>
          <w:sz w:val="24"/>
          <w:szCs w:val="24"/>
          <w:lang w:val="en-US" w:eastAsia="zh-CN"/>
        </w:rPr>
        <w:t>再</w:t>
      </w:r>
      <w:r>
        <w:rPr>
          <w:rFonts w:hint="eastAsia" w:ascii="仿宋" w:hAnsi="仿宋" w:eastAsia="仿宋" w:cs="仿宋"/>
          <w:color w:val="auto"/>
          <w:sz w:val="24"/>
          <w:szCs w:val="24"/>
        </w:rPr>
        <w:t>重新</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（1）在投标截止时间之前提交投标文件的投标人少于3个的；</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（2）经评议有效投标的投标人数量不足3个的；</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（3）国家、省和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文件规定的其他</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失败情形。</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出现上述情形后，招投标部应及时向</w:t>
      </w:r>
      <w:bookmarkStart w:id="0" w:name="_Hlk79573073"/>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采购小组</w:t>
      </w:r>
      <w:bookmarkEnd w:id="0"/>
      <w:r>
        <w:rPr>
          <w:rFonts w:hint="eastAsia" w:ascii="仿宋" w:hAnsi="仿宋" w:eastAsia="仿宋" w:cs="仿宋"/>
          <w:color w:val="auto"/>
          <w:sz w:val="24"/>
          <w:szCs w:val="24"/>
        </w:rPr>
        <w:t>报告，由</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采购小组根据实际情况对本次</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作出延缓</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工作或转为谈判（有效投标的投标人数量2个）、直接委托（有效投标的投标人数量1个）等方式。</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谈判程序为：谈判小组集中与单一投标单位分别进行谈判，并进行二次报价，谈判过程中的任何一方不得透露与谈判有关的其它投标单位的技术资料、价格或其它信息。</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最终价低者中标。</w:t>
      </w:r>
    </w:p>
    <w:p>
      <w:pPr>
        <w:widowControl/>
        <w:snapToGrid w:val="0"/>
        <w:spacing w:line="440" w:lineRule="exact"/>
        <w:ind w:firstLine="480" w:firstLineChars="200"/>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2"/>
          <w:sz w:val="24"/>
          <w:szCs w:val="24"/>
          <w:lang w:val="en-US" w:eastAsia="zh-CN"/>
        </w:rPr>
        <w:t>十二、报价相同情况处理</w:t>
      </w:r>
    </w:p>
    <w:p>
      <w:pPr>
        <w:widowControl/>
        <w:snapToGrid w:val="0"/>
        <w:spacing w:line="440" w:lineRule="exact"/>
        <w:ind w:firstLine="600" w:firstLineChars="25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如果有两个或以上的投标人的</w:t>
      </w:r>
      <w:r>
        <w:rPr>
          <w:rFonts w:hint="eastAsia" w:ascii="仿宋" w:hAnsi="仿宋" w:eastAsia="仿宋" w:cs="仿宋"/>
          <w:color w:val="auto"/>
          <w:sz w:val="24"/>
          <w:szCs w:val="24"/>
          <w:lang w:val="en-US" w:eastAsia="zh-CN"/>
        </w:rPr>
        <w:t>报价</w:t>
      </w:r>
      <w:r>
        <w:rPr>
          <w:rFonts w:hint="eastAsia" w:ascii="仿宋" w:hAnsi="仿宋" w:eastAsia="仿宋" w:cs="仿宋"/>
          <w:color w:val="auto"/>
          <w:sz w:val="24"/>
          <w:szCs w:val="24"/>
        </w:rPr>
        <w:t>相同</w:t>
      </w:r>
      <w:r>
        <w:rPr>
          <w:rFonts w:hint="eastAsia" w:ascii="仿宋" w:hAnsi="仿宋" w:eastAsia="仿宋" w:cs="仿宋"/>
          <w:color w:val="auto"/>
          <w:sz w:val="24"/>
          <w:szCs w:val="24"/>
          <w:lang w:val="en-US" w:eastAsia="zh-CN"/>
        </w:rPr>
        <w:t>且同为最低报价时</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则报价</w:t>
      </w:r>
      <w:r>
        <w:rPr>
          <w:rFonts w:hint="eastAsia" w:ascii="仿宋" w:hAnsi="仿宋" w:eastAsia="仿宋" w:cs="仿宋"/>
          <w:color w:val="auto"/>
          <w:sz w:val="24"/>
          <w:szCs w:val="24"/>
        </w:rPr>
        <w:t>相同</w:t>
      </w:r>
      <w:r>
        <w:rPr>
          <w:rFonts w:hint="eastAsia" w:ascii="仿宋" w:hAnsi="仿宋" w:eastAsia="仿宋" w:cs="仿宋"/>
          <w:color w:val="auto"/>
          <w:sz w:val="24"/>
          <w:szCs w:val="24"/>
          <w:lang w:val="en-US" w:eastAsia="zh-CN"/>
        </w:rPr>
        <w:t>且同为最低报价的投标人进行二轮或多轮报价，直至确定有且仅有一家投标人为最低报价，确定报价</w:t>
      </w:r>
      <w:r>
        <w:rPr>
          <w:rFonts w:hint="eastAsia" w:ascii="仿宋" w:hAnsi="仿宋" w:eastAsia="仿宋" w:cs="仿宋"/>
          <w:color w:val="auto"/>
          <w:sz w:val="24"/>
          <w:szCs w:val="24"/>
        </w:rPr>
        <w:t>最低者</w:t>
      </w:r>
      <w:r>
        <w:rPr>
          <w:rFonts w:hint="eastAsia" w:ascii="仿宋" w:hAnsi="仿宋" w:eastAsia="仿宋" w:cs="仿宋"/>
          <w:color w:val="auto"/>
          <w:sz w:val="24"/>
          <w:szCs w:val="24"/>
          <w:lang w:val="en-US" w:eastAsia="zh-CN"/>
        </w:rPr>
        <w:t>为中标单位。</w:t>
      </w:r>
    </w:p>
    <w:p>
      <w:pPr>
        <w:widowControl/>
        <w:snapToGrid w:val="0"/>
        <w:spacing w:line="360" w:lineRule="auto"/>
        <w:ind w:left="0" w:leftChars="0" w:firstLine="367" w:firstLineChars="175"/>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br w:type="page"/>
      </w: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rPr>
          <w:rFonts w:hint="eastAsia" w:ascii="仿宋" w:hAnsi="仿宋" w:eastAsia="仿宋" w:cs="仿宋"/>
          <w:color w:val="000000"/>
          <w:kern w:val="0"/>
          <w:sz w:val="21"/>
          <w:szCs w:val="21"/>
        </w:rPr>
      </w:pPr>
    </w:p>
    <w:p>
      <w:pPr>
        <w:widowControl/>
        <w:spacing w:line="360" w:lineRule="auto"/>
        <w:rPr>
          <w:rFonts w:hint="eastAsia" w:ascii="仿宋" w:hAnsi="仿宋" w:eastAsia="仿宋" w:cs="仿宋"/>
          <w:color w:val="000000"/>
          <w:kern w:val="0"/>
          <w:sz w:val="21"/>
          <w:szCs w:val="21"/>
        </w:rPr>
      </w:pPr>
    </w:p>
    <w:p>
      <w:pPr>
        <w:widowControl/>
        <w:snapToGrid w:val="0"/>
        <w:spacing w:line="360" w:lineRule="auto"/>
        <w:ind w:firstLine="703" w:firstLineChars="250"/>
        <w:jc w:val="center"/>
        <w:rPr>
          <w:rFonts w:hint="eastAsia" w:ascii="仿宋" w:hAnsi="仿宋" w:eastAsia="仿宋" w:cs="仿宋"/>
          <w:b/>
          <w:bCs/>
          <w:color w:val="000000"/>
          <w:sz w:val="21"/>
          <w:szCs w:val="21"/>
        </w:rPr>
      </w:pPr>
      <w:r>
        <w:rPr>
          <w:rFonts w:hint="eastAsia" w:ascii="仿宋" w:hAnsi="仿宋" w:eastAsia="仿宋" w:cs="仿宋"/>
          <w:b/>
          <w:bCs/>
          <w:color w:val="000000"/>
          <w:sz w:val="28"/>
          <w:szCs w:val="28"/>
        </w:rPr>
        <w:t>第三部分 投标文件（格式）</w:t>
      </w: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color w:val="000000"/>
          <w:kern w:val="0"/>
          <w:sz w:val="21"/>
          <w:szCs w:val="21"/>
        </w:rPr>
      </w:pPr>
    </w:p>
    <w:p>
      <w:pPr>
        <w:widowControl/>
        <w:spacing w:line="360" w:lineRule="auto"/>
        <w:jc w:val="center"/>
        <w:rPr>
          <w:rFonts w:hint="eastAsia" w:ascii="仿宋" w:hAnsi="仿宋" w:eastAsia="仿宋" w:cs="仿宋"/>
          <w:kern w:val="2"/>
          <w:sz w:val="84"/>
          <w:szCs w:val="21"/>
          <w:lang w:val="en-US" w:eastAsia="zh-CN" w:bidi="ar-SA"/>
        </w:rPr>
      </w:pPr>
      <w:r>
        <w:rPr>
          <w:rFonts w:hint="eastAsia" w:ascii="仿宋" w:hAnsi="仿宋" w:eastAsia="仿宋" w:cs="仿宋"/>
          <w:kern w:val="2"/>
          <w:sz w:val="84"/>
          <w:szCs w:val="21"/>
          <w:lang w:val="en-US" w:eastAsia="zh-CN" w:bidi="ar-SA"/>
        </w:rPr>
        <w:t>投  标  文 件</w:t>
      </w:r>
    </w:p>
    <w:p>
      <w:pPr>
        <w:widowControl/>
        <w:spacing w:line="360" w:lineRule="auto"/>
        <w:ind w:left="980"/>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w:t>
      </w:r>
    </w:p>
    <w:p>
      <w:pPr>
        <w:widowControl/>
        <w:spacing w:line="360" w:lineRule="auto"/>
        <w:ind w:left="980"/>
        <w:jc w:val="left"/>
        <w:rPr>
          <w:rFonts w:hint="eastAsia" w:ascii="仿宋" w:hAnsi="仿宋" w:eastAsia="仿宋" w:cs="仿宋"/>
          <w:color w:val="000000"/>
          <w:kern w:val="0"/>
          <w:sz w:val="21"/>
          <w:szCs w:val="21"/>
        </w:rPr>
      </w:pPr>
    </w:p>
    <w:p>
      <w:pPr>
        <w:widowControl/>
        <w:spacing w:line="360" w:lineRule="auto"/>
        <w:ind w:left="980"/>
        <w:jc w:val="left"/>
        <w:rPr>
          <w:rFonts w:hint="eastAsia" w:ascii="仿宋" w:hAnsi="仿宋" w:eastAsia="仿宋" w:cs="仿宋"/>
          <w:color w:val="000000"/>
          <w:kern w:val="0"/>
          <w:sz w:val="21"/>
          <w:szCs w:val="21"/>
        </w:rPr>
      </w:pPr>
    </w:p>
    <w:p>
      <w:pPr>
        <w:widowControl/>
        <w:spacing w:line="360" w:lineRule="auto"/>
        <w:ind w:left="980"/>
        <w:jc w:val="left"/>
        <w:rPr>
          <w:rFonts w:hint="eastAsia" w:ascii="仿宋" w:hAnsi="仿宋" w:eastAsia="仿宋" w:cs="仿宋"/>
          <w:color w:val="000000"/>
          <w:kern w:val="0"/>
          <w:sz w:val="21"/>
          <w:szCs w:val="21"/>
        </w:rPr>
      </w:pPr>
    </w:p>
    <w:p>
      <w:pPr>
        <w:widowControl/>
        <w:spacing w:line="360" w:lineRule="auto"/>
        <w:ind w:left="980"/>
        <w:jc w:val="left"/>
        <w:rPr>
          <w:rFonts w:hint="eastAsia" w:ascii="仿宋" w:hAnsi="仿宋" w:eastAsia="仿宋" w:cs="仿宋"/>
          <w:color w:val="000000"/>
          <w:kern w:val="0"/>
          <w:sz w:val="21"/>
          <w:szCs w:val="21"/>
        </w:rPr>
      </w:pPr>
    </w:p>
    <w:p>
      <w:pPr>
        <w:widowControl/>
        <w:spacing w:line="360" w:lineRule="auto"/>
        <w:ind w:left="980"/>
        <w:jc w:val="left"/>
        <w:rPr>
          <w:rFonts w:hint="eastAsia" w:ascii="仿宋" w:hAnsi="仿宋" w:eastAsia="仿宋" w:cs="仿宋"/>
          <w:color w:val="000000"/>
          <w:kern w:val="0"/>
          <w:sz w:val="21"/>
          <w:szCs w:val="21"/>
        </w:rPr>
      </w:pPr>
    </w:p>
    <w:p>
      <w:pPr>
        <w:pStyle w:val="9"/>
        <w:spacing w:line="360" w:lineRule="auto"/>
        <w:ind w:left="0" w:leftChars="0" w:firstLine="1575" w:firstLineChars="525"/>
        <w:rPr>
          <w:rFonts w:hint="eastAsia" w:ascii="仿宋" w:hAnsi="仿宋" w:eastAsia="仿宋" w:cs="仿宋"/>
          <w:sz w:val="30"/>
        </w:rPr>
      </w:pPr>
      <w:r>
        <w:rPr>
          <w:rFonts w:hint="eastAsia" w:ascii="仿宋" w:hAnsi="仿宋" w:eastAsia="仿宋" w:cs="仿宋"/>
          <w:sz w:val="30"/>
        </w:rPr>
        <w:t>采购编号：</w:t>
      </w:r>
      <w:r>
        <w:rPr>
          <w:rFonts w:hint="eastAsia" w:ascii="仿宋" w:hAnsi="仿宋" w:eastAsia="仿宋" w:cs="仿宋"/>
          <w:sz w:val="30"/>
          <w:u w:val="single"/>
        </w:rPr>
        <w:t xml:space="preserve">                      </w:t>
      </w:r>
    </w:p>
    <w:p>
      <w:pPr>
        <w:pStyle w:val="9"/>
        <w:spacing w:line="360" w:lineRule="auto"/>
        <w:ind w:left="0" w:leftChars="0" w:firstLine="1575" w:firstLineChars="525"/>
        <w:rPr>
          <w:rFonts w:hint="eastAsia" w:ascii="仿宋" w:hAnsi="仿宋" w:eastAsia="仿宋" w:cs="仿宋"/>
          <w:sz w:val="30"/>
        </w:rPr>
      </w:pPr>
      <w:r>
        <w:rPr>
          <w:rFonts w:hint="eastAsia" w:ascii="仿宋" w:hAnsi="仿宋" w:eastAsia="仿宋" w:cs="仿宋"/>
          <w:sz w:val="30"/>
        </w:rPr>
        <w:t>项目名称：</w:t>
      </w:r>
      <w:r>
        <w:rPr>
          <w:rFonts w:hint="eastAsia" w:ascii="仿宋" w:hAnsi="仿宋" w:eastAsia="仿宋" w:cs="仿宋"/>
          <w:sz w:val="30"/>
          <w:u w:val="single"/>
        </w:rPr>
        <w:t xml:space="preserve">                      </w:t>
      </w:r>
    </w:p>
    <w:p>
      <w:pPr>
        <w:pStyle w:val="9"/>
        <w:spacing w:line="360" w:lineRule="auto"/>
        <w:ind w:left="0" w:leftChars="0" w:firstLine="1575" w:firstLineChars="525"/>
        <w:rPr>
          <w:rFonts w:hint="eastAsia" w:ascii="仿宋" w:hAnsi="仿宋" w:eastAsia="仿宋" w:cs="仿宋"/>
          <w:sz w:val="30"/>
        </w:rPr>
      </w:pPr>
      <w:r>
        <w:rPr>
          <w:rFonts w:hint="eastAsia" w:ascii="仿宋" w:hAnsi="仿宋" w:eastAsia="仿宋" w:cs="仿宋"/>
          <w:sz w:val="30"/>
        </w:rPr>
        <w:t>投标文件内容：</w:t>
      </w:r>
      <w:r>
        <w:rPr>
          <w:rFonts w:hint="eastAsia" w:ascii="仿宋" w:hAnsi="仿宋" w:eastAsia="仿宋" w:cs="仿宋"/>
          <w:sz w:val="30"/>
          <w:u w:val="single"/>
        </w:rPr>
        <w:t xml:space="preserve">    投标文件      </w:t>
      </w:r>
    </w:p>
    <w:p>
      <w:pPr>
        <w:pStyle w:val="9"/>
        <w:spacing w:line="360" w:lineRule="auto"/>
        <w:ind w:left="0" w:leftChars="0" w:firstLine="1575" w:firstLineChars="525"/>
        <w:rPr>
          <w:rFonts w:hint="eastAsia" w:ascii="仿宋" w:hAnsi="仿宋" w:eastAsia="仿宋" w:cs="仿宋"/>
          <w:sz w:val="30"/>
        </w:rPr>
      </w:pPr>
      <w:r>
        <w:rPr>
          <w:rFonts w:hint="eastAsia" w:ascii="仿宋" w:hAnsi="仿宋" w:eastAsia="仿宋" w:cs="仿宋"/>
          <w:sz w:val="30"/>
        </w:rPr>
        <w:t>采购人：</w:t>
      </w:r>
      <w:r>
        <w:rPr>
          <w:rFonts w:hint="eastAsia" w:ascii="仿宋" w:hAnsi="仿宋" w:eastAsia="仿宋" w:cs="仿宋"/>
          <w:sz w:val="30"/>
          <w:u w:val="single"/>
        </w:rPr>
        <w:t xml:space="preserve">                        </w:t>
      </w:r>
    </w:p>
    <w:p>
      <w:pPr>
        <w:pStyle w:val="9"/>
        <w:spacing w:line="360" w:lineRule="auto"/>
        <w:ind w:left="0" w:leftChars="0" w:firstLine="1575" w:firstLineChars="525"/>
        <w:rPr>
          <w:rFonts w:hint="eastAsia" w:ascii="仿宋" w:hAnsi="仿宋" w:eastAsia="仿宋" w:cs="仿宋"/>
          <w:sz w:val="30"/>
        </w:rPr>
      </w:pPr>
      <w:r>
        <w:rPr>
          <w:rFonts w:hint="eastAsia" w:ascii="仿宋" w:hAnsi="仿宋" w:eastAsia="仿宋" w:cs="仿宋"/>
          <w:sz w:val="30"/>
        </w:rPr>
        <w:t>投标人：</w:t>
      </w:r>
      <w:r>
        <w:rPr>
          <w:rFonts w:hint="eastAsia" w:ascii="仿宋" w:hAnsi="仿宋" w:eastAsia="仿宋" w:cs="仿宋"/>
          <w:sz w:val="30"/>
          <w:u w:val="single"/>
        </w:rPr>
        <w:t xml:space="preserve">      （盖公司法人公章）</w:t>
      </w:r>
    </w:p>
    <w:p>
      <w:pPr>
        <w:pStyle w:val="9"/>
        <w:spacing w:line="360" w:lineRule="auto"/>
        <w:ind w:left="0" w:leftChars="0" w:firstLine="1575" w:firstLineChars="525"/>
        <w:rPr>
          <w:rFonts w:hint="eastAsia" w:ascii="仿宋" w:hAnsi="仿宋" w:eastAsia="仿宋" w:cs="仿宋"/>
          <w:sz w:val="30"/>
        </w:rPr>
      </w:pPr>
      <w:r>
        <w:rPr>
          <w:rFonts w:hint="eastAsia" w:ascii="仿宋" w:hAnsi="仿宋" w:eastAsia="仿宋" w:cs="仿宋"/>
          <w:sz w:val="30"/>
        </w:rPr>
        <w:t>日  期：</w:t>
      </w:r>
      <w:r>
        <w:rPr>
          <w:rFonts w:hint="eastAsia" w:ascii="仿宋" w:hAnsi="仿宋" w:eastAsia="仿宋" w:cs="仿宋"/>
          <w:sz w:val="30"/>
          <w:u w:val="single"/>
        </w:rPr>
        <w:t xml:space="preserve">          </w:t>
      </w:r>
      <w:r>
        <w:rPr>
          <w:rFonts w:hint="eastAsia" w:ascii="仿宋" w:hAnsi="仿宋" w:eastAsia="仿宋" w:cs="仿宋"/>
          <w:sz w:val="30"/>
        </w:rPr>
        <w:t>年</w:t>
      </w:r>
      <w:r>
        <w:rPr>
          <w:rFonts w:hint="eastAsia" w:ascii="仿宋" w:hAnsi="仿宋" w:eastAsia="仿宋" w:cs="仿宋"/>
          <w:sz w:val="30"/>
          <w:u w:val="single"/>
        </w:rPr>
        <w:t xml:space="preserve">     </w:t>
      </w:r>
      <w:r>
        <w:rPr>
          <w:rFonts w:hint="eastAsia" w:ascii="仿宋" w:hAnsi="仿宋" w:eastAsia="仿宋" w:cs="仿宋"/>
          <w:sz w:val="30"/>
        </w:rPr>
        <w:t>月</w:t>
      </w:r>
      <w:r>
        <w:rPr>
          <w:rFonts w:hint="eastAsia" w:ascii="仿宋" w:hAnsi="仿宋" w:eastAsia="仿宋" w:cs="仿宋"/>
          <w:sz w:val="30"/>
          <w:u w:val="single"/>
        </w:rPr>
        <w:t xml:space="preserve">    </w:t>
      </w:r>
      <w:r>
        <w:rPr>
          <w:rFonts w:hint="eastAsia" w:ascii="仿宋" w:hAnsi="仿宋" w:eastAsia="仿宋" w:cs="仿宋"/>
          <w:sz w:val="30"/>
        </w:rPr>
        <w:t>日</w:t>
      </w:r>
    </w:p>
    <w:p>
      <w:pPr>
        <w:widowControl/>
        <w:spacing w:line="360" w:lineRule="auto"/>
        <w:ind w:firstLine="1470" w:firstLineChars="700"/>
        <w:jc w:val="left"/>
        <w:rPr>
          <w:rFonts w:hint="eastAsia" w:ascii="仿宋" w:hAnsi="仿宋" w:eastAsia="仿宋" w:cs="仿宋"/>
          <w:color w:val="000000"/>
          <w:kern w:val="0"/>
          <w:sz w:val="21"/>
          <w:szCs w:val="21"/>
        </w:rPr>
      </w:pPr>
    </w:p>
    <w:p>
      <w:pPr>
        <w:spacing w:line="360" w:lineRule="auto"/>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 </w:t>
      </w:r>
    </w:p>
    <w:p>
      <w:pPr>
        <w:keepNext/>
        <w:keepLines/>
        <w:tabs>
          <w:tab w:val="left" w:pos="720"/>
        </w:tabs>
        <w:spacing w:before="260" w:after="260" w:line="413" w:lineRule="auto"/>
        <w:outlineLvl w:val="2"/>
        <w:rPr>
          <w:rFonts w:hint="eastAsia" w:ascii="仿宋" w:hAnsi="仿宋" w:eastAsia="仿宋" w:cs="仿宋"/>
          <w:b/>
          <w:color w:val="000000"/>
          <w:sz w:val="28"/>
          <w:szCs w:val="28"/>
        </w:rPr>
      </w:pPr>
      <w:r>
        <w:rPr>
          <w:rFonts w:hint="eastAsia" w:ascii="仿宋" w:hAnsi="仿宋" w:eastAsia="仿宋" w:cs="仿宋"/>
          <w:b/>
          <w:color w:val="000000"/>
          <w:sz w:val="21"/>
          <w:szCs w:val="21"/>
        </w:rPr>
        <w:br w:type="page"/>
      </w:r>
      <w:bookmarkStart w:id="1" w:name="_Toc371174877"/>
      <w:bookmarkStart w:id="2" w:name="_Toc367273960"/>
      <w:bookmarkStart w:id="3" w:name="_Toc309224393"/>
      <w:bookmarkStart w:id="4" w:name="_Toc222777564"/>
      <w:bookmarkStart w:id="5" w:name="_Toc367273902"/>
      <w:bookmarkStart w:id="6" w:name="_Toc206142697"/>
      <w:bookmarkStart w:id="7" w:name="_Toc289852510"/>
      <w:bookmarkStart w:id="8" w:name="_Toc417479595"/>
      <w:bookmarkStart w:id="9" w:name="_Toc369339230"/>
      <w:bookmarkStart w:id="10" w:name="_Toc188989187"/>
      <w:bookmarkStart w:id="11" w:name="_Toc289852512"/>
      <w:bookmarkStart w:id="12" w:name="_Toc206142698"/>
      <w:bookmarkStart w:id="13" w:name="_Toc188989188"/>
      <w:bookmarkStart w:id="14" w:name="_Toc222777565"/>
      <w:bookmarkStart w:id="15" w:name="_Toc395016248"/>
      <w:bookmarkStart w:id="16" w:name="_Toc417479598"/>
      <w:r>
        <w:rPr>
          <w:rFonts w:hint="eastAsia" w:ascii="仿宋" w:hAnsi="仿宋" w:eastAsia="仿宋" w:cs="仿宋"/>
          <w:b/>
          <w:color w:val="000000"/>
          <w:sz w:val="28"/>
          <w:szCs w:val="28"/>
        </w:rPr>
        <w:t xml:space="preserve">附件1：         </w:t>
      </w:r>
    </w:p>
    <w:p>
      <w:pPr>
        <w:keepNext/>
        <w:keepLines/>
        <w:tabs>
          <w:tab w:val="left" w:pos="720"/>
        </w:tabs>
        <w:spacing w:before="260" w:after="260" w:line="413" w:lineRule="auto"/>
        <w:jc w:val="center"/>
        <w:outlineLvl w:val="2"/>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法定代表人身份证明书</w:t>
      </w:r>
      <w:bookmarkEnd w:id="1"/>
      <w:bookmarkEnd w:id="2"/>
      <w:bookmarkEnd w:id="3"/>
      <w:bookmarkEnd w:id="4"/>
      <w:bookmarkEnd w:id="5"/>
      <w:bookmarkEnd w:id="6"/>
      <w:bookmarkEnd w:id="7"/>
      <w:bookmarkEnd w:id="8"/>
      <w:bookmarkEnd w:id="9"/>
      <w:bookmarkEnd w:id="10"/>
    </w:p>
    <w:p>
      <w:pPr>
        <w:spacing w:line="360" w:lineRule="auto"/>
        <w:rPr>
          <w:rFonts w:hint="eastAsia" w:ascii="仿宋" w:hAnsi="仿宋" w:eastAsia="仿宋" w:cs="仿宋"/>
          <w:b/>
          <w:color w:val="000000"/>
          <w:sz w:val="28"/>
          <w:szCs w:val="28"/>
        </w:rPr>
      </w:pPr>
    </w:p>
    <w:p>
      <w:pPr>
        <w:ind w:firstLine="612"/>
        <w:rPr>
          <w:rFonts w:hint="eastAsia" w:ascii="仿宋" w:hAnsi="仿宋" w:eastAsia="仿宋" w:cs="仿宋"/>
          <w:color w:val="000000"/>
          <w:sz w:val="24"/>
          <w:szCs w:val="24"/>
        </w:rPr>
      </w:pPr>
      <w:r>
        <w:rPr>
          <w:rFonts w:hint="eastAsia" w:ascii="仿宋" w:hAnsi="仿宋" w:eastAsia="仿宋" w:cs="仿宋"/>
          <w:color w:val="000000"/>
          <w:sz w:val="24"/>
          <w:szCs w:val="24"/>
        </w:rPr>
        <w:t>单位名称：</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pPr>
        <w:ind w:firstLine="612"/>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u w:val="single"/>
        </w:rPr>
      </w:pPr>
      <w:r>
        <w:rPr>
          <w:rFonts w:hint="eastAsia" w:ascii="仿宋" w:hAnsi="仿宋" w:eastAsia="仿宋" w:cs="仿宋"/>
          <w:color w:val="000000"/>
          <w:sz w:val="24"/>
          <w:szCs w:val="24"/>
        </w:rPr>
        <w:t>单位性质：</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pPr>
        <w:ind w:firstLine="610"/>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u w:val="single"/>
        </w:rPr>
      </w:pPr>
      <w:r>
        <w:rPr>
          <w:rFonts w:hint="eastAsia" w:ascii="仿宋" w:hAnsi="仿宋" w:eastAsia="仿宋" w:cs="仿宋"/>
          <w:color w:val="000000"/>
          <w:sz w:val="24"/>
          <w:szCs w:val="24"/>
        </w:rPr>
        <w:t>地    址：</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p>
    <w:p>
      <w:pPr>
        <w:ind w:firstLine="610"/>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rPr>
      </w:pPr>
      <w:r>
        <w:rPr>
          <w:rFonts w:hint="eastAsia" w:ascii="仿宋" w:hAnsi="仿宋" w:eastAsia="仿宋" w:cs="仿宋"/>
          <w:color w:val="000000"/>
          <w:sz w:val="24"/>
          <w:szCs w:val="24"/>
        </w:rPr>
        <w:t>成立时间：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pPr>
        <w:ind w:firstLine="610"/>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u w:val="single"/>
        </w:rPr>
      </w:pPr>
      <w:r>
        <w:rPr>
          <w:rFonts w:hint="eastAsia" w:ascii="仿宋" w:hAnsi="仿宋" w:eastAsia="仿宋" w:cs="仿宋"/>
          <w:color w:val="000000"/>
          <w:sz w:val="24"/>
          <w:szCs w:val="24"/>
        </w:rPr>
        <w:t>经营期限：</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p>
    <w:p>
      <w:pPr>
        <w:ind w:firstLine="610"/>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u w:val="single"/>
        </w:rPr>
      </w:pPr>
      <w:r>
        <w:rPr>
          <w:rFonts w:hint="eastAsia" w:ascii="仿宋" w:hAnsi="仿宋" w:eastAsia="仿宋" w:cs="仿宋"/>
          <w:color w:val="000000"/>
          <w:sz w:val="24"/>
          <w:szCs w:val="24"/>
        </w:rPr>
        <w:t>姓    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性别：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职务：</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p>
    <w:p>
      <w:pPr>
        <w:ind w:firstLine="610"/>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rPr>
      </w:pPr>
      <w:r>
        <w:rPr>
          <w:rFonts w:hint="eastAsia" w:ascii="仿宋" w:hAnsi="仿宋" w:eastAsia="仿宋" w:cs="仿宋"/>
          <w:color w:val="000000"/>
          <w:sz w:val="24"/>
          <w:szCs w:val="24"/>
        </w:rPr>
        <w:t>系</w:t>
      </w:r>
      <w:r>
        <w:rPr>
          <w:rFonts w:hint="eastAsia" w:ascii="仿宋" w:hAnsi="仿宋" w:eastAsia="仿宋" w:cs="仿宋"/>
          <w:color w:val="000000"/>
          <w:sz w:val="24"/>
          <w:szCs w:val="24"/>
          <w:u w:val="single"/>
        </w:rPr>
        <w:t xml:space="preserve">          （投标人单位名称）         </w:t>
      </w:r>
      <w:r>
        <w:rPr>
          <w:rFonts w:hint="eastAsia" w:ascii="仿宋" w:hAnsi="仿宋" w:eastAsia="仿宋" w:cs="仿宋"/>
          <w:color w:val="000000"/>
          <w:sz w:val="24"/>
          <w:szCs w:val="24"/>
        </w:rPr>
        <w:t>的法定代表人。</w:t>
      </w:r>
    </w:p>
    <w:p>
      <w:pPr>
        <w:ind w:firstLine="610"/>
        <w:rPr>
          <w:rFonts w:hint="eastAsia" w:ascii="仿宋" w:hAnsi="仿宋" w:eastAsia="仿宋" w:cs="仿宋"/>
          <w:color w:val="000000"/>
          <w:sz w:val="24"/>
          <w:szCs w:val="24"/>
        </w:rPr>
      </w:pPr>
    </w:p>
    <w:p>
      <w:pPr>
        <w:ind w:firstLine="610"/>
        <w:rPr>
          <w:rFonts w:hint="eastAsia" w:ascii="仿宋" w:hAnsi="仿宋" w:eastAsia="仿宋" w:cs="仿宋"/>
          <w:color w:val="000000"/>
          <w:sz w:val="24"/>
          <w:szCs w:val="24"/>
        </w:rPr>
      </w:pPr>
      <w:r>
        <w:rPr>
          <w:rFonts w:hint="eastAsia" w:ascii="仿宋" w:hAnsi="仿宋" w:eastAsia="仿宋" w:cs="仿宋"/>
          <w:color w:val="000000"/>
          <w:sz w:val="24"/>
          <w:szCs w:val="24"/>
        </w:rPr>
        <w:t>特此证明。</w:t>
      </w:r>
    </w:p>
    <w:p>
      <w:pPr>
        <w:tabs>
          <w:tab w:val="left" w:pos="720"/>
          <w:tab w:val="left" w:pos="900"/>
        </w:tabs>
        <w:spacing w:line="360" w:lineRule="auto"/>
        <w:ind w:firstLine="480" w:firstLineChars="200"/>
        <w:rPr>
          <w:rFonts w:hint="eastAsia" w:ascii="仿宋" w:hAnsi="仿宋" w:eastAsia="仿宋" w:cs="仿宋"/>
          <w:color w:val="000000"/>
          <w:sz w:val="24"/>
          <w:szCs w:val="24"/>
        </w:rPr>
      </w:pPr>
    </w:p>
    <w:p>
      <w:pPr>
        <w:tabs>
          <w:tab w:val="left" w:pos="720"/>
          <w:tab w:val="left" w:pos="900"/>
        </w:tabs>
        <w:spacing w:line="360" w:lineRule="auto"/>
        <w:ind w:firstLine="480" w:firstLineChars="200"/>
        <w:rPr>
          <w:rFonts w:hint="eastAsia" w:ascii="仿宋" w:hAnsi="仿宋" w:eastAsia="仿宋" w:cs="仿宋"/>
          <w:color w:val="000000"/>
          <w:sz w:val="24"/>
          <w:szCs w:val="24"/>
        </w:rPr>
      </w:pPr>
    </w:p>
    <w:p>
      <w:pPr>
        <w:tabs>
          <w:tab w:val="left" w:pos="720"/>
          <w:tab w:val="left" w:pos="900"/>
        </w:tabs>
        <w:spacing w:line="360" w:lineRule="auto"/>
        <w:ind w:firstLine="480" w:firstLineChars="200"/>
        <w:rPr>
          <w:rFonts w:hint="eastAsia" w:ascii="仿宋" w:hAnsi="仿宋" w:eastAsia="仿宋" w:cs="仿宋"/>
          <w:color w:val="000000"/>
          <w:sz w:val="24"/>
          <w:szCs w:val="24"/>
        </w:rPr>
      </w:pPr>
    </w:p>
    <w:p>
      <w:pPr>
        <w:tabs>
          <w:tab w:val="left" w:pos="720"/>
          <w:tab w:val="left" w:pos="900"/>
        </w:tabs>
        <w:spacing w:line="600" w:lineRule="exact"/>
        <w:ind w:firstLine="3840" w:firstLineChars="1600"/>
        <w:rPr>
          <w:rFonts w:hint="eastAsia" w:ascii="仿宋" w:hAnsi="仿宋" w:eastAsia="仿宋" w:cs="仿宋"/>
          <w:color w:val="000000"/>
          <w:sz w:val="24"/>
          <w:szCs w:val="24"/>
        </w:rPr>
      </w:pPr>
      <w:r>
        <w:rPr>
          <w:rFonts w:hint="eastAsia" w:ascii="仿宋" w:hAnsi="仿宋" w:eastAsia="仿宋" w:cs="仿宋"/>
          <w:color w:val="000000"/>
          <w:sz w:val="24"/>
          <w:szCs w:val="24"/>
        </w:rPr>
        <w:t>报价人：</w:t>
      </w:r>
      <w:r>
        <w:rPr>
          <w:rFonts w:hint="eastAsia" w:ascii="仿宋" w:hAnsi="仿宋" w:eastAsia="仿宋" w:cs="仿宋"/>
          <w:color w:val="000000"/>
          <w:sz w:val="24"/>
          <w:szCs w:val="24"/>
          <w:u w:val="single"/>
        </w:rPr>
        <w:t xml:space="preserve">             （盖公司法人公章）</w:t>
      </w:r>
    </w:p>
    <w:p>
      <w:pPr>
        <w:spacing w:line="600" w:lineRule="exact"/>
        <w:ind w:firstLine="4320" w:firstLineChars="1800"/>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pPr>
        <w:spacing w:line="600" w:lineRule="exact"/>
        <w:rPr>
          <w:rFonts w:hint="eastAsia" w:ascii="仿宋" w:hAnsi="仿宋" w:eastAsia="仿宋" w:cs="仿宋"/>
          <w:color w:val="000000"/>
          <w:sz w:val="21"/>
          <w:szCs w:val="21"/>
        </w:rPr>
      </w:pPr>
    </w:p>
    <w:p>
      <w:pPr>
        <w:spacing w:line="600" w:lineRule="exact"/>
        <w:rPr>
          <w:rFonts w:hint="eastAsia" w:ascii="仿宋" w:hAnsi="仿宋" w:eastAsia="仿宋" w:cs="仿宋"/>
          <w:color w:val="000000"/>
          <w:sz w:val="21"/>
          <w:szCs w:val="21"/>
        </w:rPr>
      </w:pPr>
    </w:p>
    <w:p>
      <w:pPr>
        <w:spacing w:line="600" w:lineRule="exact"/>
        <w:rPr>
          <w:rFonts w:hint="eastAsia" w:ascii="仿宋" w:hAnsi="仿宋" w:eastAsia="仿宋" w:cs="仿宋"/>
          <w:b/>
          <w:color w:val="000000"/>
          <w:sz w:val="21"/>
          <w:szCs w:val="21"/>
        </w:rPr>
      </w:pPr>
      <w:r>
        <w:rPr>
          <w:rFonts w:hint="eastAsia" w:ascii="仿宋" w:hAnsi="仿宋" w:eastAsia="仿宋" w:cs="仿宋"/>
          <w:b/>
          <w:color w:val="000000"/>
          <w:sz w:val="21"/>
          <w:szCs w:val="21"/>
        </w:rPr>
        <w:br w:type="page"/>
      </w:r>
      <w:bookmarkStart w:id="17" w:name="_Toc417479596"/>
      <w:bookmarkStart w:id="18" w:name="_Toc369339231"/>
      <w:bookmarkStart w:id="19" w:name="_Toc289852511"/>
      <w:bookmarkStart w:id="20" w:name="_Toc371174878"/>
      <w:bookmarkStart w:id="21" w:name="_Toc309224394"/>
      <w:bookmarkStart w:id="22" w:name="_Toc367273961"/>
      <w:bookmarkStart w:id="23" w:name="_Toc367273903"/>
      <w:r>
        <w:rPr>
          <w:rFonts w:hint="eastAsia" w:ascii="仿宋" w:hAnsi="仿宋" w:eastAsia="仿宋" w:cs="仿宋"/>
          <w:b/>
          <w:color w:val="000000"/>
          <w:sz w:val="28"/>
          <w:szCs w:val="28"/>
        </w:rPr>
        <w:t>附件2：附营业执照及法人身份证复印件。</w:t>
      </w: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b/>
          <w:color w:val="000000"/>
          <w:sz w:val="21"/>
          <w:szCs w:val="21"/>
        </w:rPr>
      </w:pPr>
    </w:p>
    <w:p>
      <w:pPr>
        <w:spacing w:line="600" w:lineRule="exact"/>
        <w:rPr>
          <w:rFonts w:hint="eastAsia" w:ascii="仿宋" w:hAnsi="仿宋" w:eastAsia="仿宋" w:cs="仿宋"/>
          <w:color w:val="000000"/>
          <w:sz w:val="21"/>
          <w:szCs w:val="21"/>
        </w:rPr>
      </w:pPr>
      <w:r>
        <w:rPr>
          <w:rFonts w:hint="eastAsia" w:ascii="仿宋" w:hAnsi="仿宋" w:eastAsia="仿宋" w:cs="仿宋"/>
          <w:b/>
          <w:color w:val="000000"/>
          <w:sz w:val="28"/>
          <w:szCs w:val="28"/>
        </w:rPr>
        <w:t>附件3：                授权委托书</w:t>
      </w:r>
      <w:bookmarkEnd w:id="17"/>
      <w:bookmarkEnd w:id="18"/>
      <w:bookmarkEnd w:id="19"/>
      <w:bookmarkEnd w:id="20"/>
      <w:bookmarkEnd w:id="21"/>
      <w:bookmarkEnd w:id="22"/>
      <w:bookmarkEnd w:id="23"/>
    </w:p>
    <w:p>
      <w:pPr>
        <w:spacing w:line="360" w:lineRule="auto"/>
        <w:ind w:firstLine="420" w:firstLineChars="200"/>
        <w:rPr>
          <w:rFonts w:hint="eastAsia" w:ascii="仿宋" w:hAnsi="仿宋" w:eastAsia="仿宋" w:cs="仿宋"/>
          <w:color w:val="000000"/>
          <w:sz w:val="21"/>
          <w:szCs w:val="21"/>
        </w:rPr>
      </w:pP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（姓名）系</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（投标人名称）的法定代表人，现委托</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（姓名）为我方代理人。代理人根据授权，以我方名义签署、澄清、说明、补正、递交、撤回、修改</w:t>
      </w:r>
      <w:r>
        <w:rPr>
          <w:rFonts w:hint="eastAsia" w:ascii="仿宋" w:hAnsi="仿宋" w:eastAsia="仿宋" w:cs="仿宋"/>
          <w:color w:val="000000"/>
          <w:sz w:val="24"/>
          <w:szCs w:val="24"/>
          <w:u w:val="single"/>
        </w:rPr>
        <w:t xml:space="preserve">             （项目名称）           </w:t>
      </w:r>
      <w:r>
        <w:rPr>
          <w:rFonts w:hint="eastAsia" w:ascii="仿宋" w:hAnsi="仿宋" w:eastAsia="仿宋" w:cs="仿宋"/>
          <w:color w:val="000000"/>
          <w:sz w:val="24"/>
          <w:szCs w:val="24"/>
        </w:rPr>
        <w:t>投标文件、签订合同和处理有关事宜，其法律后果由我方承担。</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委托期限：自</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日至</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日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代理人无转委托权。</w:t>
      </w:r>
    </w:p>
    <w:p>
      <w:pPr>
        <w:spacing w:line="360" w:lineRule="auto"/>
        <w:ind w:firstLine="480" w:firstLineChars="200"/>
        <w:rPr>
          <w:rFonts w:hint="eastAsia" w:ascii="仿宋" w:hAnsi="仿宋" w:eastAsia="仿宋" w:cs="仿宋"/>
          <w:color w:val="000000"/>
          <w:sz w:val="24"/>
          <w:szCs w:val="24"/>
        </w:rPr>
      </w:pPr>
    </w:p>
    <w:p>
      <w:pPr>
        <w:spacing w:line="360" w:lineRule="auto"/>
        <w:ind w:firstLine="480" w:firstLineChars="200"/>
        <w:rPr>
          <w:rFonts w:hint="eastAsia" w:ascii="仿宋" w:hAnsi="仿宋" w:eastAsia="仿宋" w:cs="仿宋"/>
          <w:color w:val="000000"/>
          <w:sz w:val="24"/>
          <w:szCs w:val="24"/>
        </w:rPr>
      </w:pPr>
    </w:p>
    <w:p>
      <w:pPr>
        <w:spacing w:line="360" w:lineRule="auto"/>
        <w:ind w:firstLine="480" w:firstLineChars="200"/>
        <w:rPr>
          <w:rFonts w:hint="eastAsia" w:ascii="仿宋" w:hAnsi="仿宋" w:eastAsia="仿宋" w:cs="仿宋"/>
          <w:color w:val="000000"/>
          <w:sz w:val="24"/>
          <w:szCs w:val="24"/>
        </w:rPr>
      </w:pPr>
    </w:p>
    <w:p>
      <w:pPr>
        <w:spacing w:before="156" w:beforeLines="50" w:after="156" w:afterLines="50" w:line="360" w:lineRule="exact"/>
        <w:ind w:firstLine="3600" w:firstLineChars="1500"/>
        <w:rPr>
          <w:rFonts w:hint="eastAsia" w:ascii="仿宋" w:hAnsi="仿宋" w:eastAsia="仿宋" w:cs="仿宋"/>
          <w:color w:val="000000"/>
          <w:sz w:val="24"/>
          <w:szCs w:val="24"/>
        </w:rPr>
      </w:pPr>
      <w:r>
        <w:rPr>
          <w:rFonts w:hint="eastAsia" w:ascii="仿宋" w:hAnsi="仿宋" w:eastAsia="仿宋" w:cs="仿宋"/>
          <w:color w:val="000000"/>
          <w:sz w:val="24"/>
          <w:szCs w:val="24"/>
        </w:rPr>
        <w:t>投标人：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（盖单位章）</w:t>
      </w:r>
    </w:p>
    <w:p>
      <w:pPr>
        <w:spacing w:before="156" w:beforeLines="50" w:after="156" w:afterLines="50" w:line="360" w:lineRule="exact"/>
        <w:ind w:firstLine="420"/>
        <w:rPr>
          <w:rFonts w:hint="eastAsia" w:ascii="仿宋" w:hAnsi="仿宋" w:eastAsia="仿宋" w:cs="仿宋"/>
          <w:color w:val="000000"/>
          <w:sz w:val="24"/>
          <w:szCs w:val="24"/>
        </w:rPr>
      </w:pPr>
    </w:p>
    <w:p>
      <w:pPr>
        <w:spacing w:before="156" w:beforeLines="50" w:after="156" w:afterLines="50" w:line="360" w:lineRule="exact"/>
        <w:ind w:firstLine="3600" w:firstLineChars="1500"/>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（签字或盖私章）</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pPr>
        <w:spacing w:line="360" w:lineRule="auto"/>
        <w:ind w:firstLine="3600" w:firstLineChars="1500"/>
        <w:rPr>
          <w:rFonts w:hint="eastAsia" w:ascii="仿宋" w:hAnsi="仿宋" w:eastAsia="仿宋" w:cs="仿宋"/>
          <w:color w:val="000000"/>
          <w:sz w:val="24"/>
          <w:szCs w:val="24"/>
        </w:rPr>
      </w:pPr>
      <w:r>
        <w:rPr>
          <w:rFonts w:hint="eastAsia" w:ascii="仿宋" w:hAnsi="仿宋" w:eastAsia="仿宋" w:cs="仿宋"/>
          <w:color w:val="000000"/>
          <w:sz w:val="24"/>
          <w:szCs w:val="24"/>
        </w:rPr>
        <w:t>身份证号码：</w:t>
      </w:r>
      <w:r>
        <w:rPr>
          <w:rFonts w:hint="eastAsia" w:ascii="仿宋" w:hAnsi="仿宋" w:eastAsia="仿宋" w:cs="仿宋"/>
          <w:color w:val="000000"/>
          <w:sz w:val="24"/>
          <w:szCs w:val="24"/>
          <w:u w:val="single"/>
        </w:rPr>
        <w:t xml:space="preserve">                               </w:t>
      </w:r>
    </w:p>
    <w:p>
      <w:pPr>
        <w:spacing w:line="360" w:lineRule="auto"/>
        <w:ind w:firstLine="480" w:firstLineChars="200"/>
        <w:rPr>
          <w:rFonts w:hint="eastAsia" w:ascii="仿宋" w:hAnsi="仿宋" w:eastAsia="仿宋" w:cs="仿宋"/>
          <w:color w:val="000000"/>
          <w:sz w:val="24"/>
          <w:szCs w:val="24"/>
        </w:rPr>
      </w:pPr>
    </w:p>
    <w:p>
      <w:pPr>
        <w:spacing w:before="156" w:beforeLines="50" w:after="156" w:afterLines="50" w:line="360" w:lineRule="exact"/>
        <w:ind w:firstLine="3600" w:firstLineChars="1500"/>
        <w:rPr>
          <w:rFonts w:hint="eastAsia" w:ascii="仿宋" w:hAnsi="仿宋" w:eastAsia="仿宋" w:cs="仿宋"/>
          <w:color w:val="000000"/>
          <w:sz w:val="24"/>
          <w:szCs w:val="24"/>
        </w:rPr>
      </w:pPr>
      <w:r>
        <w:rPr>
          <w:rFonts w:hint="eastAsia" w:ascii="仿宋" w:hAnsi="仿宋" w:eastAsia="仿宋" w:cs="仿宋"/>
          <w:color w:val="000000"/>
          <w:sz w:val="24"/>
          <w:szCs w:val="24"/>
        </w:rPr>
        <w:t>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（签字或盖私章）</w:t>
      </w:r>
    </w:p>
    <w:p>
      <w:pPr>
        <w:spacing w:line="360" w:lineRule="auto"/>
        <w:ind w:firstLine="480" w:firstLineChars="200"/>
        <w:rPr>
          <w:rFonts w:hint="eastAsia" w:ascii="仿宋" w:hAnsi="仿宋" w:eastAsia="仿宋" w:cs="仿宋"/>
          <w:color w:val="000000"/>
          <w:sz w:val="24"/>
          <w:szCs w:val="24"/>
        </w:rPr>
      </w:pPr>
    </w:p>
    <w:p>
      <w:pPr>
        <w:spacing w:line="360" w:lineRule="auto"/>
        <w:ind w:firstLine="3600" w:firstLineChars="1500"/>
        <w:rPr>
          <w:rFonts w:hint="eastAsia" w:ascii="仿宋" w:hAnsi="仿宋" w:eastAsia="仿宋" w:cs="仿宋"/>
          <w:color w:val="000000"/>
          <w:sz w:val="24"/>
          <w:szCs w:val="24"/>
        </w:rPr>
      </w:pPr>
      <w:r>
        <w:rPr>
          <w:rFonts w:hint="eastAsia" w:ascii="仿宋" w:hAnsi="仿宋" w:eastAsia="仿宋" w:cs="仿宋"/>
          <w:color w:val="000000"/>
          <w:sz w:val="24"/>
          <w:szCs w:val="24"/>
        </w:rPr>
        <w:t>身份证号码：</w:t>
      </w:r>
      <w:r>
        <w:rPr>
          <w:rFonts w:hint="eastAsia" w:ascii="仿宋" w:hAnsi="仿宋" w:eastAsia="仿宋" w:cs="仿宋"/>
          <w:color w:val="000000"/>
          <w:sz w:val="24"/>
          <w:szCs w:val="24"/>
          <w:u w:val="single"/>
        </w:rPr>
        <w:t xml:space="preserve">                                </w:t>
      </w:r>
    </w:p>
    <w:p>
      <w:pPr>
        <w:spacing w:line="360" w:lineRule="auto"/>
        <w:ind w:firstLine="6120" w:firstLineChars="2550"/>
        <w:rPr>
          <w:rFonts w:hint="eastAsia" w:ascii="仿宋" w:hAnsi="仿宋" w:eastAsia="仿宋" w:cs="仿宋"/>
          <w:color w:val="000000"/>
          <w:sz w:val="24"/>
          <w:szCs w:val="24"/>
        </w:rPr>
      </w:pPr>
    </w:p>
    <w:p>
      <w:pPr>
        <w:spacing w:line="360" w:lineRule="auto"/>
        <w:ind w:right="480" w:firstLine="4800" w:firstLineChars="2000"/>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600" w:lineRule="exact"/>
        <w:rPr>
          <w:rFonts w:hint="eastAsia" w:ascii="仿宋" w:hAnsi="仿宋" w:eastAsia="仿宋" w:cs="仿宋"/>
          <w:b/>
          <w:color w:val="000000"/>
          <w:sz w:val="28"/>
          <w:szCs w:val="28"/>
        </w:rPr>
      </w:pPr>
      <w:r>
        <w:rPr>
          <w:rFonts w:hint="eastAsia" w:ascii="仿宋" w:hAnsi="仿宋" w:eastAsia="仿宋" w:cs="仿宋"/>
          <w:b/>
          <w:color w:val="000000"/>
          <w:sz w:val="28"/>
          <w:szCs w:val="28"/>
        </w:rPr>
        <w:t>附件4：附委托人身份证复印件。</w:t>
      </w: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p>
      <w:pPr>
        <w:spacing w:line="360" w:lineRule="auto"/>
        <w:ind w:right="480" w:firstLine="4200" w:firstLineChars="2000"/>
        <w:rPr>
          <w:rFonts w:hint="eastAsia" w:ascii="仿宋" w:hAnsi="仿宋" w:eastAsia="仿宋" w:cs="仿宋"/>
          <w:color w:val="000000"/>
          <w:sz w:val="21"/>
          <w:szCs w:val="21"/>
        </w:rPr>
      </w:pPr>
    </w:p>
    <w:bookmarkEnd w:id="11"/>
    <w:bookmarkEnd w:id="12"/>
    <w:bookmarkEnd w:id="13"/>
    <w:bookmarkEnd w:id="14"/>
    <w:p>
      <w:pPr>
        <w:keepNext/>
        <w:keepLines/>
        <w:tabs>
          <w:tab w:val="left" w:pos="720"/>
        </w:tabs>
        <w:spacing w:before="260" w:after="260" w:line="413" w:lineRule="auto"/>
        <w:outlineLvl w:val="2"/>
        <w:rPr>
          <w:rFonts w:hint="eastAsia" w:ascii="仿宋" w:hAnsi="仿宋" w:eastAsia="仿宋" w:cs="仿宋"/>
          <w:b/>
          <w:sz w:val="28"/>
          <w:szCs w:val="28"/>
        </w:rPr>
      </w:pPr>
      <w:r>
        <w:rPr>
          <w:rFonts w:hint="eastAsia" w:ascii="仿宋" w:hAnsi="仿宋" w:eastAsia="仿宋" w:cs="仿宋"/>
          <w:b/>
          <w:color w:val="000000"/>
          <w:sz w:val="28"/>
          <w:szCs w:val="28"/>
        </w:rPr>
        <w:t xml:space="preserve">附件5：                 </w:t>
      </w:r>
      <w:bookmarkEnd w:id="15"/>
      <w:bookmarkEnd w:id="16"/>
      <w:bookmarkStart w:id="24" w:name="_Toc222777568"/>
      <w:bookmarkStart w:id="25" w:name="_Toc206142701"/>
      <w:bookmarkStart w:id="26" w:name="_Toc188989191"/>
      <w:r>
        <w:rPr>
          <w:rFonts w:hint="eastAsia" w:ascii="仿宋" w:hAnsi="仿宋" w:eastAsia="仿宋" w:cs="仿宋"/>
          <w:b/>
          <w:sz w:val="28"/>
          <w:szCs w:val="28"/>
        </w:rPr>
        <w:t>报价总表</w:t>
      </w:r>
    </w:p>
    <w:tbl>
      <w:tblPr>
        <w:tblStyle w:val="16"/>
        <w:tblW w:w="496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0"/>
        <w:gridCol w:w="1350"/>
        <w:gridCol w:w="1974"/>
        <w:gridCol w:w="1888"/>
        <w:gridCol w:w="409"/>
        <w:gridCol w:w="1015"/>
        <w:gridCol w:w="1534"/>
        <w:gridCol w:w="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jc w:val="center"/>
        </w:trPr>
        <w:tc>
          <w:tcPr>
            <w:tcW w:w="5000" w:type="pct"/>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仿宋" w:hAnsi="仿宋" w:eastAsia="仿宋" w:cs="仿宋"/>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24"/>
                <w:szCs w:val="24"/>
                <w:u w:val="none"/>
                <w:lang w:val="en-US" w:eastAsia="zh-CN" w:bidi="ar"/>
              </w:rPr>
              <w:t>广东省东莞市城区配套物流仓储建设项目-电缆采购</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投标费用汇总表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2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序号</w:t>
            </w:r>
          </w:p>
        </w:tc>
        <w:tc>
          <w:tcPr>
            <w:tcW w:w="7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采购编号</w:t>
            </w:r>
          </w:p>
        </w:tc>
        <w:tc>
          <w:tcPr>
            <w:tcW w:w="107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计费基数</w:t>
            </w:r>
          </w:p>
        </w:tc>
        <w:tc>
          <w:tcPr>
            <w:tcW w:w="102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投标限价（元）</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投标报价（含税）</w:t>
            </w:r>
          </w:p>
        </w:tc>
        <w:tc>
          <w:tcPr>
            <w:tcW w:w="8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投标报价（不含税）</w:t>
            </w:r>
          </w:p>
        </w:tc>
        <w:tc>
          <w:tcPr>
            <w:tcW w:w="33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237"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731"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sz w:val="24"/>
                <w:szCs w:val="24"/>
              </w:rPr>
              <w:t>ZBCG-20</w:t>
            </w:r>
            <w:r>
              <w:rPr>
                <w:rFonts w:hint="eastAsia" w:ascii="仿宋" w:hAnsi="仿宋" w:eastAsia="仿宋" w:cs="仿宋"/>
                <w:sz w:val="24"/>
                <w:szCs w:val="24"/>
                <w:lang w:val="en-US" w:eastAsia="zh-CN"/>
              </w:rPr>
              <w:t>23</w:t>
            </w:r>
            <w:r>
              <w:rPr>
                <w:rFonts w:hint="eastAsia" w:ascii="仿宋" w:hAnsi="仿宋" w:eastAsia="仿宋" w:cs="仿宋"/>
                <w:sz w:val="24"/>
                <w:szCs w:val="24"/>
              </w:rPr>
              <w:t>-</w:t>
            </w:r>
            <w:r>
              <w:rPr>
                <w:rFonts w:hint="eastAsia" w:ascii="仿宋" w:hAnsi="仿宋" w:eastAsia="仿宋" w:cs="仿宋"/>
                <w:sz w:val="24"/>
                <w:szCs w:val="24"/>
                <w:lang w:val="en-US" w:eastAsia="zh-CN"/>
              </w:rPr>
              <w:t>138</w:t>
            </w:r>
          </w:p>
        </w:tc>
        <w:tc>
          <w:tcPr>
            <w:tcW w:w="10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10,911,194.76 </w:t>
            </w:r>
          </w:p>
        </w:tc>
        <w:tc>
          <w:tcPr>
            <w:tcW w:w="1023" w:type="pct"/>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10,911,194.76 </w:t>
            </w:r>
          </w:p>
        </w:tc>
        <w:tc>
          <w:tcPr>
            <w:tcW w:w="772" w:type="pct"/>
            <w:gridSpan w:val="2"/>
            <w:tcBorders>
              <w:top w:val="single" w:color="000000" w:sz="4" w:space="0"/>
              <w:left w:val="single" w:color="000000" w:sz="4" w:space="0"/>
              <w:bottom w:val="single" w:color="000000" w:sz="4" w:space="0"/>
              <w:right w:val="single" w:color="000000" w:sz="4" w:space="0"/>
            </w:tcBorders>
            <w:noWrap/>
            <w:vAlign w:val="center"/>
          </w:tcPr>
          <w:p>
            <w:pPr>
              <w:jc w:val="right"/>
              <w:rPr>
                <w:rFonts w:hint="eastAsia" w:ascii="仿宋" w:hAnsi="仿宋" w:eastAsia="仿宋" w:cs="仿宋"/>
                <w:i w:val="0"/>
                <w:iCs w:val="0"/>
                <w:color w:val="FF0000"/>
                <w:sz w:val="24"/>
                <w:szCs w:val="24"/>
                <w:u w:val="none"/>
              </w:rPr>
            </w:pPr>
          </w:p>
        </w:tc>
        <w:tc>
          <w:tcPr>
            <w:tcW w:w="831" w:type="pct"/>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4"/>
                <w:szCs w:val="24"/>
                <w:u w:val="none"/>
              </w:rPr>
            </w:pPr>
          </w:p>
        </w:tc>
        <w:tc>
          <w:tcPr>
            <w:tcW w:w="332" w:type="pct"/>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jc w:val="center"/>
        </w:trPr>
        <w:tc>
          <w:tcPr>
            <w:tcW w:w="2040" w:type="pct"/>
            <w:gridSpan w:val="3"/>
            <w:vMerge w:val="restart"/>
            <w:tcBorders>
              <w:top w:val="single" w:color="000000" w:sz="4" w:space="0"/>
              <w:left w:val="single" w:color="000000" w:sz="4" w:space="0"/>
              <w:bottom w:val="single" w:color="000000"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汇总报价</w:t>
            </w:r>
          </w:p>
        </w:tc>
        <w:tc>
          <w:tcPr>
            <w:tcW w:w="1245" w:type="pct"/>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小写：（含税     %）</w:t>
            </w:r>
          </w:p>
        </w:tc>
        <w:tc>
          <w:tcPr>
            <w:tcW w:w="1714" w:type="pct"/>
            <w:gridSpan w:val="3"/>
            <w:tcBorders>
              <w:top w:val="single" w:color="000000" w:sz="4" w:space="0"/>
              <w:left w:val="single" w:color="auto"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2040" w:type="pct"/>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b/>
                <w:bCs/>
                <w:i w:val="0"/>
                <w:iCs w:val="0"/>
                <w:color w:val="000000"/>
                <w:sz w:val="24"/>
                <w:szCs w:val="24"/>
                <w:u w:val="none"/>
              </w:rPr>
            </w:pPr>
          </w:p>
        </w:tc>
        <w:tc>
          <w:tcPr>
            <w:tcW w:w="1245" w:type="pct"/>
            <w:gridSpan w:val="2"/>
            <w:tcBorders>
              <w:top w:val="single" w:color="auto" w:sz="4" w:space="0"/>
              <w:left w:val="nil"/>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大写：（含税     %）</w:t>
            </w:r>
          </w:p>
        </w:tc>
        <w:tc>
          <w:tcPr>
            <w:tcW w:w="1714" w:type="pct"/>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18"/>
                <w:szCs w:val="18"/>
                <w:u w:val="none"/>
              </w:rPr>
            </w:pPr>
          </w:p>
        </w:tc>
      </w:tr>
    </w:tbl>
    <w:p>
      <w:pPr>
        <w:keepNext/>
        <w:keepLines/>
        <w:tabs>
          <w:tab w:val="left" w:pos="720"/>
        </w:tabs>
        <w:spacing w:before="260" w:after="260" w:line="413" w:lineRule="auto"/>
        <w:outlineLvl w:val="2"/>
        <w:rPr>
          <w:rFonts w:hint="eastAsia" w:ascii="仿宋" w:hAnsi="仿宋" w:eastAsia="仿宋" w:cs="仿宋"/>
          <w:b/>
          <w:sz w:val="28"/>
          <w:szCs w:val="28"/>
        </w:rPr>
      </w:pPr>
    </w:p>
    <w:p>
      <w:pPr>
        <w:rPr>
          <w:rFonts w:hint="eastAsia" w:ascii="仿宋" w:hAnsi="仿宋" w:eastAsia="仿宋" w:cs="仿宋"/>
          <w:b/>
          <w:sz w:val="21"/>
          <w:szCs w:val="21"/>
        </w:rPr>
      </w:pPr>
    </w:p>
    <w:p>
      <w:pPr>
        <w:rPr>
          <w:rFonts w:hint="eastAsia" w:ascii="仿宋" w:hAnsi="仿宋" w:eastAsia="仿宋" w:cs="仿宋"/>
          <w:b/>
          <w:sz w:val="21"/>
          <w:szCs w:val="21"/>
        </w:rPr>
      </w:pPr>
    </w:p>
    <w:p>
      <w:pPr>
        <w:rPr>
          <w:rFonts w:hint="eastAsia" w:ascii="仿宋" w:hAnsi="仿宋" w:eastAsia="仿宋" w:cs="仿宋"/>
          <w:b/>
          <w:sz w:val="21"/>
          <w:szCs w:val="21"/>
        </w:rPr>
      </w:pPr>
    </w:p>
    <w:p>
      <w:pPr>
        <w:rPr>
          <w:rFonts w:hint="eastAsia" w:ascii="仿宋" w:hAnsi="仿宋" w:eastAsia="仿宋" w:cs="仿宋"/>
          <w:b/>
          <w:sz w:val="21"/>
          <w:szCs w:val="21"/>
        </w:rPr>
      </w:pPr>
    </w:p>
    <w:p>
      <w:pPr>
        <w:spacing w:line="460" w:lineRule="exact"/>
        <w:rPr>
          <w:rFonts w:hint="eastAsia" w:ascii="仿宋" w:hAnsi="仿宋" w:eastAsia="仿宋" w:cs="仿宋"/>
          <w:color w:val="auto"/>
          <w:sz w:val="24"/>
          <w:szCs w:val="24"/>
          <w:u w:val="single"/>
        </w:rPr>
      </w:pPr>
      <w:r>
        <w:rPr>
          <w:rFonts w:hint="eastAsia" w:ascii="仿宋" w:hAnsi="仿宋" w:eastAsia="仿宋" w:cs="仿宋"/>
          <w:color w:val="auto"/>
          <w:sz w:val="24"/>
          <w:szCs w:val="24"/>
        </w:rPr>
        <w:t>投 标 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（盖公司法人公章）</w:t>
      </w:r>
    </w:p>
    <w:p>
      <w:pPr>
        <w:spacing w:line="460" w:lineRule="exact"/>
        <w:rPr>
          <w:rFonts w:hint="eastAsia" w:ascii="仿宋" w:hAnsi="仿宋" w:eastAsia="仿宋" w:cs="仿宋"/>
          <w:color w:val="auto"/>
          <w:sz w:val="24"/>
          <w:szCs w:val="24"/>
          <w:u w:val="single"/>
        </w:rPr>
      </w:pPr>
      <w:r>
        <w:rPr>
          <w:rFonts w:hint="eastAsia" w:ascii="仿宋" w:hAnsi="仿宋" w:eastAsia="仿宋" w:cs="仿宋"/>
          <w:color w:val="auto"/>
          <w:sz w:val="24"/>
          <w:szCs w:val="24"/>
        </w:rPr>
        <w:t>单位地址：</w:t>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 xml:space="preserve">           </w:t>
      </w:r>
    </w:p>
    <w:p>
      <w:pPr>
        <w:spacing w:line="460" w:lineRule="exact"/>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法定代表人或委托代理人：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（签字或盖私章）</w:t>
      </w:r>
    </w:p>
    <w:p>
      <w:pPr>
        <w:spacing w:line="460" w:lineRule="exact"/>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电话：</w:t>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ab/>
      </w:r>
      <w:r>
        <w:rPr>
          <w:rFonts w:hint="eastAsia" w:ascii="仿宋" w:hAnsi="仿宋" w:eastAsia="仿宋" w:cs="仿宋"/>
          <w:color w:val="auto"/>
          <w:sz w:val="24"/>
          <w:szCs w:val="24"/>
        </w:rPr>
        <w:t xml:space="preserve"> 传真：</w:t>
      </w:r>
      <w:r>
        <w:rPr>
          <w:rFonts w:hint="eastAsia" w:ascii="仿宋" w:hAnsi="仿宋" w:eastAsia="仿宋" w:cs="仿宋"/>
          <w:color w:val="auto"/>
          <w:sz w:val="24"/>
          <w:szCs w:val="24"/>
          <w:u w:val="single"/>
        </w:rPr>
        <w:tab/>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ab/>
      </w:r>
    </w:p>
    <w:p>
      <w:pPr>
        <w:spacing w:line="460" w:lineRule="exact"/>
        <w:rPr>
          <w:rFonts w:hint="eastAsia" w:ascii="仿宋" w:hAnsi="仿宋" w:eastAsia="仿宋" w:cs="仿宋"/>
          <w:color w:val="auto"/>
          <w:szCs w:val="21"/>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pPr>
        <w:rPr>
          <w:rFonts w:hint="eastAsia" w:ascii="仿宋" w:hAnsi="仿宋" w:eastAsia="仿宋" w:cs="仿宋"/>
          <w:b/>
          <w:color w:val="auto"/>
          <w:szCs w:val="21"/>
        </w:rPr>
      </w:pPr>
      <w:r>
        <w:rPr>
          <w:rFonts w:hint="eastAsia" w:ascii="仿宋" w:hAnsi="仿宋" w:eastAsia="仿宋" w:cs="仿宋"/>
          <w:b/>
          <w:color w:val="auto"/>
          <w:szCs w:val="21"/>
        </w:rPr>
        <w:t xml:space="preserve"> </w:t>
      </w:r>
    </w:p>
    <w:p>
      <w:pPr>
        <w:rPr>
          <w:rFonts w:hint="eastAsia" w:ascii="仿宋" w:hAnsi="仿宋" w:eastAsia="仿宋" w:cs="仿宋"/>
          <w:b/>
          <w:color w:val="auto"/>
          <w:szCs w:val="21"/>
        </w:rPr>
      </w:pPr>
    </w:p>
    <w:p>
      <w:pPr>
        <w:rPr>
          <w:rFonts w:hint="eastAsia" w:ascii="仿宋" w:hAnsi="仿宋" w:eastAsia="仿宋" w:cs="仿宋"/>
          <w:b/>
          <w:color w:val="auto"/>
          <w:szCs w:val="21"/>
        </w:rPr>
      </w:pPr>
    </w:p>
    <w:p>
      <w:pPr>
        <w:rPr>
          <w:rFonts w:hint="eastAsia" w:ascii="仿宋" w:hAnsi="仿宋" w:eastAsia="仿宋" w:cs="仿宋"/>
          <w:b/>
          <w:color w:val="auto"/>
          <w:szCs w:val="21"/>
        </w:rPr>
      </w:pPr>
    </w:p>
    <w:p>
      <w:pPr>
        <w:rPr>
          <w:rFonts w:hint="eastAsia" w:ascii="仿宋" w:hAnsi="仿宋" w:eastAsia="仿宋" w:cs="仿宋"/>
          <w:b/>
          <w:color w:val="auto"/>
          <w:szCs w:val="21"/>
        </w:rPr>
      </w:pPr>
    </w:p>
    <w:p>
      <w:pPr>
        <w:rPr>
          <w:rFonts w:hint="eastAsia" w:ascii="仿宋" w:hAnsi="仿宋" w:eastAsia="仿宋" w:cs="仿宋"/>
          <w:sz w:val="21"/>
          <w:szCs w:val="21"/>
        </w:rPr>
      </w:pPr>
      <w:r>
        <w:rPr>
          <w:rFonts w:hint="eastAsia" w:ascii="仿宋" w:hAnsi="仿宋" w:eastAsia="仿宋" w:cs="仿宋"/>
          <w:b/>
          <w:color w:val="auto"/>
          <w:szCs w:val="21"/>
        </w:rPr>
        <w:t>（注：1、本投标函须每页加盖投标人公司法人公章；本投标文件必须按规定的格式打印,手写、涂改无效。2、大写金额数字用“零、壹、贰、叁、肆、伍、陆、柒、捌、玖”填写。）</w:t>
      </w:r>
    </w:p>
    <w:p>
      <w:pPr>
        <w:rPr>
          <w:rFonts w:hint="eastAsia" w:ascii="仿宋" w:hAnsi="仿宋" w:eastAsia="仿宋" w:cs="仿宋"/>
          <w:sz w:val="21"/>
          <w:szCs w:val="21"/>
        </w:rPr>
      </w:pPr>
    </w:p>
    <w:p>
      <w:pPr>
        <w:keepNext/>
        <w:keepLines/>
        <w:tabs>
          <w:tab w:val="left" w:pos="720"/>
        </w:tabs>
        <w:spacing w:before="260" w:after="260" w:line="413" w:lineRule="auto"/>
        <w:outlineLvl w:val="2"/>
        <w:rPr>
          <w:rFonts w:hint="eastAsia" w:ascii="仿宋" w:hAnsi="仿宋" w:eastAsia="仿宋" w:cs="仿宋"/>
          <w:b/>
          <w:color w:val="000000"/>
          <w:sz w:val="21"/>
          <w:szCs w:val="21"/>
        </w:rPr>
      </w:pPr>
      <w:r>
        <w:rPr>
          <w:rFonts w:hint="eastAsia" w:ascii="仿宋" w:hAnsi="仿宋" w:eastAsia="仿宋" w:cs="仿宋"/>
          <w:color w:val="000000"/>
          <w:kern w:val="1"/>
          <w:sz w:val="21"/>
          <w:szCs w:val="21"/>
        </w:rPr>
        <w:br w:type="page"/>
      </w:r>
      <w:r>
        <w:rPr>
          <w:rFonts w:hint="eastAsia" w:ascii="仿宋" w:hAnsi="仿宋" w:eastAsia="仿宋" w:cs="仿宋"/>
          <w:b/>
          <w:color w:val="000000"/>
          <w:sz w:val="24"/>
          <w:szCs w:val="24"/>
        </w:rPr>
        <w:t>附件6：</w:t>
      </w:r>
      <w:r>
        <w:rPr>
          <w:rFonts w:hint="eastAsia" w:ascii="仿宋" w:hAnsi="仿宋" w:eastAsia="仿宋" w:cs="仿宋"/>
          <w:b/>
          <w:color w:val="000000"/>
          <w:sz w:val="21"/>
          <w:szCs w:val="21"/>
        </w:rPr>
        <w:t xml:space="preserve">                   </w:t>
      </w:r>
    </w:p>
    <w:tbl>
      <w:tblPr>
        <w:tblStyle w:val="16"/>
        <w:tblW w:w="10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1712"/>
        <w:gridCol w:w="1965"/>
        <w:gridCol w:w="930"/>
        <w:gridCol w:w="1095"/>
        <w:gridCol w:w="1470"/>
        <w:gridCol w:w="1425"/>
        <w:gridCol w:w="1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10349"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28"/>
                <w:szCs w:val="28"/>
                <w:u w:val="none"/>
                <w:lang w:val="en-US" w:eastAsia="zh-CN" w:bidi="ar"/>
              </w:rPr>
              <w:t>电缆采购报价清单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6358" w:type="dxa"/>
            <w:gridSpan w:val="5"/>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工程名称：广东省东莞市城区配套物流仓储建设项目</w:t>
            </w:r>
          </w:p>
        </w:tc>
        <w:tc>
          <w:tcPr>
            <w:tcW w:w="1470" w:type="dxa"/>
            <w:tcBorders>
              <w:top w:val="nil"/>
              <w:left w:val="nil"/>
              <w:bottom w:val="nil"/>
              <w:right w:val="nil"/>
            </w:tcBorders>
            <w:noWrap/>
            <w:vAlign w:val="center"/>
          </w:tcPr>
          <w:p>
            <w:pPr>
              <w:jc w:val="left"/>
              <w:rPr>
                <w:rFonts w:hint="eastAsia" w:ascii="宋体" w:hAnsi="宋体" w:eastAsia="宋体" w:cs="宋体"/>
                <w:i w:val="0"/>
                <w:iCs w:val="0"/>
                <w:color w:val="000000"/>
                <w:sz w:val="22"/>
                <w:szCs w:val="22"/>
                <w:u w:val="none"/>
              </w:rPr>
            </w:pPr>
          </w:p>
        </w:tc>
        <w:tc>
          <w:tcPr>
            <w:tcW w:w="1425" w:type="dxa"/>
            <w:tcBorders>
              <w:top w:val="nil"/>
              <w:left w:val="nil"/>
              <w:bottom w:val="nil"/>
              <w:right w:val="nil"/>
            </w:tcBorders>
            <w:noWrap/>
            <w:vAlign w:val="center"/>
          </w:tcPr>
          <w:p>
            <w:pPr>
              <w:jc w:val="left"/>
              <w:rPr>
                <w:rFonts w:hint="eastAsia" w:ascii="宋体" w:hAnsi="宋体" w:eastAsia="宋体" w:cs="宋体"/>
                <w:i w:val="0"/>
                <w:iCs w:val="0"/>
                <w:color w:val="000000"/>
                <w:sz w:val="22"/>
                <w:szCs w:val="22"/>
                <w:u w:val="none"/>
              </w:rPr>
            </w:pPr>
          </w:p>
        </w:tc>
        <w:tc>
          <w:tcPr>
            <w:tcW w:w="1096" w:type="dxa"/>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规格型号</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含税单价</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含税合计</w:t>
            </w: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BBTRZ-3*120+2*70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1729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BBTRZ-3*240+2*120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BBTRZ-3*70+2*25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BBTRZ-4*120+1*70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2224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BBTRZ-4*35+1*16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BBTRZ-4*70+1*35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BBTRZ-4*185+1*95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1246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BBTRZ-4*95+1*50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BBTRZ-5*10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1298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BBTRZ-5*4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NH-KVV-2*1.5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WDZB1N-YJY-4*120+1*70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WDZB2-KYJY-19*1.5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WDZB2-KYJY-2*1.5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WDZB2-KYJY-21*1.5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WDZB2-KYJY-27*1.5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WDZB2-KYJY-5*1.5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WDZB2-YJY-3*2.5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WDZB2-YJY-3*4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WDZB2-YJY-4*2.5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WDZB2-YJY-4*4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WDZB2-YJY-4*50+1*25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WDZB2-YJY-5*10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WDZB2-YJY-5*4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WDZB-YJY-3*50+2*25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WDZB-YJY-4*35+1*16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1485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WDZB-YJY-4*70+1*35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WDZB-YJY-4*120+1*70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WDZB-YJY-4*185+1*95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WDZB-YJY-4*240+1*120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1323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WDZB-YJY-4*70+1*35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1916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WDZB-YJY-4*95+1*50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WDZB-YJY-5*10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2303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2331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WDZB-YJY-5*2.5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WDZB-YJY-5*6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2555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WDZB-YJY-5*16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WDZN-KVV-4*1.5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5412 </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WDZN-KVV-8*1.5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WDZN-YJY-3*120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WDZN-YJY-3*50+1*25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WDZN-YJY-3*95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WDZN-YJY-3*95+1*50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WDZN-YJY-3*50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WDZN-YJY-3*6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WDZN-YJY-4*2.5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WDZN-YJY-4*16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WDZN-YJY-4*4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WDZN-YJY-4*6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WDZN-YJY-5*2.5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4011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4437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WDZN-YJY-8.7/15kV-3*120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WDZN-YJY-8.7/15kV-3*95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ZR-YJV22-8.7/15kV-3*300mm2</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含税合计</w:t>
            </w:r>
          </w:p>
        </w:tc>
        <w:tc>
          <w:tcPr>
            <w:tcW w:w="196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Style w:val="137"/>
                <w:lang w:val="en-US" w:eastAsia="zh-CN" w:bidi="ar"/>
              </w:rPr>
              <w:t>其中税金（</w:t>
            </w:r>
            <w:r>
              <w:rPr>
                <w:rStyle w:val="138"/>
                <w:lang w:val="en-US" w:eastAsia="zh-CN" w:bidi="ar"/>
              </w:rPr>
              <w:t xml:space="preserve">   </w:t>
            </w:r>
            <w:r>
              <w:rPr>
                <w:rStyle w:val="137"/>
                <w:lang w:val="en-US" w:eastAsia="zh-CN" w:bidi="ar"/>
              </w:rPr>
              <w:t>%）</w:t>
            </w:r>
          </w:p>
        </w:tc>
        <w:tc>
          <w:tcPr>
            <w:tcW w:w="196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single"/>
              </w:rPr>
            </w:pPr>
          </w:p>
        </w:tc>
        <w:tc>
          <w:tcPr>
            <w:tcW w:w="14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不含税合计</w:t>
            </w:r>
          </w:p>
        </w:tc>
        <w:tc>
          <w:tcPr>
            <w:tcW w:w="196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p>
        </w:tc>
        <w:tc>
          <w:tcPr>
            <w:tcW w:w="14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4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c>
          <w:tcPr>
            <w:tcW w:w="10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0349" w:type="dxa"/>
            <w:gridSpan w:val="8"/>
            <w:tcBorders>
              <w:top w:val="nil"/>
              <w:left w:val="nil"/>
              <w:bottom w:val="nil"/>
              <w:right w:val="nil"/>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1、可调综合单价合同。各种规格报价均应包括产品、包装、运输、保险、装卸、税费、利润等费用。质量要求为：国标电缆，品牌要求（同等或优于）：花缆、程通、新兴、中亚、南牌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2、签订合同后根据施工需求分批供货，每批货到工地验收合格并开具本批货物的全额发票后支付本批货款的100%。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3、以2023年9月28日上海有色金属网SMM1＃电解铜均价67</w:t>
            </w:r>
            <w:r>
              <w:rPr>
                <w:rFonts w:hint="eastAsia" w:ascii="宋体" w:hAnsi="宋体" w:cs="宋体"/>
                <w:i w:val="0"/>
                <w:iCs w:val="0"/>
                <w:color w:val="000000"/>
                <w:kern w:val="0"/>
                <w:sz w:val="22"/>
                <w:szCs w:val="22"/>
                <w:u w:val="none"/>
                <w:lang w:val="en-US" w:eastAsia="zh-CN" w:bidi="ar"/>
              </w:rPr>
              <w:t>4</w:t>
            </w:r>
            <w:r>
              <w:rPr>
                <w:rFonts w:hint="eastAsia" w:ascii="宋体" w:hAnsi="宋体" w:eastAsia="宋体" w:cs="宋体"/>
                <w:i w:val="0"/>
                <w:iCs w:val="0"/>
                <w:color w:val="000000"/>
                <w:kern w:val="0"/>
                <w:sz w:val="22"/>
                <w:szCs w:val="22"/>
                <w:u w:val="none"/>
                <w:lang w:val="en-US" w:eastAsia="zh-CN" w:bidi="ar"/>
              </w:rPr>
              <w:t>60元/吨作为铜价基准价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4、以</w:t>
            </w:r>
            <w:r>
              <w:rPr>
                <w:rFonts w:hint="eastAsia" w:ascii="宋体" w:hAnsi="宋体" w:cs="宋体"/>
                <w:i w:val="0"/>
                <w:iCs w:val="0"/>
                <w:color w:val="000000"/>
                <w:kern w:val="0"/>
                <w:sz w:val="22"/>
                <w:szCs w:val="22"/>
                <w:u w:val="none"/>
                <w:lang w:val="en-US" w:eastAsia="zh-CN" w:bidi="ar"/>
              </w:rPr>
              <w:t>采购</w:t>
            </w:r>
            <w:r>
              <w:rPr>
                <w:rFonts w:hint="eastAsia" w:ascii="宋体" w:hAnsi="宋体" w:eastAsia="宋体" w:cs="宋体"/>
                <w:i w:val="0"/>
                <w:iCs w:val="0"/>
                <w:color w:val="000000"/>
                <w:kern w:val="0"/>
                <w:sz w:val="22"/>
                <w:szCs w:val="22"/>
                <w:u w:val="none"/>
                <w:lang w:val="en-US" w:eastAsia="zh-CN" w:bidi="ar"/>
              </w:rPr>
              <w:t>下达书面订货当日上海有色金属网广东SMM1＃电解铜均价与投标基准价相比，每超过±500元/吨，电线电缆综合单价相应涨跌1%，波动在±500元/吨内及其他情况综合单价均不调整。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例如：以WDZN-YJY-3*95单价197元/m为例，假设铜基准价6</w:t>
            </w:r>
            <w:r>
              <w:rPr>
                <w:rFonts w:hint="eastAsia" w:ascii="宋体" w:hAnsi="宋体" w:cs="宋体"/>
                <w:i w:val="0"/>
                <w:iCs w:val="0"/>
                <w:color w:val="000000"/>
                <w:kern w:val="0"/>
                <w:sz w:val="22"/>
                <w:szCs w:val="22"/>
                <w:u w:val="none"/>
                <w:lang w:val="en-US" w:eastAsia="zh-CN" w:bidi="ar"/>
              </w:rPr>
              <w:t>746</w:t>
            </w:r>
            <w:r>
              <w:rPr>
                <w:rFonts w:hint="eastAsia" w:ascii="宋体" w:hAnsi="宋体" w:eastAsia="宋体" w:cs="宋体"/>
                <w:i w:val="0"/>
                <w:iCs w:val="0"/>
                <w:color w:val="000000"/>
                <w:kern w:val="0"/>
                <w:sz w:val="22"/>
                <w:szCs w:val="22"/>
                <w:u w:val="none"/>
                <w:lang w:val="en-US" w:eastAsia="zh-CN" w:bidi="ar"/>
              </w:rPr>
              <w:t>0元/吨，1、订货当日铜价6</w:t>
            </w:r>
            <w:r>
              <w:rPr>
                <w:rFonts w:hint="eastAsia" w:ascii="宋体" w:hAnsi="宋体" w:cs="宋体"/>
                <w:i w:val="0"/>
                <w:iCs w:val="0"/>
                <w:color w:val="000000"/>
                <w:kern w:val="0"/>
                <w:sz w:val="22"/>
                <w:szCs w:val="22"/>
                <w:u w:val="none"/>
                <w:lang w:val="en-US" w:eastAsia="zh-CN" w:bidi="ar"/>
              </w:rPr>
              <w:t>806</w:t>
            </w:r>
            <w:r>
              <w:rPr>
                <w:rFonts w:hint="eastAsia" w:ascii="宋体" w:hAnsi="宋体" w:eastAsia="宋体" w:cs="宋体"/>
                <w:i w:val="0"/>
                <w:iCs w:val="0"/>
                <w:color w:val="000000"/>
                <w:kern w:val="0"/>
                <w:sz w:val="22"/>
                <w:szCs w:val="22"/>
                <w:u w:val="none"/>
                <w:lang w:val="en-US" w:eastAsia="zh-CN" w:bidi="ar"/>
              </w:rPr>
              <w:t>0元/吨，价差600元/吨，单价调整1%，单价：197*（1+1%）=198.97元/m。2、订货当日铜价6</w:t>
            </w:r>
            <w:r>
              <w:rPr>
                <w:rFonts w:hint="eastAsia" w:ascii="宋体" w:hAnsi="宋体" w:cs="宋体"/>
                <w:i w:val="0"/>
                <w:iCs w:val="0"/>
                <w:color w:val="000000"/>
                <w:kern w:val="0"/>
                <w:sz w:val="22"/>
                <w:szCs w:val="22"/>
                <w:u w:val="none"/>
                <w:lang w:val="en-US" w:eastAsia="zh-CN" w:bidi="ar"/>
              </w:rPr>
              <w:t>876</w:t>
            </w:r>
            <w:r>
              <w:rPr>
                <w:rFonts w:hint="eastAsia" w:ascii="宋体" w:hAnsi="宋体" w:eastAsia="宋体" w:cs="宋体"/>
                <w:i w:val="0"/>
                <w:iCs w:val="0"/>
                <w:color w:val="000000"/>
                <w:kern w:val="0"/>
                <w:sz w:val="22"/>
                <w:szCs w:val="22"/>
                <w:u w:val="none"/>
                <w:lang w:val="en-US" w:eastAsia="zh-CN" w:bidi="ar"/>
              </w:rPr>
              <w:t>0元/吨，价差1300元/吨，单价调整2%，单价：197*（1+2%）=200.94元/m。</w:t>
            </w:r>
          </w:p>
        </w:tc>
      </w:tr>
    </w:tbl>
    <w:p>
      <w:pPr>
        <w:keepNext/>
        <w:keepLines/>
        <w:tabs>
          <w:tab w:val="left" w:pos="720"/>
        </w:tabs>
        <w:spacing w:before="260" w:after="260" w:line="413" w:lineRule="auto"/>
        <w:outlineLvl w:val="2"/>
        <w:rPr>
          <w:rFonts w:hint="eastAsia" w:ascii="仿宋" w:hAnsi="仿宋" w:eastAsia="仿宋" w:cs="仿宋"/>
          <w:b/>
          <w:color w:val="000000"/>
          <w:sz w:val="24"/>
          <w:szCs w:val="24"/>
        </w:rPr>
      </w:pPr>
      <w:r>
        <w:rPr>
          <w:rFonts w:hint="eastAsia" w:ascii="仿宋" w:hAnsi="仿宋" w:eastAsia="仿宋" w:cs="仿宋"/>
          <w:b/>
          <w:color w:val="000000"/>
          <w:kern w:val="0"/>
          <w:sz w:val="21"/>
          <w:szCs w:val="21"/>
        </w:rPr>
        <w:br w:type="page"/>
      </w:r>
      <w:r>
        <w:rPr>
          <w:rFonts w:hint="eastAsia" w:ascii="仿宋" w:hAnsi="仿宋" w:eastAsia="仿宋" w:cs="仿宋"/>
          <w:b/>
          <w:color w:val="000000"/>
          <w:sz w:val="24"/>
          <w:szCs w:val="24"/>
        </w:rPr>
        <w:t>附件7：</w:t>
      </w:r>
      <w:r>
        <w:rPr>
          <w:rFonts w:hint="eastAsia" w:ascii="仿宋" w:hAnsi="仿宋" w:eastAsia="仿宋" w:cs="仿宋"/>
          <w:b/>
          <w:sz w:val="32"/>
          <w:szCs w:val="20"/>
        </w:rPr>
        <w:t xml:space="preserve"> </w:t>
      </w:r>
      <w:r>
        <w:rPr>
          <w:rStyle w:val="23"/>
          <w:rFonts w:hint="eastAsia" w:ascii="仿宋" w:hAnsi="仿宋" w:eastAsia="仿宋" w:cs="仿宋"/>
          <w:b/>
          <w:bCs/>
          <w:sz w:val="24"/>
          <w:szCs w:val="24"/>
          <w:lang w:val="en-US" w:eastAsia="zh-CN"/>
        </w:rPr>
        <w:t xml:space="preserve"> </w:t>
      </w:r>
      <w:bookmarkStart w:id="27" w:name="_Toc367273965"/>
      <w:bookmarkStart w:id="28" w:name="_Toc371174881"/>
      <w:bookmarkStart w:id="29" w:name="_Toc289852516"/>
      <w:bookmarkStart w:id="30" w:name="_Toc309224398"/>
      <w:bookmarkStart w:id="31" w:name="_Toc369339235"/>
      <w:bookmarkStart w:id="32" w:name="_Toc417479599"/>
      <w:bookmarkStart w:id="33" w:name="_Toc367273907"/>
      <w:bookmarkStart w:id="34" w:name="_Toc27494"/>
      <w:bookmarkStart w:id="35" w:name="_Toc25384"/>
      <w:bookmarkStart w:id="36" w:name="_Toc29895"/>
      <w:bookmarkStart w:id="37" w:name="_Toc2124"/>
      <w:bookmarkStart w:id="38" w:name="_Toc367438814"/>
      <w:bookmarkStart w:id="39" w:name="_Toc4469"/>
      <w:bookmarkStart w:id="40" w:name="_Toc396137255"/>
      <w:bookmarkStart w:id="41" w:name="_Toc32682"/>
      <w:bookmarkStart w:id="42" w:name="_Toc22990"/>
      <w:bookmarkStart w:id="43" w:name="_Toc27459"/>
      <w:bookmarkStart w:id="44" w:name="_Toc16051"/>
      <w:bookmarkStart w:id="45" w:name="_Toc14313"/>
      <w:bookmarkStart w:id="46" w:name="_Toc19549"/>
      <w:bookmarkStart w:id="47" w:name="_Toc26475"/>
      <w:bookmarkStart w:id="48" w:name="_Toc2895"/>
      <w:r>
        <w:rPr>
          <w:rFonts w:hint="eastAsia" w:ascii="仿宋" w:hAnsi="仿宋" w:eastAsia="仿宋" w:cs="仿宋"/>
          <w:b/>
          <w:color w:val="000000"/>
          <w:sz w:val="24"/>
          <w:szCs w:val="24"/>
        </w:rPr>
        <w:t>包含但不限于以下资料</w:t>
      </w:r>
      <w:bookmarkEnd w:id="27"/>
      <w:bookmarkEnd w:id="28"/>
      <w:bookmarkEnd w:id="29"/>
      <w:bookmarkEnd w:id="30"/>
      <w:bookmarkEnd w:id="31"/>
      <w:bookmarkEnd w:id="32"/>
      <w:bookmarkEnd w:id="33"/>
      <w:r>
        <w:rPr>
          <w:rFonts w:hint="eastAsia" w:ascii="仿宋" w:hAnsi="仿宋" w:eastAsia="仿宋" w:cs="仿宋"/>
          <w:b/>
          <w:color w:val="000000"/>
          <w:sz w:val="24"/>
          <w:szCs w:val="24"/>
        </w:rPr>
        <w:t>（复印加盖公章）</w:t>
      </w:r>
    </w:p>
    <w:p>
      <w:pPr>
        <w:numPr>
          <w:ilvl w:val="0"/>
          <w:numId w:val="2"/>
        </w:numPr>
        <w:snapToGrid w:val="0"/>
        <w:spacing w:line="360" w:lineRule="auto"/>
        <w:ind w:left="1256" w:leftChars="428" w:hanging="357" w:hangingChars="149"/>
        <w:rPr>
          <w:rFonts w:hint="eastAsia" w:ascii="仿宋_GB2312" w:hAnsi="仿宋_GB2312" w:eastAsia="仿宋_GB2312" w:cs="仿宋_GB2312"/>
          <w:color w:val="auto"/>
          <w:sz w:val="24"/>
          <w:szCs w:val="28"/>
        </w:rPr>
      </w:pPr>
      <w:r>
        <w:rPr>
          <w:rFonts w:hint="eastAsia" w:ascii="仿宋_GB2312" w:hAnsi="仿宋_GB2312" w:eastAsia="仿宋_GB2312" w:cs="仿宋_GB2312"/>
          <w:color w:val="auto"/>
          <w:sz w:val="24"/>
          <w:szCs w:val="28"/>
        </w:rPr>
        <w:t>投标人的生产</w:t>
      </w:r>
      <w:r>
        <w:rPr>
          <w:rFonts w:hint="eastAsia" w:ascii="仿宋_GB2312" w:hAnsi="仿宋_GB2312" w:eastAsia="仿宋_GB2312" w:cs="仿宋_GB2312"/>
          <w:color w:val="auto"/>
          <w:sz w:val="24"/>
          <w:szCs w:val="28"/>
          <w:lang w:val="en-US" w:eastAsia="zh-CN"/>
        </w:rPr>
        <w:t>许可</w:t>
      </w:r>
      <w:r>
        <w:rPr>
          <w:rFonts w:hint="eastAsia" w:ascii="仿宋_GB2312" w:hAnsi="仿宋_GB2312" w:eastAsia="仿宋_GB2312" w:cs="仿宋_GB2312"/>
          <w:color w:val="auto"/>
          <w:sz w:val="24"/>
          <w:szCs w:val="28"/>
        </w:rPr>
        <w:t>证</w:t>
      </w:r>
      <w:r>
        <w:rPr>
          <w:rFonts w:hint="eastAsia" w:ascii="仿宋_GB2312" w:hAnsi="仿宋_GB2312" w:eastAsia="仿宋_GB2312" w:cs="仿宋_GB2312"/>
          <w:color w:val="auto"/>
          <w:sz w:val="24"/>
          <w:szCs w:val="28"/>
          <w:lang w:eastAsia="zh-CN"/>
        </w:rPr>
        <w:t>、3C 认证</w:t>
      </w:r>
      <w:r>
        <w:rPr>
          <w:rFonts w:hint="eastAsia" w:ascii="仿宋_GB2312" w:hAnsi="仿宋_GB2312" w:eastAsia="仿宋_GB2312" w:cs="仿宋_GB2312"/>
          <w:color w:val="auto"/>
          <w:sz w:val="24"/>
          <w:szCs w:val="28"/>
          <w:lang w:val="en-US" w:eastAsia="zh-CN"/>
        </w:rPr>
        <w:t>证书</w:t>
      </w:r>
    </w:p>
    <w:p>
      <w:pPr>
        <w:numPr>
          <w:ilvl w:val="0"/>
          <w:numId w:val="2"/>
        </w:numPr>
        <w:snapToGrid w:val="0"/>
        <w:spacing w:line="360" w:lineRule="auto"/>
        <w:ind w:left="1256" w:leftChars="428" w:hanging="357" w:hangingChars="149"/>
        <w:rPr>
          <w:rFonts w:hint="eastAsia" w:ascii="仿宋_GB2312" w:hAnsi="仿宋_GB2312" w:eastAsia="仿宋_GB2312" w:cs="仿宋_GB2312"/>
          <w:color w:val="auto"/>
          <w:sz w:val="24"/>
          <w:szCs w:val="28"/>
        </w:rPr>
      </w:pPr>
      <w:r>
        <w:rPr>
          <w:rFonts w:hint="eastAsia" w:ascii="仿宋_GB2312" w:hAnsi="仿宋_GB2312" w:eastAsia="仿宋_GB2312" w:cs="仿宋_GB2312"/>
          <w:color w:val="auto"/>
          <w:sz w:val="24"/>
          <w:szCs w:val="28"/>
        </w:rPr>
        <w:t>投标人的</w:t>
      </w:r>
      <w:r>
        <w:rPr>
          <w:rFonts w:hint="eastAsia" w:ascii="仿宋_GB2312" w:hAnsi="仿宋_GB2312" w:eastAsia="仿宋_GB2312" w:cs="仿宋_GB2312"/>
          <w:color w:val="auto"/>
          <w:sz w:val="24"/>
          <w:szCs w:val="28"/>
          <w:lang w:val="en-US" w:eastAsia="zh-CN"/>
        </w:rPr>
        <w:t>品牌授权</w:t>
      </w:r>
    </w:p>
    <w:p>
      <w:pPr>
        <w:numPr>
          <w:ilvl w:val="0"/>
          <w:numId w:val="2"/>
        </w:numPr>
        <w:snapToGrid w:val="0"/>
        <w:spacing w:line="360" w:lineRule="auto"/>
        <w:ind w:left="1256" w:leftChars="428" w:hanging="357" w:hangingChars="149"/>
        <w:rPr>
          <w:rFonts w:hint="eastAsia" w:ascii="仿宋_GB2312" w:hAnsi="仿宋_GB2312" w:eastAsia="仿宋_GB2312" w:cs="仿宋_GB2312"/>
          <w:color w:val="auto"/>
          <w:sz w:val="24"/>
          <w:szCs w:val="28"/>
        </w:rPr>
      </w:pPr>
      <w:r>
        <w:rPr>
          <w:rFonts w:hint="eastAsia" w:ascii="仿宋_GB2312" w:hAnsi="仿宋_GB2312" w:eastAsia="仿宋_GB2312" w:cs="仿宋_GB2312"/>
          <w:color w:val="auto"/>
          <w:sz w:val="24"/>
          <w:szCs w:val="28"/>
          <w:lang w:val="en-US" w:eastAsia="zh-CN"/>
        </w:rPr>
        <w:t>电子税务局纳税人信息截图</w:t>
      </w:r>
    </w:p>
    <w:p>
      <w:pPr>
        <w:numPr>
          <w:ilvl w:val="0"/>
          <w:numId w:val="0"/>
        </w:numPr>
        <w:snapToGrid w:val="0"/>
        <w:spacing w:line="360" w:lineRule="auto"/>
        <w:ind w:leftChars="279"/>
        <w:rPr>
          <w:rFonts w:hint="eastAsia" w:ascii="仿宋_GB2312" w:hAnsi="仿宋_GB2312" w:eastAsia="仿宋_GB2312" w:cs="仿宋_GB2312"/>
          <w:color w:val="auto"/>
          <w:sz w:val="24"/>
          <w:szCs w:val="28"/>
          <w:lang w:val="en-US" w:eastAsia="zh-CN"/>
        </w:rPr>
      </w:pPr>
    </w:p>
    <w:p>
      <w:pPr>
        <w:numPr>
          <w:ilvl w:val="0"/>
          <w:numId w:val="0"/>
        </w:numPr>
        <w:snapToGrid w:val="0"/>
        <w:spacing w:line="360" w:lineRule="auto"/>
        <w:rPr>
          <w:rFonts w:hint="eastAsia" w:ascii="仿宋_GB2312" w:hAnsi="仿宋_GB2312" w:eastAsia="仿宋_GB2312" w:cs="仿宋_GB2312"/>
          <w:color w:val="auto"/>
          <w:sz w:val="22"/>
          <w:szCs w:val="24"/>
          <w:lang w:val="en-US" w:eastAsia="zh-CN"/>
        </w:rPr>
      </w:pPr>
      <w:r>
        <w:rPr>
          <w:rFonts w:hint="eastAsia" w:ascii="仿宋_GB2312" w:hAnsi="仿宋_GB2312" w:eastAsia="仿宋_GB2312" w:cs="仿宋_GB2312"/>
          <w:color w:val="auto"/>
          <w:sz w:val="22"/>
          <w:szCs w:val="24"/>
          <w:lang w:val="en-US" w:eastAsia="zh-CN"/>
        </w:rPr>
        <w:t>电子税务局纳税人信息截图示例（须可见公司名称）：</w:t>
      </w:r>
    </w:p>
    <w:p>
      <w:pPr>
        <w:spacing w:line="360" w:lineRule="auto"/>
        <w:rPr>
          <w:rFonts w:hint="eastAsia" w:ascii="仿宋" w:hAnsi="仿宋" w:eastAsia="仿宋" w:cs="仿宋"/>
          <w:b/>
          <w:sz w:val="32"/>
          <w:szCs w:val="20"/>
        </w:rPr>
      </w:pPr>
      <w:r>
        <w:rPr>
          <w:rFonts w:hint="eastAsia" w:ascii="仿宋_GB2312" w:hAnsi="仿宋_GB2312" w:eastAsia="仿宋_GB2312" w:cs="仿宋_GB2312"/>
          <w:b/>
          <w:color w:val="auto"/>
          <w:kern w:val="0"/>
          <w:sz w:val="32"/>
          <w:szCs w:val="20"/>
        </w:rPr>
        <w:drawing>
          <wp:inline distT="0" distB="0" distL="114300" distR="114300">
            <wp:extent cx="5746750" cy="2830830"/>
            <wp:effectExtent l="0" t="0" r="0" b="0"/>
            <wp:docPr id="2" name="图片 2" descr="9713e844d82cfd2ded1b0ff6948feddb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713e844d82cfd2ded1b0ff6948feddb_"/>
                    <pic:cNvPicPr>
                      <a:picLocks noChangeAspect="1"/>
                    </pic:cNvPicPr>
                  </pic:nvPicPr>
                  <pic:blipFill>
                    <a:blip r:embed="rId6"/>
                    <a:stretch>
                      <a:fillRect/>
                    </a:stretch>
                  </pic:blipFill>
                  <pic:spPr>
                    <a:xfrm>
                      <a:off x="0" y="0"/>
                      <a:ext cx="5746750" cy="2830830"/>
                    </a:xfrm>
                    <a:prstGeom prst="rect">
                      <a:avLst/>
                    </a:prstGeom>
                    <a:noFill/>
                    <a:ln>
                      <a:noFill/>
                    </a:ln>
                  </pic:spPr>
                </pic:pic>
              </a:graphicData>
            </a:graphic>
          </wp:inline>
        </w:drawing>
      </w: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32"/>
          <w:szCs w:val="20"/>
        </w:rPr>
      </w:pPr>
    </w:p>
    <w:p>
      <w:pPr>
        <w:spacing w:line="360"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附件8：</w:t>
      </w:r>
      <w:r>
        <w:rPr>
          <w:rStyle w:val="23"/>
          <w:rFonts w:hint="eastAsia" w:ascii="仿宋" w:hAnsi="仿宋" w:eastAsia="仿宋" w:cs="仿宋"/>
          <w:b/>
          <w:bCs/>
          <w:sz w:val="24"/>
          <w:szCs w:val="24"/>
          <w:lang w:val="en-US" w:eastAsia="zh-CN"/>
        </w:rPr>
        <w:t>良好</w:t>
      </w:r>
      <w:r>
        <w:rPr>
          <w:rFonts w:hint="eastAsia" w:ascii="仿宋" w:hAnsi="仿宋" w:eastAsia="仿宋" w:cs="仿宋"/>
          <w:b/>
          <w:sz w:val="24"/>
          <w:szCs w:val="24"/>
          <w:lang w:val="en-US" w:eastAsia="zh-CN"/>
        </w:rPr>
        <w:t>的银行资信和商业信誉（格式自拟）</w:t>
      </w: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b/>
          <w:sz w:val="24"/>
          <w:szCs w:val="24"/>
        </w:rPr>
      </w:pPr>
    </w:p>
    <w:p>
      <w:pPr>
        <w:spacing w:line="360" w:lineRule="auto"/>
        <w:rPr>
          <w:rFonts w:hint="eastAsia" w:ascii="仿宋" w:hAnsi="仿宋" w:eastAsia="仿宋" w:cs="仿宋"/>
          <w:sz w:val="24"/>
          <w:szCs w:val="24"/>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9</w:t>
      </w:r>
      <w:r>
        <w:rPr>
          <w:rFonts w:hint="eastAsia" w:ascii="仿宋" w:hAnsi="仿宋" w:eastAsia="仿宋" w:cs="仿宋"/>
          <w:b/>
          <w:sz w:val="24"/>
          <w:szCs w:val="24"/>
        </w:rPr>
        <w:t>:</w:t>
      </w:r>
      <w:r>
        <w:rPr>
          <w:rStyle w:val="23"/>
          <w:rFonts w:hint="eastAsia" w:ascii="仿宋" w:hAnsi="仿宋" w:eastAsia="仿宋" w:cs="仿宋"/>
          <w:b/>
          <w:sz w:val="24"/>
          <w:szCs w:val="24"/>
        </w:rPr>
        <w:t>投标人业绩情况表</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rPr>
          <w:rFonts w:hint="eastAsia" w:ascii="仿宋" w:hAnsi="仿宋" w:eastAsia="仿宋" w:cs="仿宋"/>
          <w:sz w:val="24"/>
          <w:szCs w:val="24"/>
        </w:rPr>
      </w:pP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48"/>
        <w:gridCol w:w="2391"/>
        <w:gridCol w:w="1304"/>
        <w:gridCol w:w="1304"/>
        <w:gridCol w:w="1304"/>
        <w:gridCol w:w="871"/>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648" w:type="dxa"/>
            <w:noWrap w:val="0"/>
            <w:vAlign w:val="center"/>
          </w:tcPr>
          <w:p>
            <w:pPr>
              <w:ind w:left="-178" w:leftChars="-85"/>
              <w:jc w:val="center"/>
              <w:rPr>
                <w:rFonts w:hint="eastAsia" w:ascii="仿宋" w:hAnsi="仿宋" w:eastAsia="仿宋" w:cs="仿宋"/>
                <w:b/>
                <w:sz w:val="24"/>
                <w:szCs w:val="24"/>
              </w:rPr>
            </w:pPr>
            <w:r>
              <w:rPr>
                <w:rFonts w:hint="eastAsia" w:ascii="仿宋" w:hAnsi="仿宋" w:eastAsia="仿宋" w:cs="仿宋"/>
                <w:b/>
                <w:sz w:val="24"/>
                <w:szCs w:val="24"/>
              </w:rPr>
              <w:t xml:space="preserve"> 序号</w:t>
            </w:r>
          </w:p>
        </w:tc>
        <w:tc>
          <w:tcPr>
            <w:tcW w:w="2391" w:type="dxa"/>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项目名称</w:t>
            </w:r>
          </w:p>
        </w:tc>
        <w:tc>
          <w:tcPr>
            <w:tcW w:w="1304" w:type="dxa"/>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合同金额</w:t>
            </w:r>
          </w:p>
        </w:tc>
        <w:tc>
          <w:tcPr>
            <w:tcW w:w="1304" w:type="dxa"/>
            <w:noWrap w:val="0"/>
            <w:vAlign w:val="center"/>
          </w:tcPr>
          <w:p>
            <w:pPr>
              <w:jc w:val="center"/>
              <w:rPr>
                <w:rFonts w:hint="eastAsia" w:ascii="仿宋" w:hAnsi="仿宋" w:eastAsia="仿宋" w:cs="仿宋"/>
                <w:b/>
                <w:sz w:val="24"/>
                <w:szCs w:val="24"/>
              </w:rPr>
            </w:pPr>
            <w:r>
              <w:rPr>
                <w:rFonts w:hint="eastAsia" w:ascii="仿宋" w:hAnsi="仿宋" w:eastAsia="仿宋" w:cs="仿宋"/>
                <w:b/>
                <w:sz w:val="24"/>
                <w:szCs w:val="24"/>
              </w:rPr>
              <w:t>签约时间</w:t>
            </w:r>
          </w:p>
        </w:tc>
        <w:tc>
          <w:tcPr>
            <w:tcW w:w="1304"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联系人、</w:t>
            </w:r>
          </w:p>
          <w:p>
            <w:pPr>
              <w:jc w:val="center"/>
              <w:rPr>
                <w:rFonts w:hint="eastAsia" w:ascii="仿宋" w:hAnsi="仿宋" w:eastAsia="仿宋" w:cs="仿宋"/>
                <w:b/>
                <w:sz w:val="24"/>
                <w:szCs w:val="24"/>
              </w:rPr>
            </w:pPr>
            <w:r>
              <w:rPr>
                <w:rFonts w:hint="eastAsia" w:ascii="仿宋" w:hAnsi="仿宋" w:eastAsia="仿宋" w:cs="仿宋"/>
                <w:b/>
                <w:bCs/>
                <w:sz w:val="24"/>
                <w:szCs w:val="24"/>
              </w:rPr>
              <w:t>联系方式</w:t>
            </w:r>
          </w:p>
        </w:tc>
        <w:tc>
          <w:tcPr>
            <w:tcW w:w="871" w:type="dxa"/>
            <w:noWrap w:val="0"/>
            <w:vAlign w:val="center"/>
          </w:tcPr>
          <w:p>
            <w:pPr>
              <w:jc w:val="center"/>
              <w:rPr>
                <w:rFonts w:hint="eastAsia" w:ascii="仿宋" w:hAnsi="仿宋" w:eastAsia="仿宋" w:cs="仿宋"/>
                <w:b/>
                <w:sz w:val="24"/>
                <w:szCs w:val="24"/>
              </w:rPr>
            </w:pPr>
            <w:r>
              <w:rPr>
                <w:rFonts w:hint="eastAsia" w:ascii="仿宋" w:hAnsi="仿宋" w:eastAsia="仿宋" w:cs="仿宋"/>
                <w:b/>
                <w:bCs/>
                <w:sz w:val="24"/>
                <w:szCs w:val="24"/>
              </w:rPr>
              <w:t>完成情况</w:t>
            </w:r>
          </w:p>
        </w:tc>
        <w:tc>
          <w:tcPr>
            <w:tcW w:w="1104" w:type="dxa"/>
            <w:noWrap w:val="0"/>
            <w:vAlign w:val="center"/>
          </w:tcPr>
          <w:p>
            <w:pPr>
              <w:jc w:val="center"/>
              <w:rPr>
                <w:rFonts w:hint="eastAsia" w:ascii="仿宋" w:hAnsi="仿宋" w:eastAsia="仿宋" w:cs="仿宋"/>
                <w:b/>
                <w:sz w:val="24"/>
                <w:szCs w:val="24"/>
              </w:rPr>
            </w:pPr>
            <w:r>
              <w:rPr>
                <w:rFonts w:hint="eastAsia" w:ascii="仿宋" w:hAnsi="仿宋" w:eastAsia="仿宋" w:cs="仿宋"/>
                <w:b/>
                <w:bCs/>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4"/>
                <w:szCs w:val="24"/>
              </w:rPr>
            </w:pPr>
          </w:p>
        </w:tc>
        <w:tc>
          <w:tcPr>
            <w:tcW w:w="2391"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1304" w:type="dxa"/>
            <w:noWrap w:val="0"/>
            <w:vAlign w:val="center"/>
          </w:tcPr>
          <w:p>
            <w:pPr>
              <w:rPr>
                <w:rFonts w:hint="eastAsia" w:ascii="仿宋" w:hAnsi="仿宋" w:eastAsia="仿宋" w:cs="仿宋"/>
                <w:b/>
                <w:sz w:val="24"/>
                <w:szCs w:val="24"/>
              </w:rPr>
            </w:pPr>
          </w:p>
        </w:tc>
        <w:tc>
          <w:tcPr>
            <w:tcW w:w="871" w:type="dxa"/>
            <w:noWrap w:val="0"/>
            <w:vAlign w:val="center"/>
          </w:tcPr>
          <w:p>
            <w:pPr>
              <w:rPr>
                <w:rFonts w:hint="eastAsia" w:ascii="仿宋" w:hAnsi="仿宋" w:eastAsia="仿宋" w:cs="仿宋"/>
                <w:b/>
                <w:sz w:val="24"/>
                <w:szCs w:val="24"/>
              </w:rPr>
            </w:pPr>
          </w:p>
        </w:tc>
        <w:tc>
          <w:tcPr>
            <w:tcW w:w="1104" w:type="dxa"/>
            <w:noWrap w:val="0"/>
            <w:vAlign w:val="center"/>
          </w:tcPr>
          <w:p>
            <w:pPr>
              <w:rPr>
                <w:rFonts w:hint="eastAsia" w:ascii="仿宋" w:hAnsi="仿宋" w:eastAsia="仿宋" w:cs="仿宋"/>
                <w:b/>
                <w:sz w:val="24"/>
                <w:szCs w:val="24"/>
              </w:rPr>
            </w:pPr>
          </w:p>
        </w:tc>
      </w:tr>
    </w:tbl>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p>
    <w:p>
      <w:pPr>
        <w:spacing w:line="360" w:lineRule="auto"/>
        <w:rPr>
          <w:rFonts w:hint="eastAsia" w:ascii="仿宋" w:hAnsi="仿宋" w:eastAsia="仿宋" w:cs="仿宋"/>
          <w:sz w:val="24"/>
          <w:szCs w:val="24"/>
        </w:rPr>
      </w:pPr>
      <w:r>
        <w:rPr>
          <w:rFonts w:hint="eastAsia" w:ascii="仿宋" w:hAnsi="仿宋" w:eastAsia="仿宋" w:cs="仿宋"/>
          <w:sz w:val="24"/>
          <w:szCs w:val="24"/>
        </w:rPr>
        <w:t>注：提供不限于合同复印件</w:t>
      </w: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投标人法定代表人（或法定代表人授权代表）签名：</w:t>
      </w:r>
    </w:p>
    <w:p>
      <w:pPr>
        <w:snapToGrid w:val="0"/>
        <w:spacing w:line="360" w:lineRule="auto"/>
        <w:rPr>
          <w:rFonts w:hint="eastAsia" w:ascii="仿宋" w:hAnsi="仿宋" w:eastAsia="仿宋" w:cs="仿宋"/>
          <w:sz w:val="24"/>
          <w:szCs w:val="24"/>
          <w:u w:val="single"/>
        </w:rPr>
      </w:pPr>
      <w:r>
        <w:rPr>
          <w:rFonts w:hint="eastAsia" w:ascii="仿宋" w:hAnsi="仿宋" w:eastAsia="仿宋" w:cs="仿宋"/>
          <w:sz w:val="24"/>
          <w:szCs w:val="24"/>
        </w:rPr>
        <w:t>投标人名称（加盖公章）：</w:t>
      </w: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日期：</w:t>
      </w:r>
    </w:p>
    <w:p>
      <w:pPr>
        <w:snapToGrid w:val="0"/>
        <w:spacing w:line="360" w:lineRule="auto"/>
        <w:rPr>
          <w:rFonts w:hint="eastAsia" w:ascii="仿宋" w:hAnsi="仿宋" w:eastAsia="仿宋" w:cs="仿宋"/>
          <w:sz w:val="24"/>
          <w:szCs w:val="24"/>
        </w:rPr>
      </w:pP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w:t>
      </w:r>
    </w:p>
    <w:p>
      <w:pPr>
        <w:snapToGrid w:val="0"/>
        <w:spacing w:line="360" w:lineRule="auto"/>
        <w:rPr>
          <w:rFonts w:hint="eastAsia" w:ascii="仿宋" w:hAnsi="仿宋" w:eastAsia="仿宋" w:cs="仿宋"/>
          <w:sz w:val="24"/>
          <w:szCs w:val="24"/>
          <w:lang w:val="en-US" w:eastAsia="zh-CN"/>
        </w:rPr>
      </w:pPr>
    </w:p>
    <w:bookmarkEnd w:id="24"/>
    <w:bookmarkEnd w:id="25"/>
    <w:bookmarkEnd w:id="26"/>
    <w:p>
      <w:pPr>
        <w:numPr>
          <w:ilvl w:val="0"/>
          <w:numId w:val="0"/>
        </w:numPr>
        <w:snapToGrid w:val="0"/>
        <w:spacing w:line="360" w:lineRule="auto"/>
        <w:rPr>
          <w:rFonts w:hint="eastAsia" w:ascii="仿宋" w:hAnsi="仿宋" w:eastAsia="仿宋" w:cs="仿宋"/>
          <w:b/>
          <w:color w:val="000000"/>
          <w:kern w:val="0"/>
          <w:sz w:val="24"/>
          <w:szCs w:val="24"/>
          <w:lang w:val="en-US" w:eastAsia="zh-CN"/>
        </w:rPr>
      </w:pPr>
      <w:r>
        <w:rPr>
          <w:rFonts w:hint="eastAsia" w:ascii="仿宋" w:hAnsi="仿宋" w:eastAsia="仿宋" w:cs="仿宋"/>
          <w:b/>
          <w:color w:val="000000"/>
          <w:kern w:val="0"/>
          <w:sz w:val="24"/>
          <w:szCs w:val="24"/>
          <w:lang w:val="en-US" w:eastAsia="zh-CN"/>
        </w:rPr>
        <w:t>附件10：</w:t>
      </w:r>
    </w:p>
    <w:p>
      <w:pPr>
        <w:numPr>
          <w:ilvl w:val="0"/>
          <w:numId w:val="0"/>
        </w:numPr>
        <w:snapToGrid w:val="0"/>
        <w:spacing w:line="360" w:lineRule="auto"/>
        <w:ind w:leftChars="279"/>
        <w:jc w:val="center"/>
        <w:rPr>
          <w:rFonts w:hint="eastAsia" w:ascii="仿宋" w:hAnsi="仿宋" w:eastAsia="仿宋" w:cs="仿宋"/>
          <w:color w:val="000000"/>
          <w:sz w:val="24"/>
          <w:szCs w:val="24"/>
          <w:lang w:val="en-US" w:eastAsia="zh-CN"/>
        </w:rPr>
      </w:pPr>
      <w:r>
        <w:rPr>
          <w:rFonts w:hint="eastAsia" w:ascii="仿宋" w:hAnsi="仿宋" w:eastAsia="仿宋" w:cs="仿宋"/>
          <w:b/>
          <w:bCs/>
          <w:color w:val="000000"/>
          <w:sz w:val="30"/>
          <w:szCs w:val="30"/>
          <w:lang w:val="en-US" w:eastAsia="zh-CN"/>
        </w:rPr>
        <w:t>供货周期承诺函</w:t>
      </w:r>
    </w:p>
    <w:p>
      <w:pPr>
        <w:numPr>
          <w:ilvl w:val="0"/>
          <w:numId w:val="0"/>
        </w:numPr>
        <w:snapToGrid w:val="0"/>
        <w:spacing w:line="360" w:lineRule="auto"/>
        <w:ind w:leftChars="279"/>
        <w:rPr>
          <w:rFonts w:hint="eastAsia" w:ascii="仿宋" w:hAnsi="仿宋" w:eastAsia="仿宋" w:cs="仿宋"/>
          <w:color w:val="000000"/>
          <w:sz w:val="24"/>
          <w:szCs w:val="24"/>
          <w:lang w:val="en-US" w:eastAsia="zh-CN"/>
        </w:rPr>
      </w:pP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致:</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公司</w:t>
      </w: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本承诺书作为我方对贵公司</w:t>
      </w:r>
      <w:r>
        <w:rPr>
          <w:rFonts w:hint="eastAsia" w:ascii="仿宋" w:hAnsi="仿宋" w:eastAsia="仿宋" w:cs="仿宋"/>
          <w:spacing w:val="2"/>
          <w:sz w:val="24"/>
          <w:szCs w:val="24"/>
          <w:u w:val="single"/>
        </w:rPr>
        <w:t>（</w:t>
      </w:r>
      <w:r>
        <w:rPr>
          <w:rFonts w:hint="eastAsia" w:ascii="仿宋" w:hAnsi="仿宋" w:eastAsia="仿宋" w:cs="仿宋"/>
          <w:b/>
          <w:spacing w:val="2"/>
          <w:sz w:val="24"/>
          <w:szCs w:val="24"/>
          <w:u w:val="single"/>
        </w:rPr>
        <w:t>项目名称</w:t>
      </w:r>
      <w:r>
        <w:rPr>
          <w:rFonts w:hint="eastAsia" w:ascii="仿宋" w:hAnsi="仿宋" w:eastAsia="仿宋" w:cs="仿宋"/>
          <w:spacing w:val="2"/>
          <w:sz w:val="24"/>
          <w:szCs w:val="24"/>
          <w:u w:val="single"/>
        </w:rPr>
        <w:t>）</w:t>
      </w:r>
      <w:r>
        <w:rPr>
          <w:rFonts w:hint="eastAsia" w:ascii="仿宋" w:hAnsi="仿宋" w:eastAsia="仿宋" w:cs="仿宋"/>
          <w:spacing w:val="2"/>
          <w:sz w:val="24"/>
          <w:szCs w:val="24"/>
          <w:lang w:val="en-US" w:eastAsia="zh-CN"/>
        </w:rPr>
        <w:t xml:space="preserve"> 项目(项编号</w:t>
      </w:r>
      <w:r>
        <w:rPr>
          <w:rFonts w:hint="eastAsia" w:ascii="仿宋" w:hAnsi="仿宋" w:eastAsia="仿宋" w:cs="仿宋"/>
          <w:spacing w:val="2"/>
          <w:sz w:val="24"/>
          <w:szCs w:val="24"/>
        </w:rPr>
        <w:t>：</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lang w:val="en-US" w:eastAsia="zh-CN"/>
        </w:rPr>
        <w:t>)所提供的供货时间保证证明。我方郑重承诺:</w:t>
      </w: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若中标，我方将严格按采购文件要求，按照采购确定的统一单价和指定的供货地点按时按质按量进行供货，满足贵方技术标准及设备使用要求，如所供产品出现不及时情况，由我方承担相应责任并接受贵公司作出的处理。</w:t>
      </w:r>
    </w:p>
    <w:p>
      <w:pPr>
        <w:spacing w:line="600" w:lineRule="exact"/>
        <w:ind w:firstLine="494" w:firstLineChars="206"/>
        <w:rPr>
          <w:rFonts w:hint="eastAsia" w:ascii="仿宋" w:hAnsi="仿宋" w:eastAsia="仿宋" w:cs="仿宋"/>
          <w:spacing w:val="2"/>
          <w:sz w:val="24"/>
          <w:szCs w:val="24"/>
          <w:lang w:val="en-US" w:eastAsia="zh-CN"/>
        </w:rPr>
      </w:pPr>
      <w:r>
        <w:rPr>
          <w:rFonts w:hint="eastAsia" w:ascii="仿宋" w:hAnsi="仿宋" w:eastAsia="仿宋" w:cs="仿宋"/>
          <w:color w:val="000000"/>
          <w:kern w:val="0"/>
          <w:sz w:val="24"/>
          <w:szCs w:val="24"/>
          <w:lang w:val="en-US" w:eastAsia="zh-CN"/>
        </w:rPr>
        <w:t>供货周期：贵公司下单日起7-15天内货物到达现场。</w:t>
      </w: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本保证书自开标日起180日内有效，如我方中标则至合同有效期满为止。</w:t>
      </w:r>
    </w:p>
    <w:p>
      <w:pPr>
        <w:spacing w:line="600" w:lineRule="exact"/>
        <w:ind w:firstLine="502" w:firstLineChars="206"/>
        <w:rPr>
          <w:rFonts w:hint="eastAsia" w:ascii="仿宋" w:hAnsi="仿宋" w:eastAsia="仿宋" w:cs="仿宋"/>
          <w:spacing w:val="2"/>
          <w:sz w:val="24"/>
          <w:szCs w:val="24"/>
          <w:lang w:val="en-US" w:eastAsia="zh-CN"/>
        </w:rPr>
      </w:pPr>
    </w:p>
    <w:p>
      <w:pPr>
        <w:spacing w:line="600" w:lineRule="exact"/>
        <w:ind w:firstLine="502" w:firstLineChars="206"/>
        <w:rPr>
          <w:rFonts w:hint="eastAsia" w:ascii="仿宋" w:hAnsi="仿宋" w:eastAsia="仿宋" w:cs="仿宋"/>
          <w:spacing w:val="2"/>
          <w:sz w:val="24"/>
          <w:szCs w:val="24"/>
          <w:lang w:val="en-US" w:eastAsia="zh-CN"/>
        </w:rPr>
      </w:pPr>
    </w:p>
    <w:p>
      <w:pPr>
        <w:numPr>
          <w:ilvl w:val="0"/>
          <w:numId w:val="0"/>
        </w:numPr>
        <w:snapToGrid w:val="0"/>
        <w:spacing w:line="360" w:lineRule="auto"/>
        <w:ind w:leftChars="279"/>
        <w:rPr>
          <w:rFonts w:hint="eastAsia" w:ascii="仿宋" w:hAnsi="仿宋" w:eastAsia="仿宋" w:cs="仿宋"/>
          <w:color w:val="000000"/>
          <w:sz w:val="24"/>
          <w:szCs w:val="24"/>
          <w:lang w:val="en-US" w:eastAsia="zh-CN"/>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tbl>
      <w:tblPr>
        <w:tblStyle w:val="16"/>
        <w:tblpPr w:leftFromText="180" w:rightFromText="180" w:vertAnchor="text" w:horzAnchor="page" w:tblpX="3606" w:tblpY="240"/>
        <w:tblOverlap w:val="never"/>
        <w:tblW w:w="6905" w:type="dxa"/>
        <w:tblInd w:w="0" w:type="dxa"/>
        <w:tblLayout w:type="fixed"/>
        <w:tblCellMar>
          <w:top w:w="0" w:type="dxa"/>
          <w:left w:w="108" w:type="dxa"/>
          <w:bottom w:w="0" w:type="dxa"/>
          <w:right w:w="108" w:type="dxa"/>
        </w:tblCellMar>
      </w:tblPr>
      <w:tblGrid>
        <w:gridCol w:w="6905"/>
      </w:tblGrid>
      <w:tr>
        <w:tblPrEx>
          <w:tblCellMar>
            <w:top w:w="0" w:type="dxa"/>
            <w:left w:w="108" w:type="dxa"/>
            <w:bottom w:w="0" w:type="dxa"/>
            <w:right w:w="108" w:type="dxa"/>
          </w:tblCellMar>
        </w:tblPrEx>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报价人名称（加盖公章）：</w:t>
            </w:r>
            <w:r>
              <w:rPr>
                <w:rFonts w:hint="eastAsia" w:ascii="仿宋" w:hAnsi="仿宋" w:eastAsia="仿宋" w:cs="仿宋"/>
                <w:sz w:val="24"/>
                <w:szCs w:val="24"/>
                <w:u w:val="single"/>
              </w:rPr>
              <w:t xml:space="preserve">                             </w:t>
            </w:r>
          </w:p>
        </w:tc>
      </w:tr>
      <w:tr>
        <w:tblPrEx>
          <w:tblCellMar>
            <w:top w:w="0" w:type="dxa"/>
            <w:left w:w="108" w:type="dxa"/>
            <w:bottom w:w="0" w:type="dxa"/>
            <w:right w:w="108" w:type="dxa"/>
          </w:tblCellMar>
        </w:tblPrEx>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报价人法定代表人或受委托人（签名或盖私章）：</w:t>
            </w:r>
            <w:r>
              <w:rPr>
                <w:rFonts w:hint="eastAsia" w:ascii="仿宋" w:hAnsi="仿宋" w:eastAsia="仿宋" w:cs="仿宋"/>
                <w:sz w:val="24"/>
                <w:szCs w:val="24"/>
                <w:u w:val="single"/>
              </w:rPr>
              <w:t xml:space="preserve">         </w:t>
            </w:r>
          </w:p>
        </w:tc>
      </w:tr>
      <w:tr>
        <w:tblPrEx>
          <w:tblCellMar>
            <w:top w:w="0" w:type="dxa"/>
            <w:left w:w="108" w:type="dxa"/>
            <w:bottom w:w="0" w:type="dxa"/>
            <w:right w:w="108" w:type="dxa"/>
          </w:tblCellMar>
        </w:tblPrEx>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年           月            日</w:t>
            </w:r>
          </w:p>
        </w:tc>
      </w:tr>
    </w:tbl>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color w:val="000000"/>
          <w:sz w:val="24"/>
          <w:szCs w:val="24"/>
        </w:rPr>
      </w:pPr>
      <w:r>
        <w:rPr>
          <w:rFonts w:hint="eastAsia" w:ascii="仿宋" w:hAnsi="仿宋" w:eastAsia="仿宋" w:cs="仿宋"/>
          <w:b/>
          <w:color w:val="000000"/>
          <w:kern w:val="0"/>
          <w:sz w:val="24"/>
          <w:szCs w:val="24"/>
        </w:rPr>
        <w:t>附件</w:t>
      </w:r>
      <w:r>
        <w:rPr>
          <w:rFonts w:hint="eastAsia" w:ascii="仿宋" w:hAnsi="仿宋" w:eastAsia="仿宋" w:cs="仿宋"/>
          <w:b/>
          <w:color w:val="000000"/>
          <w:kern w:val="0"/>
          <w:sz w:val="24"/>
          <w:szCs w:val="24"/>
          <w:lang w:val="en-US" w:eastAsia="zh-CN"/>
        </w:rPr>
        <w:t>11</w:t>
      </w:r>
      <w:r>
        <w:rPr>
          <w:rFonts w:hint="eastAsia" w:ascii="仿宋" w:hAnsi="仿宋" w:eastAsia="仿宋" w:cs="仿宋"/>
          <w:b/>
          <w:color w:val="000000"/>
          <w:kern w:val="0"/>
          <w:sz w:val="24"/>
          <w:szCs w:val="24"/>
        </w:rPr>
        <w:t>：</w:t>
      </w:r>
    </w:p>
    <w:p>
      <w:pPr>
        <w:spacing w:after="312" w:afterLines="100" w:line="360" w:lineRule="auto"/>
        <w:jc w:val="center"/>
        <w:rPr>
          <w:rFonts w:hint="eastAsia" w:ascii="仿宋" w:hAnsi="仿宋" w:eastAsia="仿宋" w:cs="仿宋"/>
          <w:b/>
          <w:spacing w:val="20"/>
          <w:sz w:val="24"/>
          <w:szCs w:val="24"/>
        </w:rPr>
      </w:pPr>
      <w:r>
        <w:rPr>
          <w:rFonts w:hint="eastAsia" w:ascii="仿宋" w:hAnsi="仿宋" w:eastAsia="仿宋" w:cs="仿宋"/>
          <w:b/>
          <w:spacing w:val="20"/>
          <w:sz w:val="24"/>
          <w:szCs w:val="24"/>
        </w:rPr>
        <w:t>承诺书</w:t>
      </w:r>
    </w:p>
    <w:p>
      <w:pPr>
        <w:spacing w:line="600" w:lineRule="exact"/>
        <w:ind w:firstLine="502" w:firstLineChars="206"/>
        <w:rPr>
          <w:rFonts w:hint="eastAsia" w:ascii="仿宋" w:hAnsi="仿宋" w:eastAsia="仿宋" w:cs="仿宋"/>
          <w:spacing w:val="2"/>
          <w:sz w:val="21"/>
          <w:szCs w:val="21"/>
        </w:rPr>
      </w:pPr>
      <w:bookmarkStart w:id="49" w:name="_Toc313537922"/>
      <w:r>
        <w:rPr>
          <w:rFonts w:hint="eastAsia" w:ascii="仿宋" w:hAnsi="仿宋" w:eastAsia="仿宋" w:cs="仿宋"/>
          <w:spacing w:val="2"/>
          <w:sz w:val="24"/>
          <w:szCs w:val="24"/>
        </w:rPr>
        <w:t>我方已完整阅读了</w:t>
      </w:r>
      <w:r>
        <w:rPr>
          <w:rFonts w:hint="eastAsia" w:ascii="仿宋" w:hAnsi="仿宋" w:eastAsia="仿宋" w:cs="仿宋"/>
          <w:spacing w:val="2"/>
          <w:sz w:val="24"/>
          <w:szCs w:val="24"/>
          <w:u w:val="single"/>
        </w:rPr>
        <w:t xml:space="preserve">    （</w:t>
      </w:r>
      <w:r>
        <w:rPr>
          <w:rFonts w:hint="eastAsia" w:ascii="仿宋" w:hAnsi="仿宋" w:eastAsia="仿宋" w:cs="仿宋"/>
          <w:b/>
          <w:spacing w:val="2"/>
          <w:sz w:val="24"/>
          <w:szCs w:val="24"/>
          <w:u w:val="single"/>
        </w:rPr>
        <w:t>项目名称</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项目（项目编号：</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rPr>
        <w:t>）采购文件的所有内容（包括澄清，以及所有已提供的参考资料和有关附件），并完全理解上述文件所表达的意思，该项目递交报价文件时间截止后，我方承诺不再对上述文件内容进行询问或质疑。</w:t>
      </w:r>
      <w:bookmarkEnd w:id="49"/>
      <w:r>
        <w:rPr>
          <w:rFonts w:hint="eastAsia" w:ascii="仿宋" w:hAnsi="仿宋" w:eastAsia="仿宋" w:cs="仿宋"/>
          <w:spacing w:val="2"/>
          <w:sz w:val="24"/>
          <w:szCs w:val="24"/>
        </w:rPr>
        <w:cr/>
      </w:r>
    </w:p>
    <w:p>
      <w:pPr>
        <w:spacing w:line="600" w:lineRule="exact"/>
        <w:rPr>
          <w:rFonts w:hint="eastAsia" w:ascii="仿宋" w:hAnsi="仿宋" w:eastAsia="仿宋" w:cs="仿宋"/>
          <w:spacing w:val="2"/>
          <w:sz w:val="21"/>
          <w:szCs w:val="21"/>
        </w:rPr>
      </w:pPr>
    </w:p>
    <w:p>
      <w:pPr>
        <w:spacing w:line="360" w:lineRule="auto"/>
        <w:rPr>
          <w:rFonts w:hint="eastAsia" w:ascii="仿宋" w:hAnsi="仿宋" w:eastAsia="仿宋" w:cs="仿宋"/>
          <w:sz w:val="21"/>
          <w:szCs w:val="21"/>
        </w:rPr>
      </w:pPr>
    </w:p>
    <w:tbl>
      <w:tblPr>
        <w:tblStyle w:val="16"/>
        <w:tblW w:w="9707" w:type="dxa"/>
        <w:tblInd w:w="0" w:type="dxa"/>
        <w:tblLayout w:type="fixed"/>
        <w:tblCellMar>
          <w:top w:w="0" w:type="dxa"/>
          <w:left w:w="108" w:type="dxa"/>
          <w:bottom w:w="0" w:type="dxa"/>
          <w:right w:w="108" w:type="dxa"/>
        </w:tblCellMar>
      </w:tblPr>
      <w:tblGrid>
        <w:gridCol w:w="2802"/>
        <w:gridCol w:w="6905"/>
      </w:tblGrid>
      <w:tr>
        <w:tblPrEx>
          <w:tblCellMar>
            <w:top w:w="0" w:type="dxa"/>
            <w:left w:w="108" w:type="dxa"/>
            <w:bottom w:w="0" w:type="dxa"/>
            <w:right w:w="108" w:type="dxa"/>
          </w:tblCellMar>
        </w:tblPrEx>
        <w:tc>
          <w:tcPr>
            <w:tcW w:w="2802" w:type="dxa"/>
            <w:noWrap w:val="0"/>
            <w:vAlign w:val="top"/>
          </w:tcPr>
          <w:p>
            <w:pPr>
              <w:spacing w:line="360" w:lineRule="auto"/>
              <w:rPr>
                <w:rFonts w:hint="eastAsia" w:ascii="仿宋" w:hAnsi="仿宋" w:eastAsia="仿宋" w:cs="仿宋"/>
                <w:sz w:val="24"/>
                <w:szCs w:val="24"/>
              </w:rPr>
            </w:pPr>
          </w:p>
        </w:tc>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报价人名称（加盖公章）：</w:t>
            </w:r>
            <w:r>
              <w:rPr>
                <w:rFonts w:hint="eastAsia" w:ascii="仿宋" w:hAnsi="仿宋" w:eastAsia="仿宋" w:cs="仿宋"/>
                <w:sz w:val="24"/>
                <w:szCs w:val="24"/>
                <w:u w:val="single"/>
              </w:rPr>
              <w:t xml:space="preserve">                             </w:t>
            </w:r>
          </w:p>
        </w:tc>
      </w:tr>
      <w:tr>
        <w:tblPrEx>
          <w:tblCellMar>
            <w:top w:w="0" w:type="dxa"/>
            <w:left w:w="108" w:type="dxa"/>
            <w:bottom w:w="0" w:type="dxa"/>
            <w:right w:w="108" w:type="dxa"/>
          </w:tblCellMar>
        </w:tblPrEx>
        <w:tc>
          <w:tcPr>
            <w:tcW w:w="2802" w:type="dxa"/>
            <w:noWrap w:val="0"/>
            <w:vAlign w:val="top"/>
          </w:tcPr>
          <w:p>
            <w:pPr>
              <w:spacing w:line="360" w:lineRule="auto"/>
              <w:rPr>
                <w:rFonts w:hint="eastAsia" w:ascii="仿宋" w:hAnsi="仿宋" w:eastAsia="仿宋" w:cs="仿宋"/>
                <w:sz w:val="24"/>
                <w:szCs w:val="24"/>
              </w:rPr>
            </w:pPr>
          </w:p>
        </w:tc>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报价人法定代表人或受委托人（签名或盖私章）：</w:t>
            </w:r>
            <w:r>
              <w:rPr>
                <w:rFonts w:hint="eastAsia" w:ascii="仿宋" w:hAnsi="仿宋" w:eastAsia="仿宋" w:cs="仿宋"/>
                <w:sz w:val="24"/>
                <w:szCs w:val="24"/>
                <w:u w:val="single"/>
              </w:rPr>
              <w:t xml:space="preserve">         </w:t>
            </w:r>
          </w:p>
        </w:tc>
      </w:tr>
      <w:tr>
        <w:tblPrEx>
          <w:tblCellMar>
            <w:top w:w="0" w:type="dxa"/>
            <w:left w:w="108" w:type="dxa"/>
            <w:bottom w:w="0" w:type="dxa"/>
            <w:right w:w="108" w:type="dxa"/>
          </w:tblCellMar>
        </w:tblPrEx>
        <w:tc>
          <w:tcPr>
            <w:tcW w:w="2802" w:type="dxa"/>
            <w:noWrap w:val="0"/>
            <w:vAlign w:val="top"/>
          </w:tcPr>
          <w:p>
            <w:pPr>
              <w:spacing w:line="360" w:lineRule="auto"/>
              <w:rPr>
                <w:rFonts w:hint="eastAsia" w:ascii="仿宋" w:hAnsi="仿宋" w:eastAsia="仿宋" w:cs="仿宋"/>
                <w:sz w:val="24"/>
                <w:szCs w:val="24"/>
              </w:rPr>
            </w:pPr>
          </w:p>
        </w:tc>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年           月            日</w:t>
            </w:r>
          </w:p>
        </w:tc>
      </w:tr>
    </w:tbl>
    <w:p>
      <w:pPr>
        <w:spacing w:line="360" w:lineRule="auto"/>
        <w:ind w:right="480" w:firstLine="4200" w:firstLineChars="2000"/>
        <w:rPr>
          <w:rFonts w:hint="eastAsia" w:ascii="仿宋" w:hAnsi="仿宋" w:eastAsia="仿宋" w:cs="仿宋"/>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ind w:firstLine="422" w:firstLineChars="200"/>
        <w:jc w:val="center"/>
        <w:rPr>
          <w:rFonts w:hint="eastAsia" w:ascii="仿宋" w:hAnsi="仿宋" w:eastAsia="仿宋" w:cs="仿宋"/>
          <w:b/>
          <w:bCs/>
          <w:color w:val="000000"/>
          <w:sz w:val="21"/>
          <w:szCs w:val="21"/>
        </w:rPr>
      </w:pPr>
    </w:p>
    <w:p>
      <w:pPr>
        <w:spacing w:line="360" w:lineRule="auto"/>
        <w:jc w:val="left"/>
        <w:rPr>
          <w:rFonts w:hint="eastAsia" w:ascii="仿宋" w:hAnsi="仿宋" w:eastAsia="仿宋" w:cs="仿宋"/>
          <w:b/>
          <w:bCs/>
          <w:color w:val="000000"/>
          <w:sz w:val="21"/>
          <w:szCs w:val="21"/>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p>
    <w:p>
      <w:pPr>
        <w:numPr>
          <w:ilvl w:val="0"/>
          <w:numId w:val="0"/>
        </w:numPr>
        <w:snapToGrid w:val="0"/>
        <w:spacing w:line="360" w:lineRule="auto"/>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附件</w:t>
      </w:r>
      <w:r>
        <w:rPr>
          <w:rFonts w:hint="eastAsia" w:ascii="仿宋" w:hAnsi="仿宋" w:eastAsia="仿宋" w:cs="仿宋"/>
          <w:b/>
          <w:color w:val="000000"/>
          <w:kern w:val="0"/>
          <w:sz w:val="24"/>
          <w:szCs w:val="24"/>
          <w:lang w:val="en-US" w:eastAsia="zh-CN"/>
        </w:rPr>
        <w:t>12</w:t>
      </w:r>
      <w:r>
        <w:rPr>
          <w:rFonts w:hint="eastAsia" w:ascii="仿宋" w:hAnsi="仿宋" w:eastAsia="仿宋" w:cs="仿宋"/>
          <w:b/>
          <w:color w:val="000000"/>
          <w:kern w:val="0"/>
          <w:sz w:val="24"/>
          <w:szCs w:val="24"/>
        </w:rPr>
        <w:t>：其他资料（如有）</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（2）其他辅助说明资料。（如有，附相关证明资料复印件，格式自定）</w:t>
      </w:r>
    </w:p>
    <w:p>
      <w:pPr>
        <w:tabs>
          <w:tab w:val="left" w:pos="840"/>
        </w:tabs>
        <w:spacing w:line="360" w:lineRule="auto"/>
        <w:ind w:firstLine="424" w:firstLineChars="202"/>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备注：上述投标人提供的相关辅助说明材料，均须加盖企业法人公章；如以联合体形式投标的，由联合体牵头人加盖公司法人公章。</w:t>
      </w:r>
    </w:p>
    <w:p>
      <w:pPr>
        <w:widowControl/>
        <w:snapToGrid w:val="0"/>
        <w:spacing w:line="360" w:lineRule="auto"/>
        <w:ind w:firstLine="527" w:firstLineChars="250"/>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br w:type="page"/>
      </w: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527" w:firstLineChars="250"/>
        <w:jc w:val="center"/>
        <w:rPr>
          <w:rFonts w:hint="eastAsia" w:ascii="仿宋" w:hAnsi="仿宋" w:eastAsia="仿宋" w:cs="仿宋"/>
          <w:b/>
          <w:bCs/>
          <w:color w:val="000000"/>
          <w:sz w:val="21"/>
          <w:szCs w:val="21"/>
        </w:rPr>
      </w:pPr>
    </w:p>
    <w:p>
      <w:pPr>
        <w:widowControl/>
        <w:snapToGrid w:val="0"/>
        <w:spacing w:line="360" w:lineRule="auto"/>
        <w:ind w:firstLine="703" w:firstLineChars="250"/>
        <w:jc w:val="center"/>
        <w:rPr>
          <w:rFonts w:hint="eastAsia" w:ascii="仿宋" w:hAnsi="仿宋" w:eastAsia="仿宋" w:cs="仿宋"/>
          <w:b/>
          <w:bCs/>
          <w:sz w:val="28"/>
          <w:szCs w:val="28"/>
        </w:rPr>
      </w:pPr>
    </w:p>
    <w:p>
      <w:pPr>
        <w:widowControl/>
        <w:snapToGrid w:val="0"/>
        <w:spacing w:line="360" w:lineRule="auto"/>
        <w:ind w:firstLine="703" w:firstLineChars="250"/>
        <w:jc w:val="center"/>
        <w:rPr>
          <w:rFonts w:hint="eastAsia" w:ascii="仿宋" w:hAnsi="仿宋" w:eastAsia="仿宋" w:cs="仿宋"/>
          <w:b/>
          <w:bCs/>
          <w:sz w:val="28"/>
          <w:szCs w:val="28"/>
        </w:rPr>
      </w:pPr>
    </w:p>
    <w:p>
      <w:pPr>
        <w:widowControl/>
        <w:snapToGrid w:val="0"/>
        <w:spacing w:line="360" w:lineRule="auto"/>
        <w:ind w:firstLine="703" w:firstLineChars="250"/>
        <w:jc w:val="center"/>
        <w:rPr>
          <w:rFonts w:hint="eastAsia" w:ascii="仿宋" w:hAnsi="仿宋" w:eastAsia="仿宋" w:cs="仿宋"/>
          <w:b/>
          <w:bCs/>
          <w:sz w:val="28"/>
          <w:szCs w:val="28"/>
        </w:rPr>
      </w:pPr>
    </w:p>
    <w:p>
      <w:pPr>
        <w:widowControl/>
        <w:snapToGrid w:val="0"/>
        <w:spacing w:line="360" w:lineRule="auto"/>
        <w:ind w:firstLine="703" w:firstLineChars="250"/>
        <w:jc w:val="center"/>
        <w:rPr>
          <w:rFonts w:hint="eastAsia" w:ascii="仿宋" w:hAnsi="仿宋" w:eastAsia="仿宋" w:cs="仿宋"/>
          <w:b/>
          <w:bCs/>
          <w:sz w:val="21"/>
          <w:szCs w:val="21"/>
        </w:rPr>
      </w:pPr>
      <w:r>
        <w:rPr>
          <w:rFonts w:hint="eastAsia" w:ascii="仿宋" w:hAnsi="仿宋" w:eastAsia="仿宋" w:cs="仿宋"/>
          <w:b/>
          <w:bCs/>
          <w:sz w:val="28"/>
          <w:szCs w:val="28"/>
        </w:rPr>
        <w:t>第四部分 合同文件（格式）</w:t>
      </w:r>
    </w:p>
    <w:p>
      <w:pPr>
        <w:jc w:val="center"/>
        <w:rPr>
          <w:rFonts w:hint="eastAsia" w:ascii="仿宋" w:hAnsi="仿宋" w:eastAsia="仿宋" w:cs="仿宋"/>
          <w:b/>
          <w:bCs/>
          <w:sz w:val="21"/>
          <w:szCs w:val="21"/>
        </w:rPr>
      </w:pPr>
      <w:r>
        <w:rPr>
          <w:rFonts w:hint="eastAsia" w:ascii="仿宋" w:hAnsi="仿宋" w:eastAsia="仿宋" w:cs="仿宋"/>
          <w:b/>
          <w:bCs/>
          <w:sz w:val="21"/>
          <w:szCs w:val="21"/>
        </w:rPr>
        <w:br w:type="page"/>
      </w:r>
    </w:p>
    <w:p>
      <w:pPr>
        <w:jc w:val="center"/>
        <w:rPr>
          <w:rFonts w:hint="eastAsia" w:ascii="仿宋" w:hAnsi="仿宋" w:eastAsia="仿宋" w:cs="仿宋"/>
          <w:b/>
          <w:bCs/>
          <w:sz w:val="21"/>
          <w:szCs w:val="21"/>
        </w:rPr>
      </w:pPr>
    </w:p>
    <w:p>
      <w:pPr>
        <w:jc w:val="center"/>
        <w:rPr>
          <w:rFonts w:hint="eastAsia" w:ascii="仿宋" w:hAnsi="仿宋" w:eastAsia="仿宋" w:cs="仿宋"/>
          <w:b/>
          <w:kern w:val="1"/>
          <w:sz w:val="32"/>
          <w:szCs w:val="32"/>
          <w:lang w:eastAsia="zh-CN"/>
        </w:rPr>
      </w:pPr>
    </w:p>
    <w:p>
      <w:pPr>
        <w:jc w:val="center"/>
        <w:rPr>
          <w:rFonts w:hint="eastAsia" w:ascii="仿宋" w:hAnsi="仿宋" w:eastAsia="仿宋" w:cs="仿宋"/>
          <w:b/>
          <w:kern w:val="1"/>
          <w:sz w:val="32"/>
          <w:szCs w:val="32"/>
          <w:lang w:eastAsia="zh-CN"/>
        </w:rPr>
      </w:pPr>
    </w:p>
    <w:p>
      <w:pPr>
        <w:jc w:val="center"/>
        <w:rPr>
          <w:rFonts w:hint="eastAsia" w:ascii="仿宋" w:hAnsi="仿宋" w:eastAsia="仿宋" w:cs="仿宋"/>
          <w:b/>
          <w:kern w:val="1"/>
          <w:sz w:val="28"/>
          <w:szCs w:val="28"/>
        </w:rPr>
      </w:pPr>
      <w:r>
        <w:rPr>
          <w:rFonts w:hint="eastAsia" w:ascii="仿宋" w:hAnsi="仿宋" w:eastAsia="仿宋" w:cs="仿宋"/>
          <w:b/>
          <w:kern w:val="1"/>
          <w:sz w:val="32"/>
          <w:szCs w:val="32"/>
          <w:lang w:val="en-US" w:eastAsia="zh-CN"/>
        </w:rPr>
        <w:t>广东省东莞市城区配套物流仓储建设项目-电缆采购</w:t>
      </w:r>
      <w:r>
        <w:rPr>
          <w:rFonts w:hint="eastAsia" w:ascii="仿宋" w:hAnsi="仿宋" w:eastAsia="仿宋" w:cs="仿宋"/>
          <w:b/>
          <w:kern w:val="1"/>
          <w:sz w:val="32"/>
          <w:szCs w:val="32"/>
        </w:rPr>
        <w:t>合同</w:t>
      </w:r>
    </w:p>
    <w:p>
      <w:pPr>
        <w:spacing w:line="600" w:lineRule="auto"/>
        <w:jc w:val="center"/>
        <w:rPr>
          <w:rFonts w:hint="eastAsia" w:ascii="仿宋" w:hAnsi="仿宋" w:eastAsia="仿宋" w:cs="仿宋"/>
          <w:b/>
          <w:sz w:val="28"/>
          <w:szCs w:val="28"/>
        </w:rPr>
      </w:pPr>
    </w:p>
    <w:p>
      <w:pPr>
        <w:spacing w:line="600" w:lineRule="auto"/>
        <w:jc w:val="center"/>
        <w:rPr>
          <w:rFonts w:hint="eastAsia" w:ascii="仿宋" w:hAnsi="仿宋" w:eastAsia="仿宋" w:cs="仿宋"/>
          <w:sz w:val="28"/>
          <w:szCs w:val="28"/>
        </w:rPr>
      </w:pPr>
    </w:p>
    <w:p>
      <w:pPr>
        <w:spacing w:line="600" w:lineRule="auto"/>
        <w:jc w:val="center"/>
        <w:rPr>
          <w:rFonts w:hint="eastAsia" w:ascii="仿宋" w:hAnsi="仿宋" w:eastAsia="仿宋" w:cs="仿宋"/>
          <w:sz w:val="28"/>
          <w:szCs w:val="28"/>
        </w:rPr>
      </w:pPr>
    </w:p>
    <w:p>
      <w:pPr>
        <w:spacing w:line="600" w:lineRule="auto"/>
        <w:jc w:val="center"/>
        <w:rPr>
          <w:rFonts w:hint="eastAsia" w:ascii="仿宋" w:hAnsi="仿宋" w:eastAsia="仿宋" w:cs="仿宋"/>
          <w:sz w:val="28"/>
          <w:szCs w:val="28"/>
        </w:rPr>
      </w:pPr>
    </w:p>
    <w:p>
      <w:pPr>
        <w:spacing w:line="600" w:lineRule="auto"/>
        <w:ind w:firstLine="1446" w:firstLineChars="600"/>
        <w:jc w:val="both"/>
        <w:rPr>
          <w:rFonts w:hint="eastAsia" w:ascii="仿宋" w:hAnsi="仿宋" w:eastAsia="仿宋" w:cs="仿宋"/>
          <w:b/>
          <w:snapToGrid w:val="0"/>
          <w:sz w:val="24"/>
          <w:szCs w:val="24"/>
          <w:u w:val="single"/>
        </w:rPr>
      </w:pPr>
      <w:r>
        <w:rPr>
          <w:rFonts w:hint="eastAsia" w:ascii="仿宋" w:hAnsi="仿宋" w:eastAsia="仿宋" w:cs="仿宋"/>
          <w:b/>
          <w:snapToGrid w:val="0"/>
          <w:sz w:val="24"/>
          <w:szCs w:val="24"/>
        </w:rPr>
        <w:t>工程名称：</w:t>
      </w:r>
      <w:r>
        <w:rPr>
          <w:rFonts w:hint="eastAsia" w:ascii="仿宋" w:hAnsi="仿宋" w:eastAsia="仿宋" w:cs="仿宋"/>
          <w:snapToGrid w:val="0"/>
          <w:sz w:val="24"/>
          <w:szCs w:val="24"/>
          <w:u w:val="single"/>
        </w:rPr>
        <w:t xml:space="preserve">  </w:t>
      </w:r>
      <w:r>
        <w:rPr>
          <w:rFonts w:hint="eastAsia" w:ascii="仿宋" w:hAnsi="仿宋" w:eastAsia="仿宋" w:cs="仿宋"/>
          <w:b/>
          <w:snapToGrid w:val="0"/>
          <w:sz w:val="24"/>
          <w:szCs w:val="24"/>
          <w:u w:val="single"/>
          <w:lang w:val="en-US" w:eastAsia="zh-CN"/>
        </w:rPr>
        <w:t>广东省东莞市城区配套物流仓储建设项目</w:t>
      </w:r>
    </w:p>
    <w:p>
      <w:pPr>
        <w:widowControl/>
        <w:snapToGrid w:val="0"/>
        <w:spacing w:line="360" w:lineRule="auto"/>
        <w:ind w:left="0" w:leftChars="0" w:firstLine="422" w:firstLineChars="175"/>
        <w:rPr>
          <w:rFonts w:hint="eastAsia" w:ascii="仿宋" w:hAnsi="仿宋" w:eastAsia="仿宋" w:cs="仿宋"/>
          <w:b/>
          <w:snapToGrid w:val="0"/>
          <w:sz w:val="24"/>
          <w:szCs w:val="24"/>
          <w:lang w:val="en-US" w:eastAsia="zh-CN"/>
        </w:rPr>
      </w:pPr>
      <w:r>
        <w:rPr>
          <w:rFonts w:hint="eastAsia" w:ascii="仿宋" w:hAnsi="仿宋" w:eastAsia="仿宋" w:cs="仿宋"/>
          <w:b/>
          <w:snapToGrid w:val="0"/>
          <w:sz w:val="24"/>
          <w:szCs w:val="24"/>
          <w:lang w:val="en-US" w:eastAsia="zh-CN"/>
        </w:rPr>
        <w:t xml:space="preserve">        </w:t>
      </w:r>
    </w:p>
    <w:p>
      <w:pPr>
        <w:widowControl/>
        <w:snapToGrid w:val="0"/>
        <w:spacing w:line="360" w:lineRule="auto"/>
        <w:ind w:left="0" w:leftChars="0" w:firstLine="1385" w:firstLineChars="575"/>
        <w:rPr>
          <w:rFonts w:hint="eastAsia" w:ascii="仿宋" w:hAnsi="仿宋" w:eastAsia="仿宋" w:cs="仿宋"/>
          <w:b/>
          <w:snapToGrid w:val="0"/>
          <w:sz w:val="24"/>
          <w:szCs w:val="24"/>
          <w:u w:val="single"/>
        </w:rPr>
      </w:pPr>
      <w:r>
        <w:rPr>
          <w:rFonts w:hint="eastAsia" w:ascii="仿宋" w:hAnsi="仿宋" w:eastAsia="仿宋" w:cs="仿宋"/>
          <w:b/>
          <w:snapToGrid w:val="0"/>
          <w:sz w:val="24"/>
          <w:szCs w:val="24"/>
        </w:rPr>
        <w:t>工程地点：</w:t>
      </w:r>
      <w:r>
        <w:rPr>
          <w:rFonts w:hint="eastAsia" w:ascii="仿宋" w:hAnsi="仿宋" w:eastAsia="仿宋" w:cs="仿宋"/>
          <w:b/>
          <w:snapToGrid w:val="0"/>
          <w:sz w:val="24"/>
          <w:szCs w:val="24"/>
          <w:u w:val="single"/>
        </w:rPr>
        <w:t xml:space="preserve">   东莞市寮步镇上屯村</w:t>
      </w:r>
    </w:p>
    <w:p>
      <w:pPr>
        <w:spacing w:line="600" w:lineRule="auto"/>
        <w:ind w:firstLine="480" w:firstLineChars="200"/>
        <w:jc w:val="center"/>
        <w:rPr>
          <w:rFonts w:hint="eastAsia" w:ascii="仿宋" w:hAnsi="仿宋" w:eastAsia="仿宋" w:cs="仿宋"/>
          <w:sz w:val="24"/>
          <w:szCs w:val="24"/>
        </w:rPr>
      </w:pPr>
    </w:p>
    <w:p>
      <w:pPr>
        <w:spacing w:line="600" w:lineRule="auto"/>
        <w:ind w:firstLine="1446" w:firstLineChars="600"/>
        <w:jc w:val="both"/>
        <w:rPr>
          <w:rFonts w:hint="eastAsia" w:ascii="仿宋" w:hAnsi="仿宋" w:eastAsia="仿宋" w:cs="仿宋"/>
          <w:b/>
          <w:bCs/>
          <w:spacing w:val="-20"/>
          <w:sz w:val="24"/>
          <w:szCs w:val="24"/>
        </w:rPr>
      </w:pPr>
      <w:r>
        <w:rPr>
          <w:rFonts w:hint="eastAsia" w:ascii="仿宋" w:hAnsi="仿宋" w:eastAsia="仿宋" w:cs="仿宋"/>
          <w:b/>
          <w:snapToGrid w:val="0"/>
          <w:sz w:val="24"/>
          <w:szCs w:val="24"/>
        </w:rPr>
        <w:t>需方</w:t>
      </w:r>
      <w:r>
        <w:rPr>
          <w:rFonts w:hint="eastAsia" w:ascii="仿宋" w:hAnsi="仿宋" w:eastAsia="仿宋" w:cs="仿宋"/>
          <w:b/>
          <w:bCs/>
          <w:sz w:val="24"/>
          <w:szCs w:val="24"/>
        </w:rPr>
        <w:t>(以下称甲方)</w:t>
      </w:r>
      <w:r>
        <w:rPr>
          <w:rFonts w:hint="eastAsia" w:ascii="仿宋" w:hAnsi="仿宋" w:eastAsia="仿宋" w:cs="仿宋"/>
          <w:b/>
          <w:snapToGrid w:val="0"/>
          <w:sz w:val="24"/>
          <w:szCs w:val="24"/>
        </w:rPr>
        <w:t>：</w:t>
      </w:r>
      <w:r>
        <w:rPr>
          <w:rFonts w:hint="eastAsia" w:ascii="仿宋" w:hAnsi="仿宋" w:eastAsia="仿宋" w:cs="仿宋"/>
          <w:b/>
          <w:snapToGrid w:val="0"/>
          <w:sz w:val="24"/>
          <w:szCs w:val="24"/>
          <w:u w:val="single"/>
        </w:rPr>
        <w:t xml:space="preserve"> 东莞市莞城建筑工程有限公司</w:t>
      </w:r>
    </w:p>
    <w:p>
      <w:pPr>
        <w:spacing w:line="600" w:lineRule="auto"/>
        <w:ind w:right="172" w:rightChars="82" w:firstLine="1446" w:firstLineChars="600"/>
        <w:jc w:val="both"/>
        <w:rPr>
          <w:rFonts w:hint="eastAsia" w:ascii="仿宋" w:hAnsi="仿宋" w:eastAsia="仿宋" w:cs="仿宋"/>
          <w:b/>
          <w:snapToGrid w:val="0"/>
          <w:sz w:val="24"/>
          <w:szCs w:val="24"/>
          <w:u w:val="single"/>
        </w:rPr>
      </w:pPr>
      <w:bookmarkStart w:id="50" w:name="_Toc306782767"/>
      <w:r>
        <w:rPr>
          <w:rFonts w:hint="eastAsia" w:ascii="仿宋" w:hAnsi="仿宋" w:eastAsia="仿宋" w:cs="仿宋"/>
          <w:b/>
          <w:snapToGrid w:val="0"/>
          <w:sz w:val="24"/>
          <w:szCs w:val="24"/>
        </w:rPr>
        <w:t>供方</w:t>
      </w:r>
      <w:r>
        <w:rPr>
          <w:rFonts w:hint="eastAsia" w:ascii="仿宋" w:hAnsi="仿宋" w:eastAsia="仿宋" w:cs="仿宋"/>
          <w:b/>
          <w:bCs/>
          <w:sz w:val="24"/>
          <w:szCs w:val="24"/>
        </w:rPr>
        <w:t>(以下称乙方)</w:t>
      </w:r>
      <w:r>
        <w:rPr>
          <w:rFonts w:hint="eastAsia" w:ascii="仿宋" w:hAnsi="仿宋" w:eastAsia="仿宋" w:cs="仿宋"/>
          <w:b/>
          <w:snapToGrid w:val="0"/>
          <w:sz w:val="24"/>
          <w:szCs w:val="24"/>
        </w:rPr>
        <w:t>：</w:t>
      </w:r>
      <w:bookmarkEnd w:id="50"/>
    </w:p>
    <w:p>
      <w:pPr>
        <w:spacing w:line="600" w:lineRule="auto"/>
        <w:ind w:firstLine="480" w:firstLineChars="200"/>
        <w:jc w:val="center"/>
        <w:rPr>
          <w:rFonts w:hint="eastAsia" w:ascii="仿宋" w:hAnsi="仿宋" w:eastAsia="仿宋" w:cs="仿宋"/>
          <w:sz w:val="24"/>
          <w:szCs w:val="24"/>
        </w:rPr>
      </w:pPr>
    </w:p>
    <w:p>
      <w:pPr>
        <w:spacing w:line="600" w:lineRule="auto"/>
        <w:ind w:firstLine="1446" w:firstLineChars="600"/>
        <w:jc w:val="both"/>
        <w:rPr>
          <w:rFonts w:hint="eastAsia" w:ascii="仿宋" w:hAnsi="仿宋" w:eastAsia="仿宋" w:cs="仿宋"/>
          <w:b/>
          <w:snapToGrid w:val="0"/>
          <w:sz w:val="24"/>
          <w:szCs w:val="24"/>
          <w:u w:val="single"/>
        </w:rPr>
      </w:pPr>
      <w:bookmarkStart w:id="51" w:name="_Toc306782768"/>
      <w:r>
        <w:rPr>
          <w:rFonts w:hint="eastAsia" w:ascii="仿宋" w:hAnsi="仿宋" w:eastAsia="仿宋" w:cs="仿宋"/>
          <w:b/>
          <w:snapToGrid w:val="0"/>
          <w:sz w:val="24"/>
          <w:szCs w:val="24"/>
        </w:rPr>
        <w:t>签约地点：</w:t>
      </w:r>
      <w:bookmarkEnd w:id="51"/>
      <w:r>
        <w:rPr>
          <w:rFonts w:hint="eastAsia" w:ascii="仿宋" w:hAnsi="仿宋" w:eastAsia="仿宋" w:cs="仿宋"/>
          <w:snapToGrid w:val="0"/>
          <w:sz w:val="24"/>
          <w:szCs w:val="24"/>
          <w:u w:val="single"/>
        </w:rPr>
        <w:t xml:space="preserve">  </w:t>
      </w:r>
      <w:r>
        <w:rPr>
          <w:rFonts w:hint="eastAsia" w:ascii="仿宋" w:hAnsi="仿宋" w:eastAsia="仿宋" w:cs="仿宋"/>
          <w:b/>
          <w:snapToGrid w:val="0"/>
          <w:sz w:val="24"/>
          <w:szCs w:val="24"/>
          <w:u w:val="single"/>
        </w:rPr>
        <w:t>东莞市南城</w:t>
      </w:r>
    </w:p>
    <w:p>
      <w:pPr>
        <w:spacing w:line="600" w:lineRule="auto"/>
        <w:ind w:firstLine="1446" w:firstLineChars="600"/>
        <w:jc w:val="both"/>
        <w:rPr>
          <w:rFonts w:hint="eastAsia" w:ascii="仿宋" w:hAnsi="仿宋" w:eastAsia="仿宋" w:cs="仿宋"/>
          <w:b/>
          <w:snapToGrid w:val="0"/>
          <w:sz w:val="24"/>
          <w:szCs w:val="24"/>
          <w:u w:val="single"/>
        </w:rPr>
      </w:pPr>
      <w:r>
        <w:rPr>
          <w:rFonts w:hint="eastAsia" w:ascii="仿宋" w:hAnsi="仿宋" w:eastAsia="仿宋" w:cs="仿宋"/>
          <w:b/>
          <w:snapToGrid w:val="0"/>
          <w:sz w:val="24"/>
          <w:szCs w:val="24"/>
        </w:rPr>
        <w:t>签约时间：</w:t>
      </w:r>
      <w:r>
        <w:rPr>
          <w:rFonts w:hint="eastAsia" w:ascii="仿宋" w:hAnsi="仿宋" w:eastAsia="仿宋" w:cs="仿宋"/>
          <w:snapToGrid w:val="0"/>
          <w:sz w:val="24"/>
          <w:szCs w:val="24"/>
          <w:u w:val="single"/>
        </w:rPr>
        <w:t xml:space="preserve">  </w:t>
      </w:r>
      <w:r>
        <w:rPr>
          <w:rFonts w:hint="eastAsia" w:ascii="仿宋" w:hAnsi="仿宋" w:eastAsia="仿宋" w:cs="仿宋"/>
          <w:b/>
          <w:snapToGrid w:val="0"/>
          <w:sz w:val="24"/>
          <w:szCs w:val="24"/>
          <w:u w:val="single"/>
        </w:rPr>
        <w:t>202</w:t>
      </w:r>
      <w:r>
        <w:rPr>
          <w:rFonts w:hint="eastAsia" w:ascii="仿宋" w:hAnsi="仿宋" w:eastAsia="仿宋" w:cs="仿宋"/>
          <w:b/>
          <w:snapToGrid w:val="0"/>
          <w:sz w:val="24"/>
          <w:szCs w:val="24"/>
          <w:u w:val="single"/>
          <w:lang w:val="en-US" w:eastAsia="zh-CN"/>
        </w:rPr>
        <w:t>3</w:t>
      </w:r>
      <w:r>
        <w:rPr>
          <w:rFonts w:hint="eastAsia" w:ascii="仿宋" w:hAnsi="仿宋" w:eastAsia="仿宋" w:cs="仿宋"/>
          <w:b/>
          <w:snapToGrid w:val="0"/>
          <w:sz w:val="24"/>
          <w:szCs w:val="24"/>
          <w:u w:val="single"/>
        </w:rPr>
        <w:t>年   月   日</w:t>
      </w:r>
    </w:p>
    <w:p>
      <w:pPr>
        <w:spacing w:line="600" w:lineRule="auto"/>
        <w:rPr>
          <w:rFonts w:hint="eastAsia" w:ascii="仿宋" w:hAnsi="仿宋" w:eastAsia="仿宋" w:cs="仿宋"/>
          <w:b/>
          <w:snapToGrid w:val="0"/>
          <w:sz w:val="24"/>
          <w:szCs w:val="24"/>
          <w:u w:val="single"/>
        </w:rPr>
      </w:pPr>
    </w:p>
    <w:p>
      <w:pPr>
        <w:spacing w:line="600" w:lineRule="auto"/>
        <w:rPr>
          <w:rFonts w:hint="eastAsia" w:ascii="仿宋" w:hAnsi="仿宋" w:eastAsia="仿宋" w:cs="仿宋"/>
          <w:b/>
          <w:snapToGrid w:val="0"/>
          <w:sz w:val="21"/>
          <w:szCs w:val="21"/>
          <w:u w:val="single"/>
        </w:rPr>
      </w:pPr>
    </w:p>
    <w:p>
      <w:pPr>
        <w:pStyle w:val="5"/>
        <w:rPr>
          <w:rFonts w:hint="eastAsia"/>
        </w:rPr>
      </w:pPr>
    </w:p>
    <w:p>
      <w:pPr>
        <w:spacing w:line="360" w:lineRule="auto"/>
        <w:jc w:val="center"/>
        <w:rPr>
          <w:rFonts w:hint="eastAsia" w:ascii="仿宋" w:hAnsi="仿宋" w:eastAsia="仿宋" w:cs="仿宋"/>
          <w:b/>
          <w:kern w:val="1"/>
          <w:sz w:val="30"/>
          <w:szCs w:val="30"/>
        </w:rPr>
      </w:pPr>
      <w:r>
        <w:rPr>
          <w:rFonts w:hint="eastAsia" w:ascii="仿宋" w:hAnsi="仿宋" w:eastAsia="仿宋" w:cs="仿宋"/>
          <w:b/>
          <w:kern w:val="1"/>
          <w:sz w:val="30"/>
          <w:szCs w:val="30"/>
          <w:lang w:val="en-US" w:eastAsia="zh-CN"/>
        </w:rPr>
        <w:t>广东省东莞市城区配套物流仓储建设项目-电缆</w:t>
      </w:r>
      <w:r>
        <w:rPr>
          <w:rFonts w:hint="eastAsia" w:ascii="仿宋" w:hAnsi="仿宋" w:eastAsia="仿宋" w:cs="仿宋"/>
          <w:b/>
          <w:kern w:val="1"/>
          <w:sz w:val="30"/>
          <w:szCs w:val="30"/>
          <w:lang w:eastAsia="zh-CN"/>
        </w:rPr>
        <w:t>采购</w:t>
      </w:r>
      <w:r>
        <w:rPr>
          <w:rFonts w:hint="eastAsia" w:ascii="仿宋" w:hAnsi="仿宋" w:eastAsia="仿宋" w:cs="仿宋"/>
          <w:b/>
          <w:kern w:val="1"/>
          <w:sz w:val="30"/>
          <w:szCs w:val="30"/>
        </w:rPr>
        <w:t>合同</w:t>
      </w:r>
    </w:p>
    <w:p>
      <w:pPr>
        <w:spacing w:line="360" w:lineRule="auto"/>
        <w:jc w:val="center"/>
        <w:rPr>
          <w:rFonts w:hint="eastAsia" w:ascii="仿宋" w:hAnsi="仿宋" w:eastAsia="仿宋" w:cs="仿宋"/>
          <w:b/>
          <w:kern w:val="1"/>
          <w:sz w:val="21"/>
          <w:szCs w:val="21"/>
        </w:rPr>
      </w:pPr>
    </w:p>
    <w:p>
      <w:pPr>
        <w:spacing w:line="360" w:lineRule="auto"/>
        <w:ind w:right="-210" w:rightChars="-100"/>
        <w:rPr>
          <w:rFonts w:hint="eastAsia" w:ascii="仿宋" w:hAnsi="仿宋" w:eastAsia="仿宋" w:cs="仿宋"/>
          <w:b/>
          <w:sz w:val="21"/>
          <w:szCs w:val="21"/>
          <w:u w:val="single"/>
        </w:rPr>
      </w:pPr>
      <w:r>
        <w:rPr>
          <w:rFonts w:hint="eastAsia" w:ascii="仿宋" w:hAnsi="仿宋" w:eastAsia="仿宋" w:cs="仿宋"/>
          <w:b/>
          <w:sz w:val="21"/>
          <w:szCs w:val="21"/>
        </w:rPr>
        <w:t>需方单位（甲方）：</w:t>
      </w:r>
      <w:r>
        <w:rPr>
          <w:rFonts w:hint="eastAsia" w:ascii="仿宋" w:hAnsi="仿宋" w:eastAsia="仿宋" w:cs="仿宋"/>
          <w:b/>
          <w:sz w:val="21"/>
          <w:szCs w:val="21"/>
          <w:u w:val="single"/>
        </w:rPr>
        <w:t xml:space="preserve">   东莞市莞城建筑工程有限公司    </w:t>
      </w:r>
    </w:p>
    <w:p>
      <w:pPr>
        <w:spacing w:line="360" w:lineRule="auto"/>
        <w:ind w:right="-210" w:rightChars="-100"/>
        <w:rPr>
          <w:rFonts w:hint="eastAsia" w:ascii="仿宋" w:hAnsi="仿宋" w:eastAsia="仿宋" w:cs="仿宋"/>
          <w:sz w:val="21"/>
          <w:szCs w:val="21"/>
        </w:rPr>
      </w:pPr>
      <w:r>
        <w:rPr>
          <w:rFonts w:hint="eastAsia" w:ascii="仿宋" w:hAnsi="仿宋" w:eastAsia="仿宋" w:cs="仿宋"/>
          <w:b/>
          <w:sz w:val="21"/>
          <w:szCs w:val="21"/>
        </w:rPr>
        <w:t>供方单位（乙方）：</w:t>
      </w:r>
      <w:r>
        <w:rPr>
          <w:rFonts w:hint="eastAsia" w:ascii="仿宋" w:hAnsi="仿宋" w:eastAsia="仿宋" w:cs="仿宋"/>
          <w:b/>
          <w:sz w:val="21"/>
          <w:szCs w:val="21"/>
          <w:u w:val="single"/>
        </w:rPr>
        <w:t xml:space="preserve">   </w:t>
      </w:r>
      <w:r>
        <w:rPr>
          <w:rFonts w:hint="eastAsia" w:ascii="仿宋" w:hAnsi="仿宋" w:eastAsia="仿宋" w:cs="仿宋"/>
          <w:b/>
          <w:kern w:val="1"/>
          <w:sz w:val="21"/>
          <w:szCs w:val="21"/>
          <w:u w:val="single"/>
        </w:rPr>
        <w:t xml:space="preserve">                           </w:t>
      </w:r>
      <w:r>
        <w:rPr>
          <w:rFonts w:hint="eastAsia" w:ascii="仿宋" w:hAnsi="仿宋" w:eastAsia="仿宋" w:cs="仿宋"/>
          <w:b/>
          <w:sz w:val="21"/>
          <w:szCs w:val="21"/>
          <w:u w:val="single"/>
        </w:rPr>
        <w:t xml:space="preserve">   </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根据《中华人民共和国民法典》及有关法律、法规，遵循平等、自愿、公平和诚实信用的原则，为规范合同当事人的交易行为，保护合同双方的合法权益，保证产品质量和工程建设正常进行，经甲、乙双方协商一致，订立本合同。</w:t>
      </w:r>
    </w:p>
    <w:p>
      <w:pPr>
        <w:spacing w:line="360" w:lineRule="auto"/>
        <w:ind w:left="420" w:leftChars="200" w:right="-210" w:rightChars="-100" w:firstLine="422" w:firstLineChars="200"/>
        <w:rPr>
          <w:rFonts w:hint="eastAsia" w:ascii="仿宋" w:hAnsi="仿宋" w:eastAsia="仿宋" w:cs="仿宋"/>
          <w:b/>
          <w:sz w:val="21"/>
          <w:szCs w:val="21"/>
        </w:rPr>
      </w:pPr>
      <w:r>
        <w:rPr>
          <w:rFonts w:hint="eastAsia" w:ascii="仿宋" w:hAnsi="仿宋" w:eastAsia="仿宋" w:cs="仿宋"/>
          <w:b/>
          <w:sz w:val="21"/>
          <w:szCs w:val="21"/>
        </w:rPr>
        <w:t>第一条  产品标的、数量、价款</w:t>
      </w:r>
    </w:p>
    <w:p>
      <w:pPr>
        <w:spacing w:line="360" w:lineRule="auto"/>
        <w:ind w:left="420" w:leftChars="200" w:right="-210" w:rightChars="-100" w:firstLine="422" w:firstLineChars="200"/>
        <w:rPr>
          <w:rFonts w:hint="eastAsia" w:ascii="仿宋" w:hAnsi="仿宋" w:eastAsia="仿宋" w:cs="仿宋"/>
          <w:b/>
          <w:sz w:val="21"/>
          <w:szCs w:val="21"/>
        </w:rPr>
      </w:pPr>
      <w:r>
        <w:rPr>
          <w:rFonts w:hint="eastAsia" w:ascii="仿宋" w:hAnsi="仿宋" w:eastAsia="仿宋" w:cs="仿宋"/>
          <w:b/>
          <w:sz w:val="21"/>
          <w:szCs w:val="21"/>
          <w:lang w:val="en-US" w:eastAsia="zh-CN"/>
        </w:rPr>
        <w:t>1）</w:t>
      </w:r>
      <w:r>
        <w:rPr>
          <w:rFonts w:hint="eastAsia" w:ascii="仿宋" w:hAnsi="仿宋" w:eastAsia="仿宋" w:cs="仿宋"/>
          <w:b/>
          <w:sz w:val="21"/>
          <w:szCs w:val="21"/>
        </w:rPr>
        <w:t xml:space="preserve"> 产品标的、数量、价款</w:t>
      </w:r>
    </w:p>
    <w:tbl>
      <w:tblPr>
        <w:tblStyle w:val="16"/>
        <w:tblW w:w="10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1712"/>
        <w:gridCol w:w="1965"/>
        <w:gridCol w:w="930"/>
        <w:gridCol w:w="1095"/>
        <w:gridCol w:w="1470"/>
        <w:gridCol w:w="1425"/>
        <w:gridCol w:w="1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10349" w:type="dxa"/>
            <w:gridSpan w:val="8"/>
            <w:tcBorders>
              <w:top w:val="nil"/>
              <w:left w:val="nil"/>
              <w:bottom w:val="nil"/>
              <w:right w:val="nil"/>
            </w:tcBorders>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电缆采购报价清单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6358" w:type="dxa"/>
            <w:gridSpan w:val="5"/>
            <w:tcBorders>
              <w:top w:val="nil"/>
              <w:left w:val="nil"/>
              <w:bottom w:val="nil"/>
              <w:right w:val="nil"/>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工程名称：广东省东莞市城区配套物流仓储建设项目</w:t>
            </w:r>
          </w:p>
        </w:tc>
        <w:tc>
          <w:tcPr>
            <w:tcW w:w="1470" w:type="dxa"/>
            <w:tcBorders>
              <w:top w:val="nil"/>
              <w:left w:val="nil"/>
              <w:bottom w:val="nil"/>
              <w:right w:val="nil"/>
            </w:tcBorders>
            <w:noWrap/>
            <w:vAlign w:val="center"/>
          </w:tcPr>
          <w:p>
            <w:pPr>
              <w:jc w:val="left"/>
              <w:rPr>
                <w:rFonts w:hint="eastAsia" w:ascii="仿宋" w:hAnsi="仿宋" w:eastAsia="仿宋" w:cs="仿宋"/>
                <w:i w:val="0"/>
                <w:iCs w:val="0"/>
                <w:color w:val="000000"/>
                <w:sz w:val="21"/>
                <w:szCs w:val="21"/>
                <w:u w:val="none"/>
              </w:rPr>
            </w:pPr>
          </w:p>
        </w:tc>
        <w:tc>
          <w:tcPr>
            <w:tcW w:w="1425" w:type="dxa"/>
            <w:tcBorders>
              <w:top w:val="nil"/>
              <w:left w:val="nil"/>
              <w:bottom w:val="nil"/>
              <w:right w:val="nil"/>
            </w:tcBorders>
            <w:noWrap/>
            <w:vAlign w:val="center"/>
          </w:tcPr>
          <w:p>
            <w:pPr>
              <w:jc w:val="left"/>
              <w:rPr>
                <w:rFonts w:hint="eastAsia" w:ascii="仿宋" w:hAnsi="仿宋" w:eastAsia="仿宋" w:cs="仿宋"/>
                <w:i w:val="0"/>
                <w:iCs w:val="0"/>
                <w:color w:val="000000"/>
                <w:sz w:val="21"/>
                <w:szCs w:val="21"/>
                <w:u w:val="none"/>
              </w:rPr>
            </w:pPr>
          </w:p>
        </w:tc>
        <w:tc>
          <w:tcPr>
            <w:tcW w:w="1096" w:type="dxa"/>
            <w:tcBorders>
              <w:top w:val="nil"/>
              <w:left w:val="nil"/>
              <w:bottom w:val="nil"/>
              <w:right w:val="nil"/>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序号</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名称</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规格型号</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单位</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数量</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含税单价</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含税合计</w:t>
            </w: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BBTRZ-3*120+2*70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1729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BBTRZ-3*240+2*120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BBTRZ-3*70+2*25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BBTRZ-4*120+1*70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2224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BBTRZ-4*35+1*16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742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BBTRZ-4*70+1*35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BBTRZ-4*185+1*95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BBTRZ-4*95+1*50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926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BBTRZ-5*10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1298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897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矿物绝缘电缆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BBTRZ-5*4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NH-KVV-2*1.5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WDZB1N-YJY-4*120+1*70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WDZB2-KYJY-19*1.5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WDZB2-KYJY-2*1.5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WDZB2-KYJY-21*1.5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WDZB2-KYJY-27*1.5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WDZB2-KYJY-5*1.5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WDZB2-YJY-3*2.5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WDZB2-YJY-3*4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WDZB2-YJY-4*2.5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WDZB2-YJY-4*4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WDZB2-YJY-4*50+1*25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WDZB2-YJY-5*10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WDZB2-YJY-5*4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WDZB-YJY-3*50+2*25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1262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WDZB-YJY-4*35+1*16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1485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WDZB-YJY-4*70+1*35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WDZB-YJY-4*120+1*70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2886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WDZB-YJY-4*185+1*95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WDZB-YJY-4*240+1*120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1323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WDZB-YJY-4*70+1*35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1916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WDZB-YJY-4*95+1*50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1997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WDZB-YJY-5*10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2303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2331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WDZB-YJY-5*2.5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WDZB-YJY-5*6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2555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WDZB-YJY-5*16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WDZN-KVV-4*1.5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5412 </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控制电缆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WDZN-KVV-8*1.5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WDZN-YJY-3*120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WDZN-YJY-3*50+1*25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182</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WDZN-YJY-3*95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WDZN-YJY-3*95+1*50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WDZN-YJY-3*50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WDZN-YJY-3*6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WDZN-YJY-4*2.5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WDZN-YJY-4*16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243</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WDZN-YJY-4*25+1*16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WDZN-YJY-4*4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59</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WDZN-YJY-4*6</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WDZN-YJY-5*2.5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4011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61</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WDZN-YJY-5*4</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4437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WDZN-YJY-8.7/15kV-3*120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89</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63</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WDZN-YJY-8.7/15kV-3*95</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51</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铜芯电缆</w:t>
            </w:r>
          </w:p>
        </w:tc>
        <w:tc>
          <w:tcPr>
            <w:tcW w:w="1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ZR-YJV22-8.7/15kV-3*300mm2</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2707</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含税合计</w:t>
            </w:r>
          </w:p>
        </w:tc>
        <w:tc>
          <w:tcPr>
            <w:tcW w:w="196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Style w:val="137"/>
                <w:rFonts w:hint="eastAsia" w:ascii="仿宋" w:hAnsi="仿宋" w:eastAsia="仿宋" w:cs="仿宋"/>
                <w:sz w:val="21"/>
                <w:szCs w:val="21"/>
                <w:lang w:val="en-US" w:eastAsia="zh-CN" w:bidi="ar"/>
              </w:rPr>
              <w:t>其中税金（</w:t>
            </w:r>
            <w:r>
              <w:rPr>
                <w:rStyle w:val="138"/>
                <w:rFonts w:hint="eastAsia" w:ascii="仿宋" w:hAnsi="仿宋" w:eastAsia="仿宋" w:cs="仿宋"/>
                <w:sz w:val="21"/>
                <w:szCs w:val="21"/>
                <w:lang w:val="en-US" w:eastAsia="zh-CN" w:bidi="ar"/>
              </w:rPr>
              <w:t xml:space="preserve">   </w:t>
            </w:r>
            <w:r>
              <w:rPr>
                <w:rStyle w:val="137"/>
                <w:rFonts w:hint="eastAsia" w:ascii="仿宋" w:hAnsi="仿宋" w:eastAsia="仿宋" w:cs="仿宋"/>
                <w:sz w:val="21"/>
                <w:szCs w:val="21"/>
                <w:lang w:val="en-US" w:eastAsia="zh-CN" w:bidi="ar"/>
              </w:rPr>
              <w:t>%）</w:t>
            </w:r>
          </w:p>
        </w:tc>
        <w:tc>
          <w:tcPr>
            <w:tcW w:w="196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single"/>
              </w:rPr>
            </w:pPr>
          </w:p>
        </w:tc>
        <w:tc>
          <w:tcPr>
            <w:tcW w:w="14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65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71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不含税合计</w:t>
            </w:r>
          </w:p>
        </w:tc>
        <w:tc>
          <w:tcPr>
            <w:tcW w:w="196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93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09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仿宋" w:hAnsi="仿宋" w:eastAsia="仿宋" w:cs="仿宋"/>
                <w:i w:val="0"/>
                <w:iCs w:val="0"/>
                <w:color w:val="000000"/>
                <w:sz w:val="21"/>
                <w:szCs w:val="21"/>
                <w:u w:val="none"/>
              </w:rPr>
            </w:pPr>
          </w:p>
        </w:tc>
        <w:tc>
          <w:tcPr>
            <w:tcW w:w="1470"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425"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c>
          <w:tcPr>
            <w:tcW w:w="10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10349" w:type="dxa"/>
            <w:gridSpan w:val="8"/>
            <w:tcBorders>
              <w:top w:val="nil"/>
              <w:left w:val="nil"/>
              <w:bottom w:val="nil"/>
              <w:right w:val="nil"/>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8"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1、可调综合单价合同。各种规格报价均应包括产品、包装、运输、保险、装卸、税费、利润等费用。质量要求为：国标电缆，品牌要求（同等或优于）：花缆、程通、新兴、中亚、南牌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2、签订合同后根据施工需求分批供货，每批货到工地验收合格并开具本批货物的全额发票后支付本批货款的100%。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3、以2023年9月28日上海有色金属网SMM1＃电解铜均价67460元/吨作为铜价基准价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10349" w:type="dxa"/>
            <w:gridSpan w:val="8"/>
            <w:tcBorders>
              <w:top w:val="nil"/>
              <w:left w:val="nil"/>
              <w:bottom w:val="nil"/>
              <w:right w:val="nil"/>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4、以采购下达书面订货当日上海有色金属网广东SMM1＃电解铜均价与投标基准价相比，每超过±500元/吨，电线电缆综合单价相应涨跌1%，波动在±500元/吨内及其他情况综合单价均不调整。</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例如：以WDZN-YJY-3*95单价197元/m为例，假设铜基准价67460元/吨，1、订货当日铜价68060元/吨，价差600元/吨，单价调整1%，单价：197*（1+1%）=198.97元/m。2、订货当日铜价68760元/吨，价差1300元/吨，单价调整2%，单价：197*（1+2%）=200.94元/m。</w:t>
            </w:r>
          </w:p>
        </w:tc>
      </w:tr>
    </w:tbl>
    <w:p>
      <w:pPr>
        <w:spacing w:line="360" w:lineRule="auto"/>
        <w:ind w:right="-210" w:rightChars="-100"/>
        <w:rPr>
          <w:rFonts w:hint="eastAsia" w:ascii="仿宋" w:hAnsi="仿宋" w:eastAsia="仿宋" w:cs="仿宋"/>
          <w:sz w:val="21"/>
          <w:szCs w:val="21"/>
        </w:rPr>
      </w:pPr>
    </w:p>
    <w:p>
      <w:pPr>
        <w:numPr>
          <w:ilvl w:val="0"/>
          <w:numId w:val="0"/>
        </w:numPr>
        <w:spacing w:line="360" w:lineRule="auto"/>
        <w:ind w:right="-210" w:rightChars="-100" w:firstLine="422" w:firstLineChars="200"/>
        <w:rPr>
          <w:rFonts w:hint="eastAsia" w:ascii="仿宋" w:hAnsi="仿宋" w:eastAsia="仿宋" w:cs="仿宋"/>
          <w:b/>
          <w:bCs/>
          <w:sz w:val="21"/>
          <w:szCs w:val="21"/>
        </w:rPr>
      </w:pPr>
      <w:r>
        <w:rPr>
          <w:rFonts w:hint="eastAsia" w:ascii="仿宋" w:hAnsi="仿宋" w:eastAsia="仿宋" w:cs="仿宋"/>
          <w:b/>
          <w:bCs/>
          <w:kern w:val="2"/>
          <w:sz w:val="21"/>
          <w:szCs w:val="21"/>
          <w:lang w:val="en-US" w:eastAsia="zh-CN" w:bidi="ar-SA"/>
        </w:rPr>
        <w:t>2）</w:t>
      </w:r>
      <w:r>
        <w:rPr>
          <w:rFonts w:hint="eastAsia" w:ascii="仿宋" w:hAnsi="仿宋" w:eastAsia="仿宋" w:cs="仿宋"/>
          <w:b/>
          <w:bCs/>
          <w:sz w:val="21"/>
          <w:szCs w:val="21"/>
        </w:rPr>
        <w:t>结算方式：最终结算数量按甲方确认验收的实际数量结算。</w:t>
      </w:r>
    </w:p>
    <w:p>
      <w:pPr>
        <w:spacing w:line="360" w:lineRule="auto"/>
        <w:ind w:right="-210" w:rightChars="-100" w:firstLine="422" w:firstLineChars="200"/>
        <w:rPr>
          <w:rFonts w:hint="eastAsia" w:ascii="仿宋" w:hAnsi="仿宋" w:eastAsia="仿宋" w:cs="仿宋"/>
          <w:b/>
          <w:sz w:val="21"/>
          <w:szCs w:val="21"/>
          <w:lang w:val="en-US" w:eastAsia="zh-CN"/>
        </w:rPr>
      </w:pPr>
      <w:r>
        <w:rPr>
          <w:rFonts w:hint="eastAsia" w:ascii="仿宋" w:hAnsi="仿宋" w:eastAsia="仿宋" w:cs="仿宋"/>
          <w:b/>
          <w:sz w:val="21"/>
          <w:szCs w:val="21"/>
        </w:rPr>
        <w:t>3）调价机制：以2023年9月28日上海有色金属网SMM1＃电解铜均价67460元/吨作为铜价基准价</w:t>
      </w:r>
      <w:r>
        <w:rPr>
          <w:rFonts w:hint="eastAsia" w:ascii="仿宋" w:hAnsi="仿宋" w:eastAsia="仿宋" w:cs="仿宋"/>
          <w:b/>
          <w:sz w:val="21"/>
          <w:szCs w:val="21"/>
          <w:lang w:eastAsia="zh-CN"/>
        </w:rPr>
        <w:t>，</w:t>
      </w:r>
      <w:r>
        <w:rPr>
          <w:rFonts w:hint="eastAsia" w:ascii="仿宋" w:hAnsi="仿宋" w:eastAsia="仿宋" w:cs="仿宋"/>
          <w:b/>
          <w:sz w:val="21"/>
          <w:szCs w:val="21"/>
          <w:lang w:val="en-US" w:eastAsia="zh-CN"/>
        </w:rPr>
        <w:t>以采购下达书面订货当日</w:t>
      </w:r>
      <w:bookmarkStart w:id="54" w:name="_GoBack"/>
      <w:bookmarkEnd w:id="54"/>
      <w:r>
        <w:rPr>
          <w:rFonts w:hint="eastAsia" w:ascii="仿宋" w:hAnsi="仿宋" w:eastAsia="仿宋" w:cs="仿宋"/>
          <w:b/>
          <w:sz w:val="21"/>
          <w:szCs w:val="21"/>
          <w:lang w:val="en-US" w:eastAsia="zh-CN"/>
        </w:rPr>
        <w:t>上海有色金属网广东SMM1＃电解铜均价与投标基准价相比，每超过±500元/吨，电线电缆综合单价相应涨跌1%，波动在±500元/吨内及其他情况综合单价均不调整。</w:t>
      </w:r>
      <w:r>
        <w:rPr>
          <w:rFonts w:hint="eastAsia" w:ascii="仿宋" w:hAnsi="仿宋" w:eastAsia="仿宋" w:cs="仿宋"/>
          <w:b/>
          <w:sz w:val="21"/>
          <w:szCs w:val="21"/>
          <w:lang w:val="en-US" w:eastAsia="zh-CN"/>
        </w:rPr>
        <w:br w:type="textWrapping"/>
      </w:r>
      <w:r>
        <w:rPr>
          <w:rFonts w:hint="eastAsia" w:ascii="仿宋" w:hAnsi="仿宋" w:eastAsia="仿宋" w:cs="仿宋"/>
          <w:b/>
          <w:sz w:val="21"/>
          <w:szCs w:val="21"/>
          <w:lang w:val="en-US" w:eastAsia="zh-CN"/>
        </w:rPr>
        <w:t>例如：以WDZN-YJY-3*95单价197元/m为例，假设铜基准价67460元/吨，1、订货当日铜价68060元/吨，价差600元/吨，单价调整1%，单价：197*（1+1%）=198.97元/m。2、订货当日铜价68760元/吨，价差1300元/吨，单价调整2%，单价：197*（1+2%）=200.94元/m。</w:t>
      </w:r>
    </w:p>
    <w:p>
      <w:pPr>
        <w:spacing w:line="360" w:lineRule="auto"/>
        <w:ind w:right="-210" w:rightChars="-100" w:firstLine="422" w:firstLineChars="200"/>
        <w:rPr>
          <w:rFonts w:hint="eastAsia" w:ascii="仿宋" w:hAnsi="仿宋" w:eastAsia="仿宋" w:cs="仿宋"/>
          <w:b/>
          <w:sz w:val="21"/>
          <w:szCs w:val="21"/>
          <w:lang w:val="en-US" w:eastAsia="zh-CN"/>
        </w:rPr>
      </w:pPr>
      <w:r>
        <w:rPr>
          <w:rFonts w:hint="eastAsia" w:ascii="仿宋" w:hAnsi="仿宋" w:eastAsia="仿宋" w:cs="仿宋"/>
          <w:b/>
          <w:sz w:val="21"/>
          <w:szCs w:val="21"/>
          <w:lang w:val="en-US" w:eastAsia="zh-CN"/>
        </w:rPr>
        <w:t>若实际施工过程中增加合同清单外规格电缆，单价按合同内相似规格型号电缆调价。当日所供数量以甲方签认订单总额为准；若供货单位接订单未按时送达的，以下单时间和供货时间价格较低的时间调整统计；</w:t>
      </w:r>
    </w:p>
    <w:p>
      <w:pPr>
        <w:spacing w:line="360" w:lineRule="auto"/>
        <w:ind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4）产品质保期为</w:t>
      </w:r>
      <w:r>
        <w:rPr>
          <w:rFonts w:hint="eastAsia" w:ascii="仿宋" w:hAnsi="仿宋" w:eastAsia="仿宋" w:cs="仿宋"/>
          <w:color w:val="000000"/>
          <w:sz w:val="21"/>
          <w:szCs w:val="21"/>
          <w:u w:val="single"/>
        </w:rPr>
        <w:t xml:space="preserve"> 2 </w:t>
      </w:r>
      <w:r>
        <w:rPr>
          <w:rFonts w:hint="eastAsia" w:ascii="仿宋" w:hAnsi="仿宋" w:eastAsia="仿宋" w:cs="仿宋"/>
          <w:sz w:val="21"/>
          <w:szCs w:val="21"/>
        </w:rPr>
        <w:t>年，质保期内所有货品免费上门更换或维修（人为或不正确使用的除外），从全部产品验收通</w:t>
      </w:r>
      <w:r>
        <w:rPr>
          <w:rFonts w:hint="eastAsia" w:ascii="仿宋" w:hAnsi="仿宋" w:eastAsia="仿宋" w:cs="仿宋"/>
          <w:color w:val="000000"/>
          <w:sz w:val="21"/>
          <w:szCs w:val="21"/>
        </w:rPr>
        <w:t>过且甲方确认之</w:t>
      </w:r>
      <w:r>
        <w:rPr>
          <w:rFonts w:hint="eastAsia" w:ascii="仿宋" w:hAnsi="仿宋" w:eastAsia="仿宋" w:cs="仿宋"/>
          <w:sz w:val="21"/>
          <w:szCs w:val="21"/>
        </w:rPr>
        <w:t>日起计。</w:t>
      </w:r>
    </w:p>
    <w:p>
      <w:pPr>
        <w:spacing w:line="360" w:lineRule="auto"/>
        <w:ind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5）质保期内非甲方人为造成的问题，乙方予以维修或退货；在使用过程中如发现所提供产品的规格、技术参数等与甲方质量技术要求不符合或出现质量问题，乙方须应甲方的要求予以调换或退货，并承担修理、调换或退货的实际费用</w:t>
      </w:r>
      <w:r>
        <w:rPr>
          <w:rFonts w:hint="eastAsia" w:ascii="仿宋" w:hAnsi="仿宋" w:eastAsia="仿宋" w:cs="仿宋"/>
          <w:color w:val="000000"/>
          <w:sz w:val="21"/>
          <w:szCs w:val="21"/>
        </w:rPr>
        <w:t>以转账方式返还退货品等额的款项给甲方。</w:t>
      </w:r>
      <w:r>
        <w:rPr>
          <w:rFonts w:hint="eastAsia" w:ascii="仿宋" w:hAnsi="仿宋" w:eastAsia="仿宋" w:cs="仿宋"/>
          <w:sz w:val="21"/>
          <w:szCs w:val="21"/>
        </w:rPr>
        <w:t>若出现质量问题通过维修可以解决且甲方同意并要求维修的，乙方须在甲方提出上述要求后3个小时内到达现场，并在12小时内修复，否则，甲方可自行委托第三方进行维修，费用由乙方承担。</w:t>
      </w:r>
    </w:p>
    <w:p>
      <w:pPr>
        <w:spacing w:line="360" w:lineRule="auto"/>
        <w:ind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6）供货数量超过本合同数量10%时，乙方应当书面通知甲方项目部并及时报甲方成本部进行确认和审核，经甲方成本部核准后方可供货，否则，甲方对于超额供货的不予确认和支付货款，一切责任由乙方自行承担。</w:t>
      </w:r>
    </w:p>
    <w:p>
      <w:pPr>
        <w:spacing w:line="360" w:lineRule="auto"/>
        <w:ind w:left="420" w:leftChars="200" w:right="-210" w:rightChars="-100" w:firstLine="422" w:firstLineChars="200"/>
        <w:rPr>
          <w:rFonts w:hint="eastAsia" w:ascii="仿宋" w:hAnsi="仿宋" w:eastAsia="仿宋" w:cs="仿宋"/>
          <w:b/>
          <w:sz w:val="21"/>
          <w:szCs w:val="21"/>
        </w:rPr>
      </w:pPr>
      <w:r>
        <w:rPr>
          <w:rFonts w:hint="eastAsia" w:ascii="仿宋" w:hAnsi="仿宋" w:eastAsia="仿宋" w:cs="仿宋"/>
          <w:b/>
          <w:sz w:val="21"/>
          <w:szCs w:val="21"/>
        </w:rPr>
        <w:t>第二条   产品遵循的质量和技术标准要求</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1、甲、乙双方约定产品验收遵循的质量和技术标准：执行最新国家及行业标准、国家和地方行政主管部门的有关规定。另要严格按照双方约定的质量标准和技术标准要求供应产品，同时，还应遵循招标文件中的“用户需求书”（如有）。</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2、乙方按现行的国家和行业标准或甲乙双方约定的标准规定，随每批产品提供《产品合格证明》、《质量验收报告》、《产品质量保证书》和其他相关技术质量资料。</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3、乙方供应的产品必须是全新的（包括零配件），必须符合国家质量检测标准要求或具有国家进口商品检测合格证明。</w:t>
      </w:r>
    </w:p>
    <w:p>
      <w:pPr>
        <w:spacing w:line="360" w:lineRule="auto"/>
        <w:ind w:right="-210" w:rightChars="-100" w:firstLine="840" w:firstLineChars="400"/>
        <w:rPr>
          <w:rFonts w:hint="eastAsia" w:ascii="仿宋" w:hAnsi="仿宋" w:eastAsia="仿宋" w:cs="仿宋"/>
          <w:sz w:val="21"/>
          <w:szCs w:val="21"/>
        </w:rPr>
      </w:pPr>
      <w:r>
        <w:rPr>
          <w:rFonts w:hint="eastAsia" w:ascii="仿宋" w:hAnsi="仿宋" w:eastAsia="仿宋" w:cs="仿宋"/>
          <w:sz w:val="21"/>
          <w:szCs w:val="21"/>
        </w:rPr>
        <w:t>4、如有样品的，明确“产品的质量必须符合样品的标准，样品经甲乙双方确认后封存。</w:t>
      </w:r>
    </w:p>
    <w:p>
      <w:pPr>
        <w:spacing w:line="360" w:lineRule="auto"/>
        <w:ind w:right="-210" w:rightChars="-100" w:firstLine="840" w:firstLineChars="400"/>
        <w:rPr>
          <w:rFonts w:hint="eastAsia" w:ascii="仿宋" w:hAnsi="仿宋" w:eastAsia="仿宋" w:cs="仿宋"/>
          <w:sz w:val="21"/>
          <w:szCs w:val="21"/>
        </w:rPr>
      </w:pPr>
      <w:r>
        <w:rPr>
          <w:rFonts w:hint="eastAsia" w:ascii="仿宋" w:hAnsi="仿宋" w:eastAsia="仿宋" w:cs="仿宋"/>
          <w:sz w:val="21"/>
          <w:szCs w:val="21"/>
        </w:rPr>
        <w:t>5、其他要求：乙方要向甲方提供上述标的物质量标准的资料供甲方审核查验</w:t>
      </w:r>
    </w:p>
    <w:p>
      <w:pPr>
        <w:spacing w:line="360" w:lineRule="auto"/>
        <w:ind w:right="-210" w:rightChars="-100" w:firstLine="840" w:firstLineChars="400"/>
        <w:rPr>
          <w:rFonts w:hint="eastAsia" w:ascii="仿宋" w:hAnsi="仿宋" w:eastAsia="仿宋" w:cs="仿宋"/>
          <w:sz w:val="21"/>
          <w:szCs w:val="21"/>
        </w:rPr>
      </w:pPr>
      <w:r>
        <w:rPr>
          <w:rFonts w:hint="eastAsia" w:ascii="仿宋" w:hAnsi="仿宋" w:eastAsia="仿宋" w:cs="仿宋"/>
          <w:sz w:val="21"/>
          <w:szCs w:val="21"/>
        </w:rPr>
        <w:t>6、在合同履约过程中，乙方出现以下情形之一的，甲方有权随时更换或者增加第三方单位进行施工，第三方单位实际施工产生的工程款参照本合同的结算条款，按实结算</w:t>
      </w:r>
      <w:r>
        <w:rPr>
          <w:rFonts w:hint="eastAsia" w:ascii="仿宋" w:hAnsi="仿宋" w:eastAsia="仿宋" w:cs="仿宋"/>
          <w:color w:val="FF0000"/>
          <w:sz w:val="21"/>
          <w:szCs w:val="21"/>
        </w:rPr>
        <w:t>，甲方有权在乙方货款中直接扣除</w:t>
      </w:r>
      <w:r>
        <w:rPr>
          <w:rFonts w:hint="eastAsia" w:ascii="仿宋" w:hAnsi="仿宋" w:eastAsia="仿宋" w:cs="仿宋"/>
          <w:sz w:val="21"/>
          <w:szCs w:val="21"/>
        </w:rPr>
        <w:t>。（1）乙方延期完成合同约定的工期节点或甲方下发的工作指令单的工期节点达一次及以上的；（2）乙方未能达到合同约定的工程质量标准的一次及以上的；（3）乙方未能按照国家、行业施工标准进行施工，经甲方发现超过一次及以上的。</w:t>
      </w:r>
    </w:p>
    <w:p>
      <w:pPr>
        <w:pStyle w:val="37"/>
        <w:numPr>
          <w:ilvl w:val="0"/>
          <w:numId w:val="3"/>
        </w:numPr>
        <w:spacing w:line="360" w:lineRule="auto"/>
        <w:ind w:left="420" w:leftChars="200" w:right="-210" w:rightChars="-100" w:firstLine="482"/>
        <w:rPr>
          <w:rFonts w:hint="eastAsia" w:ascii="仿宋" w:hAnsi="仿宋" w:eastAsia="仿宋" w:cs="仿宋"/>
          <w:b/>
          <w:sz w:val="21"/>
          <w:szCs w:val="21"/>
        </w:rPr>
      </w:pPr>
      <w:r>
        <w:rPr>
          <w:rFonts w:hint="eastAsia" w:ascii="仿宋" w:hAnsi="仿宋" w:eastAsia="仿宋" w:cs="仿宋"/>
          <w:b/>
          <w:sz w:val="21"/>
          <w:szCs w:val="21"/>
        </w:rPr>
        <w:t>验收标准、方法及提出异议期限</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1、 甲方有提前送产品样品要求的，乙方应该按照甲方要求送审产品样品，样品送审内容包括但不限于产品样品本身、还包括提供样品的产品品牌、商标、规格、型号、花色、技术质量验收报告、生产许可证等相关的技术质量资料。一旦甲乙双方签约后且产品的样品得到甲方认可并且封存样品后，未经甲方同意，乙方不得做任何更改。正式交货时产品的质量、外观、品牌、商标、规格、型号、花色、标识、生产厂家、技术质量检验报告、生产许可证等其他相关技术质量资料应保持和样品一致，如所进产品和样品不一致，甲方有权拒绝收货，并保留要求乙方赔偿经济损失的权利。</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2、货物的到货验收包括：数量、外观质量、随机备件备品、装箱单、随机资料及货物包装完整无破损。产品数量以甲方书面确认并验收通过数量为准。产品外观质量甲方应及时验收，甲方发现质量问题应及时向乙方提出，在问题未查清之前该批产品必须封存不能使用。</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3、任何情况下，甲方的确认均不免除乙方对产品的瑕疵担保责任。若相关产品在使用时或使用后发现确因该批产品质量未达到规定要求而引起的工程质量问题，乙方除应无条件更换外，还应承担由此给甲方造成的经济损失。</w:t>
      </w:r>
    </w:p>
    <w:p>
      <w:pPr>
        <w:spacing w:line="360" w:lineRule="auto"/>
        <w:ind w:right="-210" w:rightChars="-100" w:firstLine="840" w:firstLineChars="400"/>
        <w:rPr>
          <w:rFonts w:hint="eastAsia" w:ascii="仿宋" w:hAnsi="仿宋" w:eastAsia="仿宋" w:cs="仿宋"/>
          <w:sz w:val="21"/>
          <w:szCs w:val="21"/>
        </w:rPr>
      </w:pPr>
      <w:r>
        <w:rPr>
          <w:rFonts w:hint="eastAsia" w:ascii="仿宋" w:hAnsi="仿宋" w:eastAsia="仿宋" w:cs="仿宋"/>
          <w:sz w:val="21"/>
          <w:szCs w:val="21"/>
        </w:rPr>
        <w:t>4、乙方在产品运抵交货前应提前</w:t>
      </w:r>
      <w:r>
        <w:rPr>
          <w:rFonts w:hint="eastAsia" w:ascii="仿宋" w:hAnsi="仿宋" w:eastAsia="仿宋" w:cs="仿宋"/>
          <w:sz w:val="21"/>
          <w:szCs w:val="21"/>
          <w:u w:val="single"/>
        </w:rPr>
        <w:t xml:space="preserve"> 2</w:t>
      </w:r>
      <w:r>
        <w:rPr>
          <w:rFonts w:hint="eastAsia" w:ascii="仿宋" w:hAnsi="仿宋" w:eastAsia="仿宋" w:cs="仿宋"/>
          <w:sz w:val="21"/>
          <w:szCs w:val="21"/>
        </w:rPr>
        <w:t>天通知甲方，甲方应提供堆放场地或堆放仓库。</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5、乙方须负责产品正式交货前的安全、保卫、防火、防盗工作，包括运输途中、卸货中的人身和产品的安全，在正式交货前，包括运输途中、卸货中如有人身伤害或产品损失均由乙方负责。</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6、甲方有权对产品质量取样送相关技术质量监督部门检验，如检验结果达不到国家标准，乙方必须在两日内办理材料、设备退场及退货，并承担相关费用和由此给甲方造成的损失，</w:t>
      </w:r>
      <w:r>
        <w:rPr>
          <w:rFonts w:hint="eastAsia" w:ascii="仿宋" w:hAnsi="仿宋" w:eastAsia="仿宋" w:cs="仿宋"/>
          <w:color w:val="FF0000"/>
          <w:sz w:val="21"/>
          <w:szCs w:val="21"/>
        </w:rPr>
        <w:t>同时甲方有权解除合同。</w:t>
      </w:r>
      <w:r>
        <w:rPr>
          <w:rFonts w:hint="eastAsia" w:ascii="仿宋" w:hAnsi="仿宋" w:eastAsia="仿宋" w:cs="仿宋"/>
          <w:sz w:val="21"/>
          <w:szCs w:val="21"/>
        </w:rPr>
        <w:t>影响甲方工期的，乙方应承担相应的赔偿责任。如检验结果合格，检验费用由甲方承担。</w:t>
      </w:r>
    </w:p>
    <w:p>
      <w:pPr>
        <w:spacing w:line="360" w:lineRule="auto"/>
        <w:ind w:left="420" w:leftChars="200" w:right="-210" w:rightChars="-100" w:firstLine="525" w:firstLineChars="250"/>
        <w:rPr>
          <w:rFonts w:hint="eastAsia" w:ascii="仿宋" w:hAnsi="仿宋" w:eastAsia="仿宋" w:cs="仿宋"/>
          <w:sz w:val="21"/>
          <w:szCs w:val="21"/>
        </w:rPr>
      </w:pPr>
      <w:r>
        <w:rPr>
          <w:rFonts w:hint="eastAsia" w:ascii="仿宋" w:hAnsi="仿宋" w:eastAsia="仿宋" w:cs="仿宋"/>
          <w:sz w:val="21"/>
          <w:szCs w:val="21"/>
        </w:rPr>
        <w:t>7、乙方货物应按产品保护要求作相应包装，并随货附产品合格证或相应的质量合格证明文件，若货物无前述文件，甲方有权拒收，乙方需赔偿甲方的损失。</w:t>
      </w:r>
    </w:p>
    <w:p>
      <w:pPr>
        <w:spacing w:line="360" w:lineRule="auto"/>
        <w:ind w:left="420" w:leftChars="200" w:right="-210" w:rightChars="-100" w:firstLine="525" w:firstLineChars="250"/>
        <w:rPr>
          <w:rFonts w:hint="eastAsia" w:ascii="仿宋" w:hAnsi="仿宋" w:eastAsia="仿宋" w:cs="仿宋"/>
          <w:sz w:val="21"/>
          <w:szCs w:val="21"/>
        </w:rPr>
      </w:pPr>
      <w:r>
        <w:rPr>
          <w:rFonts w:hint="eastAsia" w:ascii="仿宋" w:hAnsi="仿宋" w:eastAsia="仿宋" w:cs="仿宋"/>
          <w:sz w:val="21"/>
          <w:szCs w:val="21"/>
        </w:rPr>
        <w:t>8、乙方必须保证产品为甲方要求的“优等品”与甲方认定的样品一致.</w:t>
      </w:r>
    </w:p>
    <w:p>
      <w:pPr>
        <w:spacing w:line="360" w:lineRule="auto"/>
        <w:ind w:left="420" w:leftChars="200" w:right="-210" w:rightChars="-100" w:firstLine="527" w:firstLineChars="250"/>
        <w:rPr>
          <w:rFonts w:hint="eastAsia" w:ascii="仿宋" w:hAnsi="仿宋" w:eastAsia="仿宋" w:cs="仿宋"/>
          <w:b/>
          <w:bCs/>
          <w:sz w:val="21"/>
          <w:szCs w:val="21"/>
        </w:rPr>
      </w:pPr>
      <w:r>
        <w:rPr>
          <w:rFonts w:hint="eastAsia" w:ascii="仿宋" w:hAnsi="仿宋" w:eastAsia="仿宋" w:cs="仿宋"/>
          <w:b/>
          <w:bCs/>
          <w:sz w:val="21"/>
          <w:szCs w:val="21"/>
        </w:rPr>
        <w:t>9、在对货物的质量进行验收时，甲方材料员发现货物外观质量有问题时，甲方有权对产品质量取样送相关技术质量监督部门检验，如检验结果达不到国家标准，乙方必须在两日内办理材料、设备退场及退货，并承担相关费用和由此给甲方造成的损失。影响甲方工期的，乙方应承担相应的赔偿责任。如检验结果合格，检验费用由甲方承担。</w:t>
      </w:r>
    </w:p>
    <w:p>
      <w:pPr>
        <w:spacing w:line="360" w:lineRule="auto"/>
        <w:ind w:left="420" w:leftChars="200" w:right="-210" w:rightChars="-100" w:firstLine="630" w:firstLineChars="300"/>
        <w:rPr>
          <w:rFonts w:hint="eastAsia" w:ascii="仿宋" w:hAnsi="仿宋" w:eastAsia="仿宋" w:cs="仿宋"/>
          <w:sz w:val="21"/>
          <w:szCs w:val="21"/>
        </w:rPr>
      </w:pPr>
      <w:r>
        <w:rPr>
          <w:rFonts w:hint="eastAsia" w:ascii="仿宋" w:hAnsi="仿宋" w:eastAsia="仿宋" w:cs="仿宋"/>
          <w:sz w:val="21"/>
          <w:szCs w:val="21"/>
        </w:rPr>
        <w:t>10、乙方保证所提供的产品必须是未经使用过的原厂合格正品，绝无假冒，有出厂合格证及相关的检验、检测报告（进口产品须提供报关单及原产地证明），一旦发现假冒伪劣品或残次品，甲方有权要求</w:t>
      </w:r>
      <w:r>
        <w:rPr>
          <w:rFonts w:hint="eastAsia" w:ascii="仿宋" w:hAnsi="仿宋" w:eastAsia="仿宋" w:cs="仿宋"/>
          <w:sz w:val="21"/>
          <w:szCs w:val="21"/>
          <w:lang w:val="en-US" w:eastAsia="zh-CN"/>
        </w:rPr>
        <w:t>乙方于</w:t>
      </w:r>
      <w:r>
        <w:rPr>
          <w:rFonts w:hint="eastAsia" w:ascii="仿宋" w:hAnsi="仿宋" w:eastAsia="仿宋" w:cs="仿宋"/>
          <w:sz w:val="21"/>
          <w:szCs w:val="21"/>
          <w:u w:val="single"/>
          <w:lang w:val="en-US" w:eastAsia="zh-CN"/>
        </w:rPr>
        <w:t xml:space="preserve"> 3 </w:t>
      </w:r>
      <w:r>
        <w:rPr>
          <w:rFonts w:hint="eastAsia" w:ascii="仿宋" w:hAnsi="仿宋" w:eastAsia="仿宋" w:cs="仿宋"/>
          <w:sz w:val="21"/>
          <w:szCs w:val="21"/>
          <w:lang w:val="en-US" w:eastAsia="zh-CN"/>
        </w:rPr>
        <w:t>日内</w:t>
      </w:r>
      <w:r>
        <w:rPr>
          <w:rFonts w:hint="eastAsia" w:ascii="仿宋" w:hAnsi="仿宋" w:eastAsia="仿宋" w:cs="仿宋"/>
          <w:sz w:val="21"/>
          <w:szCs w:val="21"/>
        </w:rPr>
        <w:t>退货和重新更换</w:t>
      </w:r>
      <w:r>
        <w:rPr>
          <w:rFonts w:hint="eastAsia" w:ascii="仿宋" w:hAnsi="仿宋" w:eastAsia="仿宋" w:cs="仿宋"/>
          <w:sz w:val="21"/>
          <w:szCs w:val="21"/>
          <w:lang w:val="en-US" w:eastAsia="zh-CN"/>
        </w:rPr>
        <w:t>符合本合同要求品牌的货品</w:t>
      </w:r>
      <w:r>
        <w:rPr>
          <w:rFonts w:hint="eastAsia" w:ascii="仿宋" w:hAnsi="仿宋" w:eastAsia="仿宋" w:cs="仿宋"/>
          <w:sz w:val="21"/>
          <w:szCs w:val="21"/>
        </w:rPr>
        <w:t>，并由乙方承担</w:t>
      </w:r>
      <w:r>
        <w:rPr>
          <w:rFonts w:hint="eastAsia" w:ascii="仿宋" w:hAnsi="仿宋" w:eastAsia="仿宋" w:cs="仿宋"/>
          <w:sz w:val="21"/>
          <w:szCs w:val="21"/>
          <w:lang w:val="en-US" w:eastAsia="zh-CN"/>
        </w:rPr>
        <w:t>本合同</w:t>
      </w:r>
      <w:r>
        <w:rPr>
          <w:rFonts w:hint="eastAsia" w:ascii="仿宋" w:hAnsi="仿宋" w:eastAsia="仿宋" w:cs="仿宋"/>
          <w:sz w:val="21"/>
          <w:szCs w:val="21"/>
        </w:rPr>
        <w:t>金额30%的违约金，且赔偿由此给甲方造成的一切损失。</w:t>
      </w:r>
      <w:r>
        <w:rPr>
          <w:rFonts w:hint="eastAsia" w:ascii="仿宋" w:hAnsi="仿宋" w:eastAsia="仿宋" w:cs="仿宋"/>
          <w:sz w:val="21"/>
          <w:szCs w:val="21"/>
          <w:lang w:val="en-US" w:eastAsia="zh-CN"/>
        </w:rPr>
        <w:t>在上述期限内，乙方未处理完成的，甲方有权单方解除合同，不承担任何违约责任。</w:t>
      </w:r>
      <w:r>
        <w:rPr>
          <w:rFonts w:hint="eastAsia" w:ascii="仿宋" w:hAnsi="仿宋" w:eastAsia="仿宋" w:cs="仿宋"/>
          <w:sz w:val="21"/>
          <w:szCs w:val="21"/>
        </w:rPr>
        <w:t>由于产品质量问题引起的装卸等费用由乙方承担。</w:t>
      </w:r>
    </w:p>
    <w:p>
      <w:pPr>
        <w:pStyle w:val="37"/>
        <w:numPr>
          <w:ilvl w:val="0"/>
          <w:numId w:val="3"/>
        </w:numPr>
        <w:spacing w:line="360" w:lineRule="auto"/>
        <w:ind w:left="420" w:leftChars="200" w:right="-210" w:rightChars="-100" w:firstLine="482"/>
        <w:rPr>
          <w:rFonts w:hint="eastAsia" w:ascii="仿宋" w:hAnsi="仿宋" w:eastAsia="仿宋" w:cs="仿宋"/>
          <w:b/>
          <w:sz w:val="21"/>
          <w:szCs w:val="21"/>
          <w:u w:val="single"/>
        </w:rPr>
      </w:pPr>
      <w:r>
        <w:rPr>
          <w:rFonts w:hint="eastAsia" w:ascii="仿宋" w:hAnsi="仿宋" w:eastAsia="仿宋" w:cs="仿宋"/>
          <w:b/>
          <w:sz w:val="21"/>
          <w:szCs w:val="21"/>
        </w:rPr>
        <w:t>产品包装标准、包装物的供应和回收：</w:t>
      </w:r>
      <w:r>
        <w:rPr>
          <w:rFonts w:hint="eastAsia" w:ascii="仿宋" w:hAnsi="仿宋" w:eastAsia="仿宋" w:cs="仿宋"/>
          <w:b/>
          <w:sz w:val="21"/>
          <w:szCs w:val="21"/>
          <w:u w:val="single"/>
        </w:rPr>
        <w:t xml:space="preserve">    /        </w:t>
      </w:r>
    </w:p>
    <w:p>
      <w:pPr>
        <w:pStyle w:val="37"/>
        <w:spacing w:line="360" w:lineRule="auto"/>
        <w:ind w:left="902" w:right="-210" w:rightChars="-100" w:firstLine="480"/>
        <w:rPr>
          <w:rFonts w:hint="eastAsia" w:ascii="仿宋" w:hAnsi="仿宋" w:eastAsia="仿宋" w:cs="仿宋"/>
          <w:sz w:val="21"/>
          <w:szCs w:val="21"/>
        </w:rPr>
      </w:pPr>
      <w:r>
        <w:rPr>
          <w:rFonts w:hint="eastAsia" w:ascii="仿宋" w:hAnsi="仿宋" w:eastAsia="仿宋" w:cs="仿宋"/>
          <w:sz w:val="21"/>
          <w:szCs w:val="21"/>
        </w:rPr>
        <w:t>1、材料应注明生产厂、生产日期、材料牌号和规格等。</w:t>
      </w:r>
    </w:p>
    <w:p>
      <w:pPr>
        <w:pStyle w:val="37"/>
        <w:spacing w:line="360" w:lineRule="auto"/>
        <w:ind w:left="902" w:right="-210" w:rightChars="-100" w:firstLine="480"/>
        <w:rPr>
          <w:rFonts w:hint="eastAsia" w:ascii="仿宋" w:hAnsi="仿宋" w:eastAsia="仿宋" w:cs="仿宋"/>
          <w:sz w:val="21"/>
          <w:szCs w:val="21"/>
        </w:rPr>
      </w:pPr>
      <w:r>
        <w:rPr>
          <w:rFonts w:hint="eastAsia" w:ascii="仿宋" w:hAnsi="仿宋" w:eastAsia="仿宋" w:cs="仿宋"/>
          <w:sz w:val="21"/>
          <w:szCs w:val="21"/>
        </w:rPr>
        <w:t>2、以生厂商的原厂包装为标准。</w:t>
      </w:r>
    </w:p>
    <w:p>
      <w:pPr>
        <w:pStyle w:val="37"/>
        <w:numPr>
          <w:ilvl w:val="0"/>
          <w:numId w:val="3"/>
        </w:numPr>
        <w:spacing w:line="360" w:lineRule="auto"/>
        <w:ind w:left="420" w:leftChars="200" w:right="-210" w:rightChars="-100" w:firstLine="482"/>
        <w:rPr>
          <w:rFonts w:hint="eastAsia" w:ascii="仿宋" w:hAnsi="仿宋" w:eastAsia="仿宋" w:cs="仿宋"/>
          <w:b/>
          <w:sz w:val="21"/>
          <w:szCs w:val="21"/>
        </w:rPr>
      </w:pPr>
      <w:r>
        <w:rPr>
          <w:rFonts w:hint="eastAsia" w:ascii="仿宋" w:hAnsi="仿宋" w:eastAsia="仿宋" w:cs="仿宋"/>
          <w:b/>
          <w:sz w:val="21"/>
          <w:szCs w:val="21"/>
        </w:rPr>
        <w:t>合同总价</w:t>
      </w:r>
    </w:p>
    <w:p>
      <w:pPr>
        <w:spacing w:line="360" w:lineRule="auto"/>
        <w:ind w:left="420" w:leftChars="200" w:right="-210" w:rightChars="-100" w:firstLine="420" w:firstLineChars="200"/>
        <w:rPr>
          <w:rFonts w:hint="eastAsia" w:ascii="仿宋" w:hAnsi="仿宋" w:eastAsia="仿宋" w:cs="仿宋"/>
          <w:b/>
          <w:color w:val="FF0000"/>
          <w:sz w:val="21"/>
          <w:szCs w:val="21"/>
        </w:rPr>
      </w:pPr>
      <w:r>
        <w:rPr>
          <w:rFonts w:hint="eastAsia" w:ascii="仿宋" w:hAnsi="仿宋" w:eastAsia="仿宋" w:cs="仿宋"/>
          <w:sz w:val="21"/>
          <w:szCs w:val="21"/>
        </w:rPr>
        <w:t>本合同暂定总价为 ¥</w:t>
      </w:r>
      <w:r>
        <w:rPr>
          <w:rFonts w:hint="eastAsia" w:ascii="仿宋" w:hAnsi="仿宋" w:eastAsia="仿宋" w:cs="仿宋"/>
          <w:sz w:val="21"/>
          <w:szCs w:val="21"/>
          <w:u w:val="single"/>
        </w:rPr>
        <w:t xml:space="preserve"> </w:t>
      </w:r>
      <w:r>
        <w:rPr>
          <w:rFonts w:hint="eastAsia" w:ascii="仿宋" w:hAnsi="仿宋" w:eastAsia="仿宋" w:cs="仿宋"/>
          <w:b/>
          <w:bCs/>
          <w:sz w:val="21"/>
          <w:szCs w:val="21"/>
          <w:u w:val="single"/>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元（大写：人民币</w:t>
      </w:r>
      <w:r>
        <w:rPr>
          <w:rFonts w:hint="eastAsia" w:ascii="仿宋" w:hAnsi="仿宋" w:eastAsia="仿宋" w:cs="仿宋"/>
          <w:sz w:val="21"/>
          <w:szCs w:val="21"/>
          <w:u w:val="single"/>
        </w:rPr>
        <w:t xml:space="preserve">     </w:t>
      </w:r>
      <w:r>
        <w:rPr>
          <w:rFonts w:hint="eastAsia" w:ascii="仿宋" w:hAnsi="仿宋" w:eastAsia="仿宋" w:cs="仿宋"/>
          <w:sz w:val="21"/>
          <w:szCs w:val="21"/>
        </w:rPr>
        <w:t>），其中货价款为（大写）¥</w:t>
      </w:r>
      <w:r>
        <w:rPr>
          <w:rFonts w:hint="eastAsia" w:ascii="仿宋" w:hAnsi="仿宋" w:eastAsia="仿宋" w:cs="仿宋"/>
          <w:b/>
          <w:bCs/>
          <w:sz w:val="21"/>
          <w:szCs w:val="21"/>
          <w:u w:val="single"/>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元（大写：人民币</w:t>
      </w:r>
      <w:r>
        <w:rPr>
          <w:rFonts w:hint="eastAsia" w:ascii="仿宋" w:hAnsi="仿宋" w:eastAsia="仿宋" w:cs="仿宋"/>
          <w:sz w:val="21"/>
          <w:szCs w:val="21"/>
          <w:u w:val="single"/>
        </w:rPr>
        <w:t xml:space="preserve">     </w:t>
      </w:r>
      <w:r>
        <w:rPr>
          <w:rFonts w:hint="eastAsia" w:ascii="仿宋" w:hAnsi="仿宋" w:eastAsia="仿宋" w:cs="仿宋"/>
          <w:sz w:val="21"/>
          <w:szCs w:val="21"/>
        </w:rPr>
        <w:t>）；增值税税金（¥</w:t>
      </w:r>
      <w:r>
        <w:rPr>
          <w:rFonts w:hint="eastAsia" w:ascii="仿宋" w:hAnsi="仿宋" w:eastAsia="仿宋" w:cs="仿宋"/>
          <w:b/>
          <w:bCs/>
          <w:sz w:val="21"/>
          <w:szCs w:val="21"/>
          <w:u w:val="single"/>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元（大写：人民币</w:t>
      </w:r>
      <w:r>
        <w:rPr>
          <w:rFonts w:hint="eastAsia" w:ascii="仿宋" w:hAnsi="仿宋" w:eastAsia="仿宋" w:cs="仿宋"/>
          <w:sz w:val="21"/>
          <w:szCs w:val="21"/>
          <w:u w:val="single"/>
        </w:rPr>
        <w:t xml:space="preserve">    </w:t>
      </w:r>
      <w:r>
        <w:rPr>
          <w:rFonts w:hint="eastAsia" w:ascii="仿宋" w:hAnsi="仿宋" w:eastAsia="仿宋" w:cs="仿宋"/>
          <w:sz w:val="21"/>
          <w:szCs w:val="21"/>
        </w:rPr>
        <w:t>）</w:t>
      </w:r>
      <w:r>
        <w:rPr>
          <w:rFonts w:hint="eastAsia" w:ascii="仿宋" w:hAnsi="仿宋" w:eastAsia="仿宋" w:cs="仿宋"/>
          <w:b/>
          <w:sz w:val="21"/>
          <w:szCs w:val="21"/>
        </w:rPr>
        <w:t>，</w:t>
      </w:r>
      <w:r>
        <w:rPr>
          <w:rFonts w:hint="eastAsia" w:ascii="仿宋" w:hAnsi="仿宋" w:eastAsia="仿宋" w:cs="仿宋"/>
          <w:sz w:val="21"/>
          <w:szCs w:val="21"/>
        </w:rPr>
        <w:t>此价款包括但不限于货品标的物的售价、税费、运输费、运输中的损耗费用、堆放整齐费、装卸费及交收前保管等所有费用。</w:t>
      </w:r>
    </w:p>
    <w:p>
      <w:pPr>
        <w:pStyle w:val="37"/>
        <w:numPr>
          <w:ilvl w:val="0"/>
          <w:numId w:val="3"/>
        </w:numPr>
        <w:spacing w:line="360" w:lineRule="auto"/>
        <w:ind w:left="420" w:leftChars="200" w:right="-210" w:rightChars="-100" w:firstLine="482"/>
        <w:rPr>
          <w:rFonts w:hint="eastAsia" w:ascii="仿宋" w:hAnsi="仿宋" w:eastAsia="仿宋" w:cs="仿宋"/>
          <w:b/>
          <w:color w:val="auto"/>
          <w:sz w:val="21"/>
          <w:szCs w:val="21"/>
        </w:rPr>
      </w:pPr>
      <w:r>
        <w:rPr>
          <w:rFonts w:hint="eastAsia" w:ascii="仿宋" w:hAnsi="仿宋" w:eastAsia="仿宋" w:cs="仿宋"/>
          <w:b/>
          <w:color w:val="auto"/>
          <w:sz w:val="21"/>
          <w:szCs w:val="21"/>
        </w:rPr>
        <w:t>交货的工期要求</w:t>
      </w:r>
    </w:p>
    <w:p>
      <w:pPr>
        <w:pStyle w:val="37"/>
        <w:spacing w:line="360" w:lineRule="auto"/>
        <w:ind w:left="420" w:leftChars="200" w:right="-210" w:rightChars="-100" w:firstLine="480"/>
        <w:rPr>
          <w:rFonts w:hint="eastAsia" w:ascii="仿宋" w:hAnsi="仿宋" w:eastAsia="仿宋" w:cs="仿宋"/>
          <w:color w:val="auto"/>
          <w:sz w:val="21"/>
          <w:szCs w:val="21"/>
        </w:rPr>
      </w:pPr>
      <w:r>
        <w:rPr>
          <w:rFonts w:hint="eastAsia" w:ascii="仿宋" w:hAnsi="仿宋" w:eastAsia="仿宋" w:cs="仿宋"/>
          <w:color w:val="auto"/>
          <w:sz w:val="21"/>
          <w:szCs w:val="21"/>
        </w:rPr>
        <w:t>此采购合同项下的所有产品供货期自202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日至202</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日，工期为</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个日历天，具体的供货日期，若项目部根据工程整体进度拟定了书面供货期则以其为准，否则，执行本合同第六条约定的供货期限。</w:t>
      </w:r>
    </w:p>
    <w:p>
      <w:pPr>
        <w:pStyle w:val="37"/>
        <w:numPr>
          <w:ilvl w:val="0"/>
          <w:numId w:val="3"/>
        </w:numPr>
        <w:spacing w:line="360" w:lineRule="auto"/>
        <w:ind w:left="420" w:leftChars="200" w:right="-210" w:rightChars="-100" w:firstLine="482"/>
        <w:rPr>
          <w:rFonts w:hint="eastAsia" w:ascii="仿宋" w:hAnsi="仿宋" w:eastAsia="仿宋" w:cs="仿宋"/>
          <w:b/>
          <w:color w:val="auto"/>
          <w:sz w:val="21"/>
          <w:szCs w:val="21"/>
        </w:rPr>
      </w:pPr>
      <w:r>
        <w:rPr>
          <w:rFonts w:hint="eastAsia" w:ascii="仿宋" w:hAnsi="仿宋" w:eastAsia="仿宋" w:cs="仿宋"/>
          <w:b/>
          <w:color w:val="auto"/>
          <w:sz w:val="21"/>
          <w:szCs w:val="21"/>
        </w:rPr>
        <w:t>交货地点、方式及联系人：</w:t>
      </w:r>
    </w:p>
    <w:p>
      <w:pPr>
        <w:pStyle w:val="37"/>
        <w:spacing w:line="360" w:lineRule="auto"/>
        <w:ind w:right="-210" w:rightChars="-100" w:firstLine="787" w:firstLineChars="375"/>
        <w:rPr>
          <w:rFonts w:hint="eastAsia" w:ascii="仿宋" w:hAnsi="仿宋" w:eastAsia="仿宋" w:cs="仿宋"/>
          <w:color w:val="auto"/>
          <w:sz w:val="21"/>
          <w:szCs w:val="21"/>
          <w:u w:val="single"/>
        </w:rPr>
      </w:pPr>
      <w:r>
        <w:rPr>
          <w:rFonts w:hint="eastAsia" w:ascii="仿宋" w:hAnsi="仿宋" w:eastAsia="仿宋" w:cs="仿宋"/>
          <w:color w:val="auto"/>
          <w:sz w:val="21"/>
          <w:szCs w:val="21"/>
        </w:rPr>
        <w:t>1、交货地点：</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u w:val="single"/>
          <w:lang w:val="en-US" w:eastAsia="zh-CN"/>
        </w:rPr>
        <w:t>广东省东莞市城区配套物流仓储建设</w:t>
      </w:r>
      <w:r>
        <w:rPr>
          <w:rFonts w:hint="eastAsia" w:ascii="仿宋" w:hAnsi="仿宋" w:eastAsia="仿宋" w:cs="仿宋"/>
          <w:color w:val="auto"/>
          <w:sz w:val="21"/>
          <w:szCs w:val="21"/>
          <w:u w:val="single"/>
        </w:rPr>
        <w:t xml:space="preserve">项目部  </w:t>
      </w:r>
    </w:p>
    <w:p>
      <w:pPr>
        <w:spacing w:line="360" w:lineRule="auto"/>
        <w:ind w:left="420" w:leftChars="200" w:right="-210" w:rightChars="-100" w:firstLine="315" w:firstLineChars="150"/>
        <w:rPr>
          <w:rFonts w:hint="eastAsia" w:ascii="仿宋" w:hAnsi="仿宋" w:eastAsia="仿宋" w:cs="仿宋"/>
          <w:sz w:val="21"/>
          <w:szCs w:val="21"/>
        </w:rPr>
      </w:pPr>
      <w:r>
        <w:rPr>
          <w:rFonts w:hint="eastAsia" w:ascii="仿宋" w:hAnsi="仿宋" w:eastAsia="仿宋" w:cs="仿宋"/>
          <w:color w:val="auto"/>
          <w:sz w:val="21"/>
          <w:szCs w:val="21"/>
        </w:rPr>
        <w:t>2、交货方式：</w:t>
      </w:r>
      <w:r>
        <w:rPr>
          <w:rFonts w:hint="eastAsia" w:ascii="仿宋" w:hAnsi="仿宋" w:eastAsia="仿宋" w:cs="仿宋"/>
          <w:color w:val="auto"/>
          <w:sz w:val="21"/>
          <w:szCs w:val="21"/>
          <w:u w:val="single"/>
        </w:rPr>
        <w:t>货品交予甲方之前，由乙方妥善保管，在验收时，如发现缺少、损坏等，甲方有权拒收，因此造成的损失，和退换货的费用</w:t>
      </w:r>
      <w:r>
        <w:rPr>
          <w:rFonts w:hint="eastAsia" w:ascii="仿宋" w:hAnsi="仿宋" w:eastAsia="仿宋" w:cs="仿宋"/>
          <w:sz w:val="21"/>
          <w:szCs w:val="21"/>
          <w:u w:val="single"/>
        </w:rPr>
        <w:t xml:space="preserve">由乙方自行承担。 </w:t>
      </w:r>
    </w:p>
    <w:p>
      <w:pPr>
        <w:spacing w:line="360" w:lineRule="auto"/>
        <w:ind w:right="-210" w:rightChars="-100" w:firstLine="735" w:firstLineChars="350"/>
        <w:rPr>
          <w:rFonts w:hint="eastAsia" w:ascii="仿宋" w:hAnsi="仿宋" w:eastAsia="仿宋" w:cs="仿宋"/>
          <w:sz w:val="21"/>
          <w:szCs w:val="21"/>
        </w:rPr>
      </w:pPr>
      <w:r>
        <w:rPr>
          <w:rFonts w:hint="eastAsia" w:ascii="仿宋" w:hAnsi="仿宋" w:eastAsia="仿宋" w:cs="仿宋"/>
          <w:sz w:val="21"/>
          <w:szCs w:val="21"/>
        </w:rPr>
        <w:t>3、乙方在产品运抵交货地点后，甲乙双方应及时做好验收工作和书面交验签字记录。</w:t>
      </w:r>
    </w:p>
    <w:p>
      <w:pPr>
        <w:spacing w:line="360" w:lineRule="auto"/>
        <w:ind w:right="-210" w:rightChars="-100" w:firstLine="735" w:firstLineChars="350"/>
        <w:rPr>
          <w:rFonts w:hint="eastAsia" w:ascii="仿宋" w:hAnsi="仿宋" w:eastAsia="仿宋" w:cs="仿宋"/>
          <w:sz w:val="21"/>
          <w:szCs w:val="21"/>
        </w:rPr>
      </w:pPr>
      <w:r>
        <w:rPr>
          <w:rFonts w:hint="eastAsia" w:ascii="仿宋" w:hAnsi="仿宋" w:eastAsia="仿宋" w:cs="仿宋"/>
          <w:sz w:val="21"/>
          <w:szCs w:val="21"/>
        </w:rPr>
        <w:t>4、甲方项目部指定项目部联系人：</w:t>
      </w:r>
      <w:r>
        <w:rPr>
          <w:rFonts w:hint="eastAsia" w:ascii="仿宋" w:hAnsi="仿宋" w:eastAsia="仿宋" w:cs="仿宋"/>
          <w:sz w:val="21"/>
          <w:szCs w:val="21"/>
          <w:u w:val="single"/>
        </w:rPr>
        <w:t xml:space="preserve">        </w:t>
      </w:r>
      <w:r>
        <w:rPr>
          <w:rFonts w:hint="eastAsia" w:ascii="仿宋" w:hAnsi="仿宋" w:eastAsia="仿宋" w:cs="仿宋"/>
          <w:sz w:val="21"/>
          <w:szCs w:val="21"/>
        </w:rPr>
        <w:t>，</w:t>
      </w:r>
      <w:r>
        <w:rPr>
          <w:rFonts w:hint="eastAsia" w:ascii="仿宋" w:hAnsi="仿宋" w:eastAsia="仿宋" w:cs="仿宋"/>
          <w:sz w:val="21"/>
          <w:szCs w:val="21"/>
          <w:u w:val="single"/>
        </w:rPr>
        <w:t xml:space="preserve">电话：     </w:t>
      </w:r>
      <w:r>
        <w:rPr>
          <w:rFonts w:hint="eastAsia" w:ascii="仿宋" w:hAnsi="仿宋" w:eastAsia="仿宋" w:cs="仿宋"/>
          <w:sz w:val="21"/>
          <w:szCs w:val="21"/>
        </w:rPr>
        <w:t>；送货单、材料进场报审表必须由甲方项目部联系人签字加盖甲方项目部管理章方有效。</w:t>
      </w:r>
    </w:p>
    <w:p>
      <w:pPr>
        <w:pStyle w:val="37"/>
        <w:spacing w:line="360" w:lineRule="auto"/>
        <w:ind w:left="420" w:leftChars="200" w:right="-210" w:rightChars="-100" w:firstLine="482"/>
        <w:rPr>
          <w:rFonts w:hint="eastAsia" w:ascii="仿宋" w:hAnsi="仿宋" w:eastAsia="仿宋" w:cs="仿宋"/>
          <w:b/>
          <w:sz w:val="21"/>
          <w:szCs w:val="21"/>
        </w:rPr>
      </w:pPr>
      <w:r>
        <w:rPr>
          <w:rFonts w:hint="eastAsia" w:ascii="仿宋" w:hAnsi="仿宋" w:eastAsia="仿宋" w:cs="仿宋"/>
          <w:b/>
          <w:sz w:val="21"/>
          <w:szCs w:val="21"/>
        </w:rPr>
        <w:t>第八条  产品付款方式</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1、工程款支付节点：</w:t>
      </w:r>
    </w:p>
    <w:p>
      <w:pPr>
        <w:pStyle w:val="37"/>
        <w:spacing w:line="360" w:lineRule="auto"/>
        <w:ind w:left="525" w:leftChars="250" w:right="-210" w:rightChars="-100" w:firstLine="533" w:firstLineChars="254"/>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（1）本项目没有预付款；</w:t>
      </w:r>
    </w:p>
    <w:p>
      <w:pPr>
        <w:pStyle w:val="37"/>
        <w:spacing w:line="360" w:lineRule="auto"/>
        <w:ind w:left="525" w:leftChars="250" w:right="-210" w:rightChars="-100" w:firstLine="533" w:firstLineChars="254"/>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乙方每批货到现场并经甲方确认收货后十五个工作日内，甲方支付乙方至该批次总价款的100 %。乙方须提供本合同全额发票，发票税率为13%专用发票，遇国家税务政策调整所引起的合同价格变化，按照不含税价格调整结算价格。</w:t>
      </w:r>
    </w:p>
    <w:p>
      <w:pPr>
        <w:pStyle w:val="37"/>
        <w:spacing w:line="360" w:lineRule="auto"/>
        <w:ind w:left="525" w:leftChars="250" w:right="-210" w:rightChars="-100" w:firstLine="533" w:firstLineChars="254"/>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甲方每次付款前，乙方需提供甲方确认的下料单以及经甲方和监理单位确认的送货单，材料进场的报审表及合法有效的税务发票给甲方，否则甲方有权顺延付款或不支付款项。且不承担延迟付款的任何责任。同时，也不免除乙方在本合同项下应尽的各项义务。</w:t>
      </w:r>
    </w:p>
    <w:p>
      <w:pPr>
        <w:pStyle w:val="37"/>
        <w:spacing w:line="360" w:lineRule="auto"/>
        <w:ind w:left="525" w:leftChars="250" w:right="-210" w:rightChars="-100" w:firstLine="533" w:firstLineChars="254"/>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）供货数量超过本合同数量10%时，乙方应当书面通知甲方项目部并及时报甲方成本部进行确认和审核，经甲方成本部核准后方可供货，否则，甲方对于超额供货的不予确认和支付货款，一切责任由乙方自行承担。</w:t>
      </w:r>
    </w:p>
    <w:p>
      <w:pPr>
        <w:pStyle w:val="37"/>
        <w:spacing w:line="360" w:lineRule="auto"/>
        <w:ind w:left="525" w:leftChars="250" w:right="-210" w:rightChars="-100" w:firstLine="533" w:firstLineChars="254"/>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）当期铜期货价以下单当时的截图为准。</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2、甲方每次付款前，乙方需提供经甲方及监理单位确认的送货单，材料验收单及合法有效的13%的增值税专用发票给甲方，否则甲方有权顺延付款或不支付款项。且不承担任何延迟付款的责任。同时，不免除乙方在本合同项下应承担的各项义务。</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3、甲方首次付款前，乙方需提供厂家或乙方出具的质保保证书，并明确在非人为损坏的情况下提供</w:t>
      </w:r>
      <w:r>
        <w:rPr>
          <w:rFonts w:hint="eastAsia" w:ascii="仿宋" w:hAnsi="仿宋" w:eastAsia="仿宋" w:cs="仿宋"/>
          <w:sz w:val="21"/>
          <w:szCs w:val="21"/>
          <w:u w:val="single"/>
        </w:rPr>
        <w:t xml:space="preserve"> 2  </w:t>
      </w:r>
      <w:r>
        <w:rPr>
          <w:rFonts w:hint="eastAsia" w:ascii="仿宋" w:hAnsi="仿宋" w:eastAsia="仿宋" w:cs="仿宋"/>
          <w:sz w:val="21"/>
          <w:szCs w:val="21"/>
        </w:rPr>
        <w:t>年的产品质量保修服务。</w:t>
      </w:r>
    </w:p>
    <w:p>
      <w:pPr>
        <w:spacing w:line="480" w:lineRule="exact"/>
        <w:rPr>
          <w:rFonts w:hint="eastAsia" w:ascii="仿宋" w:hAnsi="仿宋" w:eastAsia="仿宋" w:cs="仿宋"/>
          <w:b/>
          <w:color w:val="auto"/>
          <w:szCs w:val="21"/>
          <w:highlight w:val="none"/>
        </w:rPr>
      </w:pPr>
      <w:r>
        <w:rPr>
          <w:rFonts w:hint="eastAsia" w:ascii="仿宋" w:hAnsi="仿宋" w:eastAsia="仿宋" w:cs="仿宋"/>
          <w:b/>
          <w:sz w:val="21"/>
          <w:szCs w:val="21"/>
        </w:rPr>
        <w:t xml:space="preserve">第九条  </w:t>
      </w:r>
      <w:r>
        <w:rPr>
          <w:rFonts w:hint="eastAsia" w:ascii="仿宋" w:hAnsi="仿宋" w:eastAsia="仿宋" w:cs="仿宋"/>
          <w:b/>
          <w:color w:val="auto"/>
          <w:szCs w:val="21"/>
          <w:highlight w:val="none"/>
        </w:rPr>
        <w:t>履约保证金（双方同意选择第</w:t>
      </w:r>
      <w:r>
        <w:rPr>
          <w:rFonts w:hint="eastAsia" w:ascii="仿宋" w:hAnsi="仿宋" w:eastAsia="仿宋" w:cs="仿宋"/>
          <w:b/>
          <w:color w:val="auto"/>
          <w:szCs w:val="21"/>
          <w:highlight w:val="none"/>
          <w:u w:val="single"/>
        </w:rPr>
        <w:t>（</w:t>
      </w:r>
      <w:r>
        <w:rPr>
          <w:rFonts w:hint="eastAsia" w:ascii="仿宋" w:hAnsi="仿宋" w:eastAsia="仿宋" w:cs="仿宋"/>
          <w:b/>
          <w:color w:val="auto"/>
          <w:szCs w:val="21"/>
          <w:highlight w:val="none"/>
          <w:u w:val="single"/>
          <w:lang w:val="en-US" w:eastAsia="zh-CN"/>
        </w:rPr>
        <w:t xml:space="preserve"> 二 </w:t>
      </w:r>
      <w:r>
        <w:rPr>
          <w:rFonts w:hint="eastAsia" w:ascii="仿宋" w:hAnsi="仿宋" w:eastAsia="仿宋" w:cs="仿宋"/>
          <w:b/>
          <w:color w:val="auto"/>
          <w:szCs w:val="21"/>
          <w:highlight w:val="none"/>
          <w:u w:val="single"/>
        </w:rPr>
        <w:t>）</w:t>
      </w:r>
      <w:r>
        <w:rPr>
          <w:rFonts w:hint="eastAsia" w:ascii="仿宋" w:hAnsi="仿宋" w:eastAsia="仿宋" w:cs="仿宋"/>
          <w:b/>
          <w:color w:val="auto"/>
          <w:szCs w:val="21"/>
          <w:highlight w:val="none"/>
        </w:rPr>
        <w:t>款）</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（一）本项目不设履约保证金。</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（二）履约保证金：</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1、若乙方以履约保函方式担保的，履约保证金按合同金额的10%计取，</w:t>
      </w:r>
      <w:r>
        <w:rPr>
          <w:rFonts w:hint="eastAsia" w:ascii="仿宋" w:hAnsi="仿宋" w:eastAsia="仿宋" w:cs="仿宋"/>
          <w:color w:val="auto"/>
          <w:sz w:val="22"/>
          <w:szCs w:val="22"/>
          <w:highlight w:val="none"/>
        </w:rPr>
        <w:t>即</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元(大写：</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)，若以现金方式担保的，则履约保证金为¥</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元(大写：</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)，乙方需在签订本合同前5个工作日内将上述款项转至甲方帐户或提供履约保函</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rPr>
        <w:t>如乙方未在规定时限内提供履约保函或支付履约保证金的，甲方有权从支付给乙方第一笔进度款中扣除。</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单位名称：</w:t>
      </w:r>
      <w:r>
        <w:rPr>
          <w:rFonts w:hint="eastAsia" w:ascii="仿宋" w:hAnsi="仿宋" w:eastAsia="仿宋" w:cs="仿宋"/>
          <w:color w:val="auto"/>
          <w:szCs w:val="21"/>
          <w:highlight w:val="none"/>
          <w:u w:val="single"/>
        </w:rPr>
        <w:t xml:space="preserve"> 东莞市莞城建筑工程有限公司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w:t>
      </w:r>
      <w:r>
        <w:rPr>
          <w:rFonts w:hint="eastAsia" w:ascii="仿宋" w:hAnsi="仿宋" w:eastAsia="仿宋" w:cs="仿宋"/>
          <w:color w:val="auto"/>
          <w:szCs w:val="21"/>
          <w:highlight w:val="none"/>
          <w:u w:val="single"/>
        </w:rPr>
        <w:t xml:space="preserve"> 东莞农村商业银行莞城罗沙支行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账  号：</w:t>
      </w:r>
      <w:r>
        <w:rPr>
          <w:rFonts w:hint="eastAsia" w:ascii="仿宋" w:hAnsi="仿宋" w:eastAsia="仿宋" w:cs="仿宋"/>
          <w:color w:val="auto"/>
          <w:szCs w:val="21"/>
          <w:highlight w:val="none"/>
          <w:u w:val="single"/>
        </w:rPr>
        <w:t xml:space="preserve"> 310070190010006106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、履约担保的有效期</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从合同签订之日起到乙方按照甲方要求完成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图纸编制，经合同双方签字确定后7日内保持有效。</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、现金履约保证金的退还</w:t>
      </w:r>
    </w:p>
    <w:p>
      <w:pPr>
        <w:spacing w:line="480" w:lineRule="exact"/>
        <w:ind w:firstLine="420" w:firstLineChars="200"/>
        <w:rPr>
          <w:rFonts w:hint="eastAsia" w:ascii="仿宋" w:hAnsi="仿宋" w:eastAsia="仿宋" w:cs="仿宋"/>
          <w:sz w:val="21"/>
          <w:szCs w:val="21"/>
        </w:rPr>
      </w:pPr>
      <w:r>
        <w:rPr>
          <w:rFonts w:hint="eastAsia" w:ascii="仿宋" w:hAnsi="仿宋" w:eastAsia="仿宋" w:cs="仿宋"/>
          <w:color w:val="auto"/>
          <w:szCs w:val="21"/>
          <w:highlight w:val="none"/>
        </w:rPr>
        <w:t>乙方向甲方缴纳的上述履约保证金，在工程完工后且经使用方确认工程交工15天内，甲方退回上述履约保证金的50%给乙方。剩余50%的履约保证金乙方需完成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图纸编制</w:t>
      </w:r>
      <w:r>
        <w:rPr>
          <w:rFonts w:hint="eastAsia" w:ascii="仿宋" w:hAnsi="仿宋" w:eastAsia="仿宋" w:cs="仿宋"/>
          <w:color w:val="auto"/>
          <w:szCs w:val="21"/>
          <w:highlight w:val="none"/>
          <w:lang w:val="en-US" w:eastAsia="zh-CN"/>
        </w:rPr>
        <w:t>并验收合格</w:t>
      </w:r>
      <w:r>
        <w:rPr>
          <w:rFonts w:hint="eastAsia" w:ascii="仿宋" w:hAnsi="仿宋" w:eastAsia="仿宋" w:cs="仿宋"/>
          <w:color w:val="auto"/>
          <w:szCs w:val="21"/>
          <w:highlight w:val="none"/>
        </w:rPr>
        <w:t>，甲方</w:t>
      </w:r>
      <w:r>
        <w:rPr>
          <w:rFonts w:hint="eastAsia" w:ascii="仿宋" w:hAnsi="仿宋" w:eastAsia="仿宋" w:cs="仿宋"/>
          <w:color w:val="auto"/>
          <w:szCs w:val="21"/>
          <w:highlight w:val="none"/>
          <w:lang w:val="en-US" w:eastAsia="zh-CN"/>
        </w:rPr>
        <w:t>收到乙方的请款申请后15天</w:t>
      </w:r>
      <w:r>
        <w:rPr>
          <w:rFonts w:hint="eastAsia" w:ascii="仿宋" w:hAnsi="仿宋" w:eastAsia="仿宋" w:cs="仿宋"/>
          <w:color w:val="auto"/>
          <w:szCs w:val="21"/>
          <w:highlight w:val="none"/>
        </w:rPr>
        <w:t>方可退回给乙方（如提请</w:t>
      </w:r>
      <w:r>
        <w:rPr>
          <w:rFonts w:hint="eastAsia" w:ascii="仿宋" w:hAnsi="仿宋" w:eastAsia="仿宋" w:cs="仿宋"/>
          <w:bCs/>
          <w:color w:val="auto"/>
          <w:szCs w:val="21"/>
          <w:highlight w:val="none"/>
          <w:lang w:val="en-US" w:eastAsia="zh-CN"/>
        </w:rPr>
        <w:t>分部分项</w:t>
      </w:r>
      <w:r>
        <w:rPr>
          <w:rFonts w:hint="eastAsia" w:ascii="仿宋" w:hAnsi="仿宋" w:eastAsia="仿宋" w:cs="仿宋"/>
          <w:color w:val="auto"/>
          <w:szCs w:val="21"/>
          <w:highlight w:val="none"/>
        </w:rPr>
        <w:t>验收后一个月内乙方无法配合甲方完成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图纸，将由甲方组织编制</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图，所产生的相关费用从剩余50%履约保证金中扣除，不足以扣除的部分，甲方有权从乙方的工程款或质保金中扣除），履约保证金均以不计取利息的方式退还给乙方。</w:t>
      </w:r>
    </w:p>
    <w:p>
      <w:pPr>
        <w:pStyle w:val="37"/>
        <w:spacing w:line="360" w:lineRule="auto"/>
        <w:ind w:left="420" w:leftChars="200" w:right="-210" w:rightChars="-100" w:firstLine="482"/>
        <w:rPr>
          <w:rFonts w:hint="eastAsia" w:ascii="仿宋" w:hAnsi="仿宋" w:eastAsia="仿宋" w:cs="仿宋"/>
          <w:b/>
          <w:sz w:val="21"/>
          <w:szCs w:val="21"/>
        </w:rPr>
      </w:pPr>
      <w:r>
        <w:rPr>
          <w:rFonts w:hint="eastAsia" w:ascii="仿宋" w:hAnsi="仿宋" w:eastAsia="仿宋" w:cs="仿宋"/>
          <w:b/>
          <w:sz w:val="21"/>
          <w:szCs w:val="21"/>
        </w:rPr>
        <w:t>第十条  违约责任</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1、乙方不能按时交货的，应向甲方偿付不能按时交货部分货款20%的违约金，并承担甲方因此所受损失的费用。</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 xml:space="preserve"> 乙方所交产品品种、型号、规格、质量不符合合同规定的，应根据产品的具体情况，由乙方负责调换，并承担调换而支付的实际费用；乙方不能调换的，按不能按时交货处理，除无条件接受甲方退货的要求，且承担退货而产生的实际费用。调换和退货影响甲方工程工期的，乙方应承担相应的违约责任。</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2、产品质量达不到规定要求的，而乙方又无力按约定质量标准交货的，乙方除应返还所有已收货款外，还应按合同总价款的20%承担违约责任，给甲方造成损失的，甲方有权在损失范围内向乙方追偿。</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3、由于乙方原因，造成产品交货时间延误时，每延误一天，乙方需按合同总价的1%向甲方支付违约金，按天累计。延误超</w:t>
      </w:r>
      <w:r>
        <w:rPr>
          <w:rFonts w:hint="eastAsia" w:ascii="仿宋" w:hAnsi="仿宋" w:eastAsia="仿宋" w:cs="仿宋"/>
          <w:color w:val="FF0000"/>
          <w:sz w:val="21"/>
          <w:szCs w:val="21"/>
        </w:rPr>
        <w:t>过</w:t>
      </w:r>
      <w:r>
        <w:rPr>
          <w:rFonts w:hint="eastAsia" w:ascii="仿宋" w:hAnsi="仿宋" w:eastAsia="仿宋" w:cs="仿宋"/>
          <w:color w:val="FF0000"/>
          <w:sz w:val="21"/>
          <w:szCs w:val="21"/>
          <w:u w:val="single"/>
        </w:rPr>
        <w:t>10</w:t>
      </w:r>
      <w:r>
        <w:rPr>
          <w:rFonts w:hint="eastAsia" w:ascii="仿宋" w:hAnsi="仿宋" w:eastAsia="仿宋" w:cs="仿宋"/>
          <w:color w:val="FF0000"/>
          <w:sz w:val="21"/>
          <w:szCs w:val="21"/>
        </w:rPr>
        <w:t>天的，</w:t>
      </w:r>
      <w:r>
        <w:rPr>
          <w:rFonts w:hint="eastAsia" w:ascii="仿宋" w:hAnsi="仿宋" w:eastAsia="仿宋" w:cs="仿宋"/>
          <w:sz w:val="21"/>
          <w:szCs w:val="21"/>
        </w:rPr>
        <w:t>甲方有权单方面终止合同，乙方应按合同总价款的20%承担违约责任，给甲方造成损失的，甲方有权在损失范围内向乙方追偿。</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4、甲方未能在约定的时间内支付货款，则乙方有权得到到期应付未付款额自应付之日起至实际支付日止的利息补偿。除非合同中另有规定，用于计算该利息的利率应按中国人民银行发布的同期存款利率计算，利息补偿最高不超合同总价款的2%。</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5、乙方由于非甲方的其他原因使合同无法履行的行为，属于违约，乙方应支付合同总价款20%的违约金给乙方。</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6、乙方所交货物的型号、规格等不符合甲方要求及合同规定的，甲方有权拒收且解除合同，乙方向甲方支付合同总价款20%的违约金。</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7、合同签订后，</w:t>
      </w:r>
      <w:r>
        <w:rPr>
          <w:rFonts w:hint="eastAsia" w:ascii="仿宋" w:hAnsi="仿宋" w:eastAsia="仿宋" w:cs="仿宋"/>
          <w:color w:val="FF0000"/>
          <w:sz w:val="21"/>
          <w:szCs w:val="21"/>
        </w:rPr>
        <w:t>因一方出现事由导致合同权利，义务终止或合同解除的</w:t>
      </w:r>
      <w:r>
        <w:rPr>
          <w:rFonts w:hint="eastAsia" w:ascii="仿宋" w:hAnsi="仿宋" w:eastAsia="仿宋" w:cs="仿宋"/>
          <w:sz w:val="21"/>
          <w:szCs w:val="21"/>
        </w:rPr>
        <w:t>，违约方向守约方支付合同价款10%的违约金。</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8、任何情况下，甲方有权随时对乙方货物的生产过程进行监督和查验，乙方要予以无条件的配合，一旦发现乙方的生产过程有违规操作或产品以次充好、质量不达标等，甲方有权要求解除合同，乙方向甲方支付合同总价款30%的违约金。</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9、所有货品要随机抽样进行破坏性试验，若达标，试验费用由甲方承担，若不达标，除试验费由乙方承担外，甲方有权解除合同，乙方还应支付甲方合同总价20%的违约金，给甲方造成损失的，还应赔偿甲方的损失。</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10、对于乙方出现本合同约定的违约情形，甲方通过诉讼或仲裁途径追究乙方违约责任的，乙方还应承担由此产生的诉讼（仲裁）费、律师费（律师费按广东省律师服务收费管理实施办法计算）、交通费、差旅费、保全费、保全担保费、执行费等费用。</w:t>
      </w:r>
    </w:p>
    <w:p>
      <w:pPr>
        <w:pStyle w:val="37"/>
        <w:tabs>
          <w:tab w:val="left" w:pos="142"/>
        </w:tabs>
        <w:spacing w:line="360" w:lineRule="auto"/>
        <w:ind w:left="420" w:leftChars="200" w:right="-210" w:rightChars="-100" w:firstLine="482"/>
        <w:rPr>
          <w:rFonts w:hint="eastAsia" w:ascii="仿宋" w:hAnsi="仿宋" w:eastAsia="仿宋" w:cs="仿宋"/>
          <w:b/>
          <w:sz w:val="21"/>
          <w:szCs w:val="21"/>
        </w:rPr>
      </w:pPr>
      <w:r>
        <w:rPr>
          <w:rFonts w:hint="eastAsia" w:ascii="仿宋" w:hAnsi="仿宋" w:eastAsia="仿宋" w:cs="仿宋"/>
          <w:b/>
          <w:sz w:val="21"/>
          <w:szCs w:val="21"/>
        </w:rPr>
        <w:t>第十一条  解除合同的条件</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1、甲、乙双方协商一致；</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2、因不可抗力致使不能实现合同目的的；</w:t>
      </w:r>
    </w:p>
    <w:p>
      <w:pPr>
        <w:pStyle w:val="37"/>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 xml:space="preserve">3、在履行期限届满之前，乙方明确表示或以自己的行为表明不履行或延迟履行主要义务的。 </w:t>
      </w:r>
    </w:p>
    <w:p>
      <w:pPr>
        <w:spacing w:line="360" w:lineRule="auto"/>
        <w:ind w:right="-210" w:rightChars="-100" w:firstLine="738" w:firstLineChars="350"/>
        <w:rPr>
          <w:rFonts w:hint="eastAsia" w:ascii="仿宋" w:hAnsi="仿宋" w:eastAsia="仿宋" w:cs="仿宋"/>
          <w:b/>
          <w:sz w:val="21"/>
          <w:szCs w:val="21"/>
        </w:rPr>
      </w:pPr>
      <w:r>
        <w:rPr>
          <w:rFonts w:hint="eastAsia" w:ascii="仿宋" w:hAnsi="仿宋" w:eastAsia="仿宋" w:cs="仿宋"/>
          <w:b/>
          <w:sz w:val="21"/>
          <w:szCs w:val="21"/>
        </w:rPr>
        <w:t>第十二条   解决争议的方式</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 xml:space="preserve"> 本合同纠纷解决方式：甲、乙双方协商解决，协商不成的，向甲方所在地人民法院起诉。</w:t>
      </w:r>
    </w:p>
    <w:p>
      <w:pPr>
        <w:spacing w:line="360" w:lineRule="auto"/>
        <w:ind w:left="420" w:leftChars="200" w:right="-210" w:rightChars="-100" w:firstLine="422" w:firstLineChars="200"/>
        <w:rPr>
          <w:rFonts w:hint="eastAsia" w:ascii="仿宋" w:hAnsi="仿宋" w:eastAsia="仿宋" w:cs="仿宋"/>
          <w:b/>
          <w:sz w:val="21"/>
          <w:szCs w:val="21"/>
        </w:rPr>
      </w:pPr>
      <w:r>
        <w:rPr>
          <w:rFonts w:hint="eastAsia" w:ascii="仿宋" w:hAnsi="仿宋" w:eastAsia="仿宋" w:cs="仿宋"/>
          <w:b/>
          <w:sz w:val="21"/>
          <w:szCs w:val="21"/>
        </w:rPr>
        <w:t>第十三条   其他条款</w:t>
      </w:r>
    </w:p>
    <w:p>
      <w:pPr>
        <w:pStyle w:val="37"/>
        <w:numPr>
          <w:ilvl w:val="0"/>
          <w:numId w:val="4"/>
        </w:numPr>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本合同未尽事宜，由甲、乙双方另订补充协议，补充协议经双方签字盖章后与本合同具有同等法律效力。</w:t>
      </w:r>
    </w:p>
    <w:p>
      <w:pPr>
        <w:pStyle w:val="37"/>
        <w:numPr>
          <w:ilvl w:val="0"/>
          <w:numId w:val="4"/>
        </w:numPr>
        <w:spacing w:line="360" w:lineRule="auto"/>
        <w:ind w:left="420" w:leftChars="200" w:right="-210" w:rightChars="-100" w:firstLine="480"/>
        <w:rPr>
          <w:rFonts w:hint="eastAsia" w:ascii="仿宋" w:hAnsi="仿宋" w:eastAsia="仿宋" w:cs="仿宋"/>
          <w:sz w:val="21"/>
          <w:szCs w:val="21"/>
        </w:rPr>
      </w:pPr>
      <w:r>
        <w:rPr>
          <w:rFonts w:hint="eastAsia" w:ascii="仿宋" w:hAnsi="仿宋" w:eastAsia="仿宋" w:cs="仿宋"/>
          <w:sz w:val="21"/>
          <w:szCs w:val="21"/>
        </w:rPr>
        <w:t>本合同一式</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肆</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份，甲方</w:t>
      </w:r>
      <w:r>
        <w:rPr>
          <w:rFonts w:hint="eastAsia" w:ascii="仿宋" w:hAnsi="仿宋" w:eastAsia="仿宋" w:cs="仿宋"/>
          <w:sz w:val="21"/>
          <w:szCs w:val="21"/>
          <w:lang w:val="en-US" w:eastAsia="zh-CN"/>
        </w:rPr>
        <w:t xml:space="preserve"> 叁</w:t>
      </w:r>
      <w:r>
        <w:rPr>
          <w:rFonts w:hint="eastAsia" w:ascii="仿宋" w:hAnsi="仿宋" w:eastAsia="仿宋" w:cs="仿宋"/>
          <w:sz w:val="21"/>
          <w:szCs w:val="21"/>
        </w:rPr>
        <w:t>份，乙方</w:t>
      </w:r>
      <w:r>
        <w:rPr>
          <w:rFonts w:hint="eastAsia" w:ascii="仿宋" w:hAnsi="仿宋" w:eastAsia="仿宋" w:cs="仿宋"/>
          <w:sz w:val="21"/>
          <w:szCs w:val="21"/>
          <w:lang w:val="en-US" w:eastAsia="zh-CN"/>
        </w:rPr>
        <w:t xml:space="preserve"> 壹 </w:t>
      </w:r>
      <w:r>
        <w:rPr>
          <w:rFonts w:hint="eastAsia" w:ascii="仿宋" w:hAnsi="仿宋" w:eastAsia="仿宋" w:cs="仿宋"/>
          <w:sz w:val="21"/>
          <w:szCs w:val="21"/>
        </w:rPr>
        <w:t>份，自签字盖章之日起生效。</w:t>
      </w:r>
    </w:p>
    <w:p>
      <w:pPr>
        <w:pStyle w:val="37"/>
        <w:spacing w:line="360" w:lineRule="auto"/>
        <w:ind w:left="420" w:leftChars="200" w:right="-210" w:rightChars="-100" w:firstLine="480"/>
        <w:rPr>
          <w:rFonts w:hint="eastAsia" w:ascii="仿宋" w:hAnsi="仿宋" w:eastAsia="仿宋" w:cs="仿宋"/>
          <w:sz w:val="21"/>
          <w:szCs w:val="21"/>
          <w:u w:val="single"/>
        </w:rPr>
      </w:pPr>
      <w:r>
        <w:rPr>
          <w:rFonts w:hint="eastAsia" w:ascii="仿宋" w:hAnsi="仿宋" w:eastAsia="仿宋" w:cs="仿宋"/>
          <w:sz w:val="21"/>
          <w:szCs w:val="21"/>
        </w:rPr>
        <w:t>3、</w:t>
      </w:r>
      <w:r>
        <w:rPr>
          <w:rFonts w:hint="eastAsia" w:ascii="仿宋" w:hAnsi="仿宋" w:eastAsia="仿宋" w:cs="仿宋"/>
          <w:sz w:val="21"/>
          <w:szCs w:val="21"/>
          <w:u w:val="single"/>
        </w:rPr>
        <w:t xml:space="preserve">   乙方应当委托一人专门办理结算手续，结算时应提供盖有乙方公章的授权委托书，身份证复印件及乙方用于收款的银行账号信息。                                                   </w:t>
      </w:r>
    </w:p>
    <w:p>
      <w:pPr>
        <w:pStyle w:val="37"/>
        <w:spacing w:line="360" w:lineRule="auto"/>
        <w:ind w:left="420" w:leftChars="200" w:right="-210" w:rightChars="-100" w:firstLine="480"/>
        <w:rPr>
          <w:rFonts w:hint="eastAsia" w:ascii="仿宋" w:hAnsi="仿宋" w:eastAsia="仿宋" w:cs="仿宋"/>
          <w:sz w:val="21"/>
          <w:szCs w:val="21"/>
        </w:rPr>
      </w:pP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 xml:space="preserve">附件（共 </w:t>
      </w:r>
      <w:r>
        <w:rPr>
          <w:rFonts w:hint="eastAsia" w:ascii="仿宋" w:hAnsi="仿宋" w:eastAsia="仿宋" w:cs="仿宋"/>
          <w:sz w:val="21"/>
          <w:szCs w:val="21"/>
          <w:lang w:val="en-US" w:eastAsia="zh-CN"/>
        </w:rPr>
        <w:t>3</w:t>
      </w:r>
      <w:r>
        <w:rPr>
          <w:rFonts w:hint="eastAsia" w:ascii="仿宋" w:hAnsi="仿宋" w:eastAsia="仿宋" w:cs="仿宋"/>
          <w:sz w:val="21"/>
          <w:szCs w:val="21"/>
        </w:rPr>
        <w:t>件）</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附件1：阳光合作协议</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附件2：工程量清单</w:t>
      </w:r>
    </w:p>
    <w:p>
      <w:pPr>
        <w:spacing w:line="360" w:lineRule="auto"/>
        <w:ind w:left="420" w:leftChars="200" w:right="-210" w:rightChars="-100"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附件3：供货周期承诺函</w:t>
      </w:r>
    </w:p>
    <w:p>
      <w:pPr>
        <w:spacing w:line="360" w:lineRule="auto"/>
        <w:ind w:left="420" w:leftChars="200" w:right="-210" w:rightChars="-100" w:firstLine="420" w:firstLineChars="200"/>
        <w:rPr>
          <w:rFonts w:hint="eastAsia" w:ascii="仿宋" w:hAnsi="仿宋" w:eastAsia="仿宋" w:cs="仿宋"/>
          <w:sz w:val="21"/>
          <w:szCs w:val="21"/>
        </w:rPr>
      </w:pPr>
    </w:p>
    <w:p>
      <w:pPr>
        <w:spacing w:line="360" w:lineRule="auto"/>
        <w:ind w:left="420" w:leftChars="200" w:right="-210" w:rightChars="-100" w:firstLine="420" w:firstLineChars="200"/>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以下无正文，为双方签字页</w:t>
      </w:r>
      <w:r>
        <w:rPr>
          <w:rFonts w:hint="eastAsia" w:ascii="仿宋" w:hAnsi="仿宋" w:eastAsia="仿宋" w:cs="仿宋"/>
          <w:sz w:val="21"/>
          <w:szCs w:val="21"/>
          <w:lang w:eastAsia="zh-CN"/>
        </w:rPr>
        <w:t>）</w:t>
      </w:r>
    </w:p>
    <w:p>
      <w:pPr>
        <w:spacing w:line="360" w:lineRule="auto"/>
        <w:ind w:right="-210" w:rightChars="-100"/>
        <w:rPr>
          <w:rFonts w:hint="eastAsia" w:ascii="仿宋" w:hAnsi="仿宋" w:eastAsia="仿宋" w:cs="仿宋"/>
          <w:sz w:val="21"/>
          <w:szCs w:val="21"/>
        </w:rPr>
      </w:pP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甲    方：                             乙方：</w:t>
      </w:r>
    </w:p>
    <w:p>
      <w:pPr>
        <w:spacing w:line="360" w:lineRule="auto"/>
        <w:ind w:left="420" w:leftChars="200" w:right="-210" w:rightChars="-100" w:firstLine="420" w:firstLineChars="200"/>
        <w:rPr>
          <w:rFonts w:hint="eastAsia" w:ascii="仿宋" w:hAnsi="仿宋" w:eastAsia="仿宋" w:cs="仿宋"/>
          <w:sz w:val="21"/>
          <w:szCs w:val="21"/>
        </w:rPr>
      </w:pP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法定代表人：                           法定代表人：</w:t>
      </w:r>
    </w:p>
    <w:p>
      <w:pPr>
        <w:spacing w:line="360" w:lineRule="auto"/>
        <w:ind w:left="420" w:leftChars="200" w:right="-210" w:rightChars="-100" w:firstLine="420" w:firstLineChars="200"/>
        <w:rPr>
          <w:rFonts w:hint="eastAsia" w:ascii="仿宋" w:hAnsi="仿宋" w:eastAsia="仿宋" w:cs="仿宋"/>
          <w:sz w:val="21"/>
          <w:szCs w:val="21"/>
        </w:rPr>
      </w:pPr>
      <w:r>
        <w:rPr>
          <w:rFonts w:hint="eastAsia" w:ascii="仿宋" w:hAnsi="仿宋" w:eastAsia="仿宋" w:cs="仿宋"/>
          <w:sz w:val="21"/>
          <w:szCs w:val="21"/>
        </w:rPr>
        <w:t>（或授权委托人）                      （或授权委托人）</w:t>
      </w:r>
    </w:p>
    <w:p>
      <w:pPr>
        <w:spacing w:line="360" w:lineRule="auto"/>
        <w:ind w:right="-210" w:rightChars="-100"/>
        <w:rPr>
          <w:rFonts w:hint="eastAsia" w:ascii="仿宋" w:hAnsi="仿宋" w:eastAsia="仿宋" w:cs="仿宋"/>
          <w:sz w:val="21"/>
          <w:szCs w:val="21"/>
        </w:rPr>
      </w:pPr>
    </w:p>
    <w:p>
      <w:pPr>
        <w:spacing w:line="360" w:lineRule="auto"/>
        <w:ind w:left="420" w:leftChars="200" w:right="-210" w:rightChars="-100" w:firstLine="420" w:firstLineChars="200"/>
        <w:rPr>
          <w:rFonts w:hint="eastAsia" w:ascii="仿宋" w:hAnsi="仿宋" w:eastAsia="仿宋" w:cs="仿宋"/>
          <w:spacing w:val="8"/>
          <w:sz w:val="21"/>
          <w:szCs w:val="21"/>
        </w:rPr>
      </w:pPr>
      <w:r>
        <w:rPr>
          <w:rFonts w:hint="eastAsia" w:ascii="仿宋" w:hAnsi="仿宋" w:eastAsia="仿宋" w:cs="仿宋"/>
          <w:sz w:val="21"/>
          <w:szCs w:val="21"/>
        </w:rPr>
        <w:t>202</w:t>
      </w:r>
      <w:r>
        <w:rPr>
          <w:rFonts w:hint="eastAsia" w:ascii="仿宋" w:hAnsi="仿宋" w:eastAsia="仿宋" w:cs="仿宋"/>
          <w:sz w:val="21"/>
          <w:szCs w:val="21"/>
          <w:lang w:val="en-US" w:eastAsia="zh-CN"/>
        </w:rPr>
        <w:t>3</w:t>
      </w:r>
      <w:r>
        <w:rPr>
          <w:rFonts w:hint="eastAsia" w:ascii="仿宋" w:hAnsi="仿宋" w:eastAsia="仿宋" w:cs="仿宋"/>
          <w:sz w:val="21"/>
          <w:szCs w:val="21"/>
        </w:rPr>
        <w:t>年  月  日                          202</w:t>
      </w:r>
      <w:r>
        <w:rPr>
          <w:rFonts w:hint="eastAsia" w:ascii="仿宋" w:hAnsi="仿宋" w:eastAsia="仿宋" w:cs="仿宋"/>
          <w:sz w:val="21"/>
          <w:szCs w:val="21"/>
          <w:lang w:val="en-US" w:eastAsia="zh-CN"/>
        </w:rPr>
        <w:t>3</w:t>
      </w:r>
      <w:r>
        <w:rPr>
          <w:rFonts w:hint="eastAsia" w:ascii="仿宋" w:hAnsi="仿宋" w:eastAsia="仿宋" w:cs="仿宋"/>
          <w:sz w:val="21"/>
          <w:szCs w:val="21"/>
        </w:rPr>
        <w:t>年  月  日</w:t>
      </w:r>
    </w:p>
    <w:p>
      <w:pPr>
        <w:spacing w:line="360" w:lineRule="auto"/>
        <w:rPr>
          <w:rFonts w:hint="eastAsia" w:ascii="仿宋" w:hAnsi="仿宋" w:eastAsia="仿宋" w:cs="仿宋"/>
          <w:spacing w:val="8"/>
          <w:sz w:val="21"/>
          <w:szCs w:val="21"/>
        </w:rPr>
      </w:pPr>
    </w:p>
    <w:p>
      <w:pPr>
        <w:spacing w:line="360" w:lineRule="auto"/>
        <w:rPr>
          <w:rFonts w:hint="eastAsia" w:ascii="仿宋" w:hAnsi="仿宋" w:eastAsia="仿宋" w:cs="仿宋"/>
          <w:spacing w:val="8"/>
          <w:sz w:val="21"/>
          <w:szCs w:val="21"/>
        </w:rPr>
      </w:pPr>
    </w:p>
    <w:p>
      <w:pPr>
        <w:spacing w:line="360" w:lineRule="auto"/>
        <w:rPr>
          <w:rFonts w:hint="eastAsia" w:ascii="仿宋" w:hAnsi="仿宋" w:eastAsia="仿宋" w:cs="仿宋"/>
          <w:spacing w:val="8"/>
          <w:sz w:val="21"/>
          <w:szCs w:val="21"/>
        </w:rPr>
      </w:pPr>
      <w:r>
        <w:rPr>
          <w:rFonts w:hint="eastAsia" w:ascii="仿宋" w:hAnsi="仿宋" w:eastAsia="仿宋" w:cs="仿宋"/>
          <w:spacing w:val="8"/>
          <w:sz w:val="21"/>
          <w:szCs w:val="21"/>
        </w:rPr>
        <w:t>附件1：</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eastAsia" w:ascii="仿宋" w:hAnsi="仿宋" w:eastAsia="仿宋" w:cs="仿宋"/>
          <w:b/>
          <w:color w:val="auto"/>
          <w:sz w:val="44"/>
          <w:szCs w:val="44"/>
        </w:rPr>
      </w:pPr>
      <w:r>
        <w:rPr>
          <w:rFonts w:hint="eastAsia" w:ascii="仿宋" w:hAnsi="仿宋" w:eastAsia="仿宋" w:cs="仿宋"/>
          <w:b/>
          <w:color w:val="auto"/>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hint="eastAsia" w:ascii="仿宋" w:hAnsi="仿宋" w:eastAsia="仿宋" w:cs="仿宋"/>
          <w:b/>
          <w:color w:val="auto"/>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color w:val="auto"/>
        </w:rPr>
      </w:pPr>
      <w:r>
        <w:rPr>
          <w:rFonts w:hint="eastAsia" w:ascii="仿宋" w:hAnsi="仿宋" w:eastAsia="仿宋" w:cs="仿宋"/>
          <w:color w:val="auto"/>
          <w:kern w:val="2"/>
          <w:sz w:val="24"/>
          <w:lang w:val="en-US" w:eastAsia="zh-CN"/>
        </w:rPr>
        <w:t>甲方：</w:t>
      </w:r>
      <w:r>
        <w:rPr>
          <w:rFonts w:hint="eastAsia" w:ascii="仿宋" w:hAnsi="仿宋" w:eastAsia="仿宋" w:cs="仿宋"/>
          <w:color w:val="auto"/>
          <w:kern w:val="2"/>
          <w:sz w:val="24"/>
          <w:u w:val="single"/>
          <w:lang w:val="en-US" w:eastAsia="zh-CN"/>
        </w:rPr>
        <w:t>东莞市莞城建筑工程有限公司</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color w:val="auto"/>
          <w:szCs w:val="21"/>
          <w:lang w:val="en-US"/>
        </w:rPr>
      </w:pPr>
      <w:r>
        <w:rPr>
          <w:rFonts w:hint="eastAsia" w:ascii="仿宋" w:hAnsi="仿宋" w:eastAsia="仿宋" w:cs="仿宋"/>
          <w:color w:val="auto"/>
          <w:kern w:val="2"/>
          <w:sz w:val="24"/>
          <w:lang w:val="en-US" w:eastAsia="zh-CN"/>
        </w:rPr>
        <w:t>乙方：</w:t>
      </w:r>
      <w:r>
        <w:rPr>
          <w:rFonts w:hint="eastAsia" w:ascii="仿宋" w:hAnsi="仿宋" w:eastAsia="仿宋" w:cs="仿宋"/>
          <w:color w:val="auto"/>
          <w:kern w:val="2"/>
          <w:sz w:val="24"/>
          <w:u w:val="single"/>
          <w:lang w:val="en-US" w:eastAsia="zh-CN"/>
        </w:rPr>
        <w:t xml:space="preserve">                          </w:t>
      </w:r>
    </w:p>
    <w:p>
      <w:pPr>
        <w:pStyle w:val="7"/>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甲乙双方于</w:t>
      </w:r>
      <w:r>
        <w:rPr>
          <w:rFonts w:hint="eastAsia" w:ascii="仿宋" w:hAnsi="仿宋" w:eastAsia="仿宋" w:cs="仿宋"/>
          <w:color w:val="auto"/>
          <w:u w:val="single"/>
          <w:lang w:val="en-US" w:eastAsia="zh-CN"/>
        </w:rPr>
        <w:t xml:space="preserve"> 2023 </w:t>
      </w:r>
      <w:r>
        <w:rPr>
          <w:rFonts w:hint="eastAsia" w:ascii="仿宋" w:hAnsi="仿宋" w:eastAsia="仿宋" w:cs="仿宋"/>
          <w:color w:val="auto"/>
        </w:rPr>
        <w:t>年</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月</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日签署了《</w:t>
      </w:r>
      <w:r>
        <w:rPr>
          <w:rFonts w:hint="eastAsia" w:ascii="仿宋" w:hAnsi="仿宋" w:eastAsia="仿宋" w:cs="仿宋"/>
          <w:color w:val="auto"/>
          <w:lang w:val="en-US" w:eastAsia="zh-CN"/>
        </w:rPr>
        <w:t>广东省东莞市城区配套物流仓储建设项目-电缆采购合同</w:t>
      </w:r>
      <w:r>
        <w:rPr>
          <w:rFonts w:hint="eastAsia" w:ascii="仿宋" w:hAnsi="仿宋" w:eastAsia="仿宋" w:cs="仿宋"/>
          <w:color w:val="auto"/>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 w:hAnsi="仿宋" w:eastAsia="仿宋" w:cs="仿宋"/>
          <w:b/>
          <w:color w:val="auto"/>
        </w:rPr>
      </w:pPr>
      <w:r>
        <w:rPr>
          <w:rFonts w:hint="eastAsia" w:ascii="仿宋" w:hAnsi="仿宋" w:eastAsia="仿宋" w:cs="仿宋"/>
          <w:b/>
          <w:color w:val="auto"/>
          <w:lang w:val="en-US" w:eastAsia="zh-CN"/>
        </w:rPr>
        <w:t>一、</w:t>
      </w:r>
      <w:r>
        <w:rPr>
          <w:rFonts w:hint="eastAsia" w:ascii="仿宋" w:hAnsi="仿宋" w:eastAsia="仿宋" w:cs="仿宋"/>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 w:hAnsi="仿宋" w:eastAsia="仿宋" w:cs="仿宋"/>
          <w:b/>
          <w:color w:val="auto"/>
        </w:rPr>
      </w:pPr>
      <w:r>
        <w:rPr>
          <w:rFonts w:hint="eastAsia" w:ascii="仿宋" w:hAnsi="仿宋" w:eastAsia="仿宋" w:cs="仿宋"/>
          <w:b/>
          <w:color w:val="auto"/>
          <w:lang w:val="en-US" w:eastAsia="zh-CN"/>
        </w:rPr>
        <w:t>二、</w:t>
      </w:r>
      <w:r>
        <w:rPr>
          <w:rFonts w:hint="eastAsia" w:ascii="仿宋" w:hAnsi="仿宋" w:eastAsia="仿宋" w:cs="仿宋"/>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4.乙方有义务就甲方人员任何形式的索取或收受财物行为及时向甲方（直接联系人为东莞实业投资控股集团有限公司</w:t>
      </w:r>
      <w:r>
        <w:rPr>
          <w:rFonts w:hint="eastAsia" w:ascii="仿宋" w:hAnsi="仿宋" w:eastAsia="仿宋" w:cs="仿宋"/>
          <w:color w:val="auto"/>
          <w:lang w:val="en-US" w:eastAsia="zh-CN"/>
        </w:rPr>
        <w:t>法律合规</w:t>
      </w:r>
      <w:r>
        <w:rPr>
          <w:rFonts w:hint="eastAsia" w:ascii="仿宋" w:hAnsi="仿宋" w:eastAsia="仿宋" w:cs="仿宋"/>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5．甲方接受乙方实名或匿名举报，保证为举报者的信息保密，常设举报部门及电</w:t>
      </w:r>
      <w:r>
        <w:rPr>
          <w:rFonts w:hint="eastAsia" w:ascii="仿宋" w:hAnsi="仿宋" w:eastAsia="仿宋" w:cs="仿宋"/>
          <w:color w:val="auto"/>
          <w:lang w:val="en-US" w:eastAsia="zh-CN"/>
        </w:rPr>
        <w:t>话</w:t>
      </w:r>
      <w:r>
        <w:rPr>
          <w:rFonts w:hint="eastAsia" w:ascii="仿宋" w:hAnsi="仿宋" w:eastAsia="仿宋" w:cs="仿宋"/>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举报受理部门：东莞实业投资控股集团有限公司</w:t>
      </w:r>
      <w:r>
        <w:rPr>
          <w:rFonts w:hint="eastAsia" w:ascii="仿宋" w:hAnsi="仿宋" w:eastAsia="仿宋" w:cs="仿宋"/>
          <w:color w:val="auto"/>
          <w:lang w:val="en-US" w:eastAsia="zh-CN"/>
        </w:rPr>
        <w:t>法律合规</w:t>
      </w:r>
      <w:r>
        <w:rPr>
          <w:rFonts w:hint="eastAsia" w:ascii="仿宋" w:hAnsi="仿宋" w:eastAsia="仿宋" w:cs="仿宋"/>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邮寄地址：东莞市东城区八一路1号机关二号大院9号楼，东莞实业投资控股集团有限公司</w:t>
      </w:r>
      <w:r>
        <w:rPr>
          <w:rFonts w:hint="eastAsia" w:ascii="仿宋" w:hAnsi="仿宋" w:eastAsia="仿宋" w:cs="仿宋"/>
          <w:color w:val="auto"/>
          <w:lang w:val="en-US" w:eastAsia="zh-CN"/>
        </w:rPr>
        <w:t>法律合规</w:t>
      </w:r>
      <w:r>
        <w:rPr>
          <w:rFonts w:hint="eastAsia" w:ascii="仿宋" w:hAnsi="仿宋" w:eastAsia="仿宋" w:cs="仿宋"/>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 w:hAnsi="仿宋" w:eastAsia="仿宋" w:cs="仿宋"/>
          <w:b/>
          <w:color w:val="auto"/>
        </w:rPr>
      </w:pPr>
      <w:r>
        <w:rPr>
          <w:rFonts w:hint="eastAsia" w:ascii="仿宋" w:hAnsi="仿宋" w:eastAsia="仿宋" w:cs="仿宋"/>
          <w:b/>
          <w:color w:val="auto"/>
          <w:lang w:val="en-US" w:eastAsia="zh-CN"/>
        </w:rPr>
        <w:t>三、</w:t>
      </w:r>
      <w:r>
        <w:rPr>
          <w:rFonts w:hint="eastAsia" w:ascii="仿宋" w:hAnsi="仿宋" w:eastAsia="仿宋" w:cs="仿宋"/>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b/>
          <w:color w:val="auto"/>
          <w:sz w:val="22"/>
          <w:szCs w:val="22"/>
        </w:rPr>
        <w:t>本协议一式</w:t>
      </w:r>
      <w:r>
        <w:rPr>
          <w:rFonts w:hint="eastAsia" w:ascii="仿宋" w:hAnsi="仿宋" w:eastAsia="仿宋" w:cs="仿宋"/>
          <w:b/>
          <w:color w:val="auto"/>
          <w:sz w:val="22"/>
          <w:szCs w:val="22"/>
          <w:lang w:val="en-US" w:eastAsia="zh-CN"/>
        </w:rPr>
        <w:t xml:space="preserve"> </w:t>
      </w:r>
      <w:r>
        <w:rPr>
          <w:rFonts w:hint="eastAsia" w:ascii="仿宋" w:hAnsi="仿宋" w:eastAsia="仿宋" w:cs="仿宋"/>
          <w:b/>
          <w:color w:val="auto"/>
          <w:sz w:val="22"/>
          <w:szCs w:val="22"/>
        </w:rPr>
        <w:t>肆</w:t>
      </w:r>
      <w:r>
        <w:rPr>
          <w:rFonts w:hint="eastAsia" w:ascii="仿宋" w:hAnsi="仿宋" w:eastAsia="仿宋" w:cs="仿宋"/>
          <w:b/>
          <w:color w:val="auto"/>
          <w:sz w:val="22"/>
          <w:szCs w:val="22"/>
          <w:lang w:val="en-US" w:eastAsia="zh-CN"/>
        </w:rPr>
        <w:t xml:space="preserve"> </w:t>
      </w:r>
      <w:r>
        <w:rPr>
          <w:rFonts w:hint="eastAsia" w:ascii="仿宋" w:hAnsi="仿宋" w:eastAsia="仿宋" w:cs="仿宋"/>
          <w:b/>
          <w:color w:val="auto"/>
          <w:sz w:val="22"/>
          <w:szCs w:val="22"/>
        </w:rPr>
        <w:t>份，甲方执</w:t>
      </w:r>
      <w:r>
        <w:rPr>
          <w:rFonts w:hint="eastAsia" w:ascii="仿宋" w:hAnsi="仿宋" w:eastAsia="仿宋" w:cs="仿宋"/>
          <w:b/>
          <w:color w:val="auto"/>
          <w:sz w:val="22"/>
          <w:szCs w:val="22"/>
          <w:lang w:val="en-US" w:eastAsia="zh-CN"/>
        </w:rPr>
        <w:t xml:space="preserve"> 叁 </w:t>
      </w:r>
      <w:r>
        <w:rPr>
          <w:rFonts w:hint="eastAsia" w:ascii="仿宋" w:hAnsi="仿宋" w:eastAsia="仿宋" w:cs="仿宋"/>
          <w:b/>
          <w:color w:val="auto"/>
          <w:sz w:val="22"/>
          <w:szCs w:val="22"/>
        </w:rPr>
        <w:t>份，</w:t>
      </w:r>
      <w:r>
        <w:rPr>
          <w:rFonts w:hint="eastAsia" w:ascii="仿宋" w:hAnsi="仿宋" w:eastAsia="仿宋" w:cs="仿宋"/>
          <w:b/>
          <w:color w:val="auto"/>
          <w:sz w:val="22"/>
          <w:szCs w:val="22"/>
          <w:lang w:val="en-US" w:eastAsia="zh-CN"/>
        </w:rPr>
        <w:t>乙</w:t>
      </w:r>
      <w:r>
        <w:rPr>
          <w:rFonts w:hint="eastAsia" w:ascii="仿宋" w:hAnsi="仿宋" w:eastAsia="仿宋" w:cs="仿宋"/>
          <w:b/>
          <w:color w:val="auto"/>
          <w:sz w:val="22"/>
          <w:szCs w:val="22"/>
        </w:rPr>
        <w:t>方执</w:t>
      </w:r>
      <w:r>
        <w:rPr>
          <w:rFonts w:hint="eastAsia" w:ascii="仿宋" w:hAnsi="仿宋" w:eastAsia="仿宋" w:cs="仿宋"/>
          <w:b/>
          <w:color w:val="auto"/>
          <w:sz w:val="22"/>
          <w:szCs w:val="22"/>
          <w:lang w:val="en-US" w:eastAsia="zh-CN"/>
        </w:rPr>
        <w:t xml:space="preserve"> 壹 </w:t>
      </w:r>
      <w:r>
        <w:rPr>
          <w:rFonts w:hint="eastAsia" w:ascii="仿宋" w:hAnsi="仿宋" w:eastAsia="仿宋" w:cs="仿宋"/>
          <w:b/>
          <w:color w:val="auto"/>
          <w:sz w:val="22"/>
          <w:szCs w:val="22"/>
        </w:rPr>
        <w:t>份</w:t>
      </w:r>
      <w:r>
        <w:rPr>
          <w:rFonts w:hint="eastAsia" w:ascii="仿宋" w:hAnsi="仿宋" w:eastAsia="仿宋" w:cs="仿宋"/>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 xml:space="preserve">甲方（盖章）：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乙方（盖章）：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840" w:firstLineChars="400"/>
        <w:contextualSpacing/>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东莞市莞城建筑工程有限公司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法定代表人（授权代表）：</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 xml:space="preserve">  </w:t>
      </w:r>
      <w:r>
        <w:rPr>
          <w:rFonts w:hint="eastAsia" w:ascii="仿宋" w:hAnsi="仿宋" w:eastAsia="仿宋" w:cs="仿宋"/>
          <w:color w:val="auto"/>
        </w:rPr>
        <w:tab/>
      </w:r>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ind w:firstLine="420" w:firstLineChars="200"/>
        <w:rPr>
          <w:rFonts w:hint="eastAsia" w:ascii="仿宋" w:hAnsi="仿宋" w:eastAsia="仿宋" w:cs="仿宋"/>
          <w:color w:val="auto"/>
        </w:rPr>
      </w:pPr>
      <w:r>
        <w:rPr>
          <w:rFonts w:hint="eastAsia" w:ascii="仿宋" w:hAnsi="仿宋" w:eastAsia="仿宋" w:cs="仿宋"/>
          <w:color w:val="auto"/>
        </w:rPr>
        <w:t>签约日期：</w:t>
      </w:r>
      <w:r>
        <w:rPr>
          <w:rFonts w:hint="eastAsia" w:ascii="仿宋" w:hAnsi="仿宋" w:eastAsia="仿宋" w:cs="仿宋"/>
          <w:color w:val="auto"/>
          <w:lang w:val="en-US" w:eastAsia="zh-CN"/>
        </w:rPr>
        <w:t>2023</w:t>
      </w:r>
      <w:r>
        <w:rPr>
          <w:rFonts w:hint="eastAsia" w:ascii="仿宋" w:hAnsi="仿宋" w:eastAsia="仿宋" w:cs="仿宋"/>
          <w:color w:val="auto"/>
        </w:rPr>
        <w:t>年</w:t>
      </w:r>
      <w:r>
        <w:rPr>
          <w:rFonts w:hint="eastAsia" w:ascii="仿宋" w:hAnsi="仿宋" w:eastAsia="仿宋" w:cs="仿宋"/>
          <w:color w:val="auto"/>
          <w:lang w:val="en-US" w:eastAsia="zh-CN"/>
        </w:rPr>
        <w:t xml:space="preserve">   </w:t>
      </w:r>
      <w:r>
        <w:rPr>
          <w:rFonts w:hint="eastAsia" w:ascii="仿宋" w:hAnsi="仿宋" w:eastAsia="仿宋" w:cs="仿宋"/>
          <w:color w:val="auto"/>
        </w:rPr>
        <w:t>月</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日</w:t>
      </w:r>
      <w:bookmarkStart w:id="52" w:name="现场签证通知单"/>
      <w:bookmarkEnd w:id="52"/>
      <w:bookmarkStart w:id="53" w:name="设计变更通知单"/>
      <w:bookmarkEnd w:id="53"/>
      <w:r>
        <w:rPr>
          <w:rFonts w:hint="eastAsia" w:ascii="仿宋" w:hAnsi="仿宋" w:eastAsia="仿宋" w:cs="仿宋"/>
          <w:color w:val="auto"/>
        </w:rPr>
        <w:tab/>
      </w:r>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签约日期：</w:t>
      </w:r>
      <w:r>
        <w:rPr>
          <w:rFonts w:hint="eastAsia" w:ascii="仿宋" w:hAnsi="仿宋" w:eastAsia="仿宋" w:cs="仿宋"/>
          <w:color w:val="auto"/>
          <w:lang w:val="en-US" w:eastAsia="zh-CN"/>
        </w:rPr>
        <w:t>2023</w:t>
      </w:r>
      <w:r>
        <w:rPr>
          <w:rFonts w:hint="eastAsia" w:ascii="仿宋" w:hAnsi="仿宋" w:eastAsia="仿宋" w:cs="仿宋"/>
          <w:color w:val="auto"/>
        </w:rPr>
        <w:t>年</w:t>
      </w:r>
      <w:r>
        <w:rPr>
          <w:rFonts w:hint="eastAsia" w:ascii="仿宋" w:hAnsi="仿宋" w:eastAsia="仿宋" w:cs="仿宋"/>
          <w:color w:val="auto"/>
          <w:lang w:val="en-US" w:eastAsia="zh-CN"/>
        </w:rPr>
        <w:t xml:space="preserve">  </w:t>
      </w:r>
      <w:r>
        <w:rPr>
          <w:rFonts w:hint="eastAsia" w:ascii="仿宋" w:hAnsi="仿宋" w:eastAsia="仿宋" w:cs="仿宋"/>
          <w:color w:val="auto"/>
        </w:rPr>
        <w:t>月</w:t>
      </w:r>
      <w:r>
        <w:rPr>
          <w:rFonts w:hint="eastAsia" w:ascii="仿宋" w:hAnsi="仿宋" w:eastAsia="仿宋" w:cs="仿宋"/>
          <w:color w:val="auto"/>
          <w:lang w:val="en-US" w:eastAsia="zh-CN"/>
        </w:rPr>
        <w:t xml:space="preserve">  </w:t>
      </w:r>
      <w:r>
        <w:rPr>
          <w:rFonts w:hint="eastAsia" w:ascii="仿宋" w:hAnsi="仿宋" w:eastAsia="仿宋" w:cs="仿宋"/>
          <w:color w:val="auto"/>
        </w:rPr>
        <w:t>日</w:t>
      </w:r>
    </w:p>
    <w:p>
      <w:pPr>
        <w:spacing w:before="156" w:beforeLines="50" w:after="156" w:afterLines="50" w:line="360" w:lineRule="auto"/>
        <w:ind w:right="26" w:firstLine="315" w:firstLineChars="150"/>
        <w:contextualSpacing/>
        <w:rPr>
          <w:rFonts w:hint="eastAsia" w:ascii="仿宋" w:hAnsi="仿宋" w:eastAsia="仿宋" w:cs="仿宋"/>
          <w:sz w:val="21"/>
          <w:szCs w:val="21"/>
        </w:rPr>
      </w:pPr>
    </w:p>
    <w:p>
      <w:pPr>
        <w:spacing w:before="156" w:beforeLines="50" w:after="156" w:afterLines="50" w:line="360" w:lineRule="auto"/>
        <w:ind w:right="26" w:firstLine="315" w:firstLineChars="150"/>
        <w:contextualSpacing/>
        <w:rPr>
          <w:rFonts w:hint="eastAsia" w:ascii="仿宋" w:hAnsi="仿宋" w:eastAsia="仿宋" w:cs="仿宋"/>
          <w:sz w:val="21"/>
          <w:szCs w:val="21"/>
        </w:rPr>
      </w:pPr>
    </w:p>
    <w:p>
      <w:pPr>
        <w:spacing w:before="156" w:beforeLines="50" w:after="156" w:afterLines="50" w:line="360" w:lineRule="auto"/>
        <w:ind w:right="26" w:firstLine="315" w:firstLineChars="150"/>
        <w:contextualSpacing/>
        <w:rPr>
          <w:rFonts w:hint="eastAsia" w:ascii="仿宋" w:hAnsi="仿宋" w:eastAsia="仿宋" w:cs="仿宋"/>
          <w:sz w:val="21"/>
          <w:szCs w:val="21"/>
        </w:rPr>
      </w:pPr>
    </w:p>
    <w:p>
      <w:pPr>
        <w:spacing w:before="156" w:beforeLines="50" w:after="156" w:afterLines="50" w:line="360" w:lineRule="auto"/>
        <w:ind w:right="26" w:firstLine="315" w:firstLineChars="150"/>
        <w:contextualSpacing/>
        <w:rPr>
          <w:rFonts w:hint="eastAsia" w:ascii="仿宋" w:hAnsi="仿宋" w:eastAsia="仿宋" w:cs="仿宋"/>
          <w:b/>
          <w:bCs/>
          <w:sz w:val="28"/>
          <w:szCs w:val="28"/>
        </w:rPr>
      </w:pPr>
      <w:r>
        <w:rPr>
          <w:rFonts w:hint="eastAsia" w:ascii="仿宋" w:hAnsi="仿宋" w:eastAsia="仿宋" w:cs="仿宋"/>
          <w:sz w:val="21"/>
          <w:szCs w:val="21"/>
        </w:rPr>
        <w:br w:type="page"/>
      </w:r>
      <w:r>
        <w:rPr>
          <w:rFonts w:hint="eastAsia" w:ascii="仿宋" w:hAnsi="仿宋" w:eastAsia="仿宋" w:cs="仿宋"/>
          <w:sz w:val="28"/>
          <w:szCs w:val="28"/>
        </w:rPr>
        <w:t xml:space="preserve">附件2：               </w:t>
      </w:r>
      <w:r>
        <w:rPr>
          <w:rFonts w:hint="eastAsia" w:ascii="仿宋" w:hAnsi="仿宋" w:eastAsia="仿宋" w:cs="仿宋"/>
          <w:b/>
          <w:bCs/>
          <w:sz w:val="28"/>
          <w:szCs w:val="28"/>
        </w:rPr>
        <w:t xml:space="preserve"> 工程量清单</w:t>
      </w: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ascii="仿宋" w:hAnsi="仿宋" w:eastAsia="仿宋" w:cs="仿宋"/>
          <w:sz w:val="21"/>
          <w:szCs w:val="21"/>
        </w:rPr>
      </w:pPr>
    </w:p>
    <w:p>
      <w:pPr>
        <w:pStyle w:val="5"/>
        <w:rPr>
          <w:rFonts w:hint="eastAsia" w:ascii="仿宋" w:hAnsi="仿宋" w:eastAsia="仿宋" w:cs="仿宋"/>
          <w:sz w:val="21"/>
          <w:szCs w:val="21"/>
        </w:rPr>
      </w:pPr>
    </w:p>
    <w:p>
      <w:pPr>
        <w:rPr>
          <w:rFonts w:hint="eastAsia"/>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jc w:val="center"/>
        <w:rPr>
          <w:rFonts w:hint="eastAsia" w:ascii="仿宋" w:hAnsi="仿宋" w:eastAsia="仿宋" w:cs="仿宋"/>
          <w:sz w:val="21"/>
          <w:szCs w:val="21"/>
        </w:rPr>
      </w:pPr>
    </w:p>
    <w:p>
      <w:pPr>
        <w:numPr>
          <w:ilvl w:val="0"/>
          <w:numId w:val="0"/>
        </w:numPr>
        <w:snapToGrid w:val="0"/>
        <w:spacing w:line="360" w:lineRule="auto"/>
        <w:ind w:left="218" w:leftChars="104" w:firstLine="0" w:firstLineChars="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附件3：</w:t>
      </w:r>
    </w:p>
    <w:p>
      <w:pPr>
        <w:numPr>
          <w:ilvl w:val="0"/>
          <w:numId w:val="0"/>
        </w:numPr>
        <w:snapToGrid w:val="0"/>
        <w:spacing w:line="360" w:lineRule="auto"/>
        <w:ind w:leftChars="279"/>
        <w:jc w:val="center"/>
        <w:rPr>
          <w:rFonts w:hint="eastAsia" w:ascii="仿宋" w:hAnsi="仿宋" w:eastAsia="仿宋" w:cs="仿宋"/>
          <w:color w:val="000000"/>
          <w:sz w:val="24"/>
          <w:szCs w:val="24"/>
          <w:lang w:val="en-US" w:eastAsia="zh-CN"/>
        </w:rPr>
      </w:pPr>
      <w:r>
        <w:rPr>
          <w:rFonts w:hint="eastAsia" w:ascii="仿宋" w:hAnsi="仿宋" w:eastAsia="仿宋" w:cs="仿宋"/>
          <w:b/>
          <w:bCs/>
          <w:color w:val="000000"/>
          <w:sz w:val="30"/>
          <w:szCs w:val="30"/>
          <w:lang w:val="en-US" w:eastAsia="zh-CN"/>
        </w:rPr>
        <w:t>供货周期承诺函</w:t>
      </w:r>
    </w:p>
    <w:p>
      <w:pPr>
        <w:numPr>
          <w:ilvl w:val="0"/>
          <w:numId w:val="0"/>
        </w:numPr>
        <w:snapToGrid w:val="0"/>
        <w:spacing w:line="360" w:lineRule="auto"/>
        <w:ind w:leftChars="279"/>
        <w:rPr>
          <w:rFonts w:hint="eastAsia" w:ascii="仿宋" w:hAnsi="仿宋" w:eastAsia="仿宋" w:cs="仿宋"/>
          <w:color w:val="000000"/>
          <w:sz w:val="24"/>
          <w:szCs w:val="24"/>
          <w:lang w:val="en-US" w:eastAsia="zh-CN"/>
        </w:rPr>
      </w:pP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致:</w:t>
      </w:r>
      <w:r>
        <w:rPr>
          <w:rFonts w:hint="eastAsia" w:ascii="仿宋" w:hAnsi="仿宋" w:eastAsia="仿宋" w:cs="仿宋"/>
          <w:spacing w:val="2"/>
          <w:sz w:val="24"/>
          <w:szCs w:val="24"/>
          <w:u w:val="single"/>
          <w:lang w:val="en-US" w:eastAsia="zh-CN"/>
        </w:rPr>
        <w:t xml:space="preserve">               </w:t>
      </w:r>
      <w:r>
        <w:rPr>
          <w:rFonts w:hint="eastAsia" w:ascii="仿宋" w:hAnsi="仿宋" w:eastAsia="仿宋" w:cs="仿宋"/>
          <w:spacing w:val="2"/>
          <w:sz w:val="24"/>
          <w:szCs w:val="24"/>
          <w:lang w:val="en-US" w:eastAsia="zh-CN"/>
        </w:rPr>
        <w:t>公司</w:t>
      </w: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本承诺书作为我方对贵公司</w:t>
      </w:r>
      <w:r>
        <w:rPr>
          <w:rFonts w:hint="eastAsia" w:ascii="仿宋" w:hAnsi="仿宋" w:eastAsia="仿宋" w:cs="仿宋"/>
          <w:spacing w:val="2"/>
          <w:sz w:val="24"/>
          <w:szCs w:val="24"/>
          <w:u w:val="single"/>
        </w:rPr>
        <w:t>（</w:t>
      </w:r>
      <w:r>
        <w:rPr>
          <w:rFonts w:hint="eastAsia" w:ascii="仿宋" w:hAnsi="仿宋" w:eastAsia="仿宋" w:cs="仿宋"/>
          <w:b/>
          <w:spacing w:val="2"/>
          <w:sz w:val="24"/>
          <w:szCs w:val="24"/>
          <w:u w:val="single"/>
        </w:rPr>
        <w:t>项目名称</w:t>
      </w:r>
      <w:r>
        <w:rPr>
          <w:rFonts w:hint="eastAsia" w:ascii="仿宋" w:hAnsi="仿宋" w:eastAsia="仿宋" w:cs="仿宋"/>
          <w:spacing w:val="2"/>
          <w:sz w:val="24"/>
          <w:szCs w:val="24"/>
          <w:u w:val="single"/>
        </w:rPr>
        <w:t>）</w:t>
      </w:r>
      <w:r>
        <w:rPr>
          <w:rFonts w:hint="eastAsia" w:ascii="仿宋" w:hAnsi="仿宋" w:eastAsia="仿宋" w:cs="仿宋"/>
          <w:spacing w:val="2"/>
          <w:sz w:val="24"/>
          <w:szCs w:val="24"/>
          <w:lang w:val="en-US" w:eastAsia="zh-CN"/>
        </w:rPr>
        <w:t xml:space="preserve"> 项目(合同编号</w:t>
      </w:r>
      <w:r>
        <w:rPr>
          <w:rFonts w:hint="eastAsia" w:ascii="仿宋" w:hAnsi="仿宋" w:eastAsia="仿宋" w:cs="仿宋"/>
          <w:spacing w:val="2"/>
          <w:sz w:val="24"/>
          <w:szCs w:val="24"/>
        </w:rPr>
        <w:t>：</w:t>
      </w:r>
      <w:r>
        <w:rPr>
          <w:rFonts w:hint="eastAsia" w:ascii="仿宋" w:hAnsi="仿宋" w:eastAsia="仿宋" w:cs="仿宋"/>
          <w:spacing w:val="2"/>
          <w:sz w:val="24"/>
          <w:szCs w:val="24"/>
          <w:u w:val="single"/>
        </w:rPr>
        <w:t xml:space="preserve">            </w:t>
      </w:r>
      <w:r>
        <w:rPr>
          <w:rFonts w:hint="eastAsia" w:ascii="仿宋" w:hAnsi="仿宋" w:eastAsia="仿宋" w:cs="仿宋"/>
          <w:spacing w:val="2"/>
          <w:sz w:val="24"/>
          <w:szCs w:val="24"/>
          <w:lang w:val="en-US" w:eastAsia="zh-CN"/>
        </w:rPr>
        <w:t>)所提供的供货时间保证证明。我方郑重承诺:</w:t>
      </w: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我方将严格按合同文件要求，按照中标确定的统一单价和指定的供货地点按时按质按量进行供货，满足贵方技术标准及设备使用要求，如所供产品出现不及时情况，由我方承担相应责任并接受贵公司作出的处理。</w:t>
      </w:r>
    </w:p>
    <w:p>
      <w:pPr>
        <w:spacing w:line="600" w:lineRule="exact"/>
        <w:ind w:firstLine="494" w:firstLineChars="206"/>
        <w:rPr>
          <w:rFonts w:hint="eastAsia" w:ascii="仿宋" w:hAnsi="仿宋" w:eastAsia="仿宋" w:cs="仿宋"/>
          <w:spacing w:val="2"/>
          <w:sz w:val="24"/>
          <w:szCs w:val="24"/>
          <w:lang w:val="en-US" w:eastAsia="zh-CN"/>
        </w:rPr>
      </w:pPr>
      <w:r>
        <w:rPr>
          <w:rFonts w:hint="eastAsia" w:ascii="仿宋" w:hAnsi="仿宋" w:eastAsia="仿宋" w:cs="仿宋"/>
          <w:color w:val="000000"/>
          <w:kern w:val="0"/>
          <w:sz w:val="24"/>
          <w:szCs w:val="24"/>
          <w:lang w:val="en-US" w:eastAsia="zh-CN"/>
        </w:rPr>
        <w:t>供货周期：贵公司下单日起7-15天内货物到达现场。</w:t>
      </w:r>
    </w:p>
    <w:p>
      <w:pPr>
        <w:spacing w:line="600" w:lineRule="exact"/>
        <w:ind w:firstLine="502" w:firstLineChars="206"/>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本保证书自中标日或合同签订日起至合同有效期满为止有效。</w:t>
      </w:r>
    </w:p>
    <w:p>
      <w:pPr>
        <w:spacing w:line="600" w:lineRule="exact"/>
        <w:ind w:firstLine="502" w:firstLineChars="206"/>
        <w:rPr>
          <w:rFonts w:hint="eastAsia" w:ascii="仿宋" w:hAnsi="仿宋" w:eastAsia="仿宋" w:cs="仿宋"/>
          <w:spacing w:val="2"/>
          <w:sz w:val="24"/>
          <w:szCs w:val="24"/>
          <w:lang w:val="en-US" w:eastAsia="zh-CN"/>
        </w:rPr>
      </w:pPr>
    </w:p>
    <w:p>
      <w:pPr>
        <w:spacing w:line="600" w:lineRule="exact"/>
        <w:ind w:firstLine="502" w:firstLineChars="206"/>
        <w:rPr>
          <w:rFonts w:hint="eastAsia" w:ascii="仿宋" w:hAnsi="仿宋" w:eastAsia="仿宋" w:cs="仿宋"/>
          <w:spacing w:val="2"/>
          <w:sz w:val="24"/>
          <w:szCs w:val="24"/>
          <w:lang w:val="en-US" w:eastAsia="zh-CN"/>
        </w:rPr>
      </w:pPr>
    </w:p>
    <w:p>
      <w:pPr>
        <w:spacing w:line="600" w:lineRule="exact"/>
        <w:ind w:firstLine="502" w:firstLineChars="206"/>
        <w:rPr>
          <w:rFonts w:hint="eastAsia" w:ascii="仿宋" w:hAnsi="仿宋" w:eastAsia="仿宋" w:cs="仿宋"/>
          <w:spacing w:val="2"/>
          <w:sz w:val="24"/>
          <w:szCs w:val="24"/>
          <w:lang w:val="en-US" w:eastAsia="zh-CN"/>
        </w:rPr>
      </w:pPr>
    </w:p>
    <w:p>
      <w:pPr>
        <w:numPr>
          <w:ilvl w:val="0"/>
          <w:numId w:val="0"/>
        </w:numPr>
        <w:snapToGrid w:val="0"/>
        <w:spacing w:line="360" w:lineRule="auto"/>
        <w:ind w:leftChars="279"/>
        <w:rPr>
          <w:rFonts w:hint="eastAsia" w:ascii="仿宋" w:hAnsi="仿宋" w:eastAsia="仿宋" w:cs="仿宋"/>
          <w:color w:val="000000"/>
          <w:sz w:val="24"/>
          <w:szCs w:val="24"/>
          <w:lang w:val="en-US" w:eastAsia="zh-CN"/>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tbl>
      <w:tblPr>
        <w:tblStyle w:val="16"/>
        <w:tblpPr w:leftFromText="180" w:rightFromText="180" w:vertAnchor="text" w:horzAnchor="page" w:tblpX="3744" w:tblpY="211"/>
        <w:tblOverlap w:val="never"/>
        <w:tblW w:w="6905" w:type="dxa"/>
        <w:tblInd w:w="0" w:type="dxa"/>
        <w:tblLayout w:type="fixed"/>
        <w:tblCellMar>
          <w:top w:w="0" w:type="dxa"/>
          <w:left w:w="108" w:type="dxa"/>
          <w:bottom w:w="0" w:type="dxa"/>
          <w:right w:w="108" w:type="dxa"/>
        </w:tblCellMar>
      </w:tblPr>
      <w:tblGrid>
        <w:gridCol w:w="6905"/>
      </w:tblGrid>
      <w:tr>
        <w:tblPrEx>
          <w:tblCellMar>
            <w:top w:w="0" w:type="dxa"/>
            <w:left w:w="108" w:type="dxa"/>
            <w:bottom w:w="0" w:type="dxa"/>
            <w:right w:w="108" w:type="dxa"/>
          </w:tblCellMar>
        </w:tblPrEx>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乙方</w:t>
            </w:r>
            <w:r>
              <w:rPr>
                <w:rFonts w:hint="eastAsia" w:ascii="仿宋" w:hAnsi="仿宋" w:eastAsia="仿宋" w:cs="仿宋"/>
                <w:sz w:val="24"/>
                <w:szCs w:val="24"/>
              </w:rPr>
              <w:t>名称（加盖公章）：</w:t>
            </w:r>
            <w:r>
              <w:rPr>
                <w:rFonts w:hint="eastAsia" w:ascii="仿宋" w:hAnsi="仿宋" w:eastAsia="仿宋" w:cs="仿宋"/>
                <w:sz w:val="24"/>
                <w:szCs w:val="24"/>
                <w:u w:val="single"/>
              </w:rPr>
              <w:t xml:space="preserve">                             </w:t>
            </w:r>
          </w:p>
        </w:tc>
      </w:tr>
      <w:tr>
        <w:tblPrEx>
          <w:tblCellMar>
            <w:top w:w="0" w:type="dxa"/>
            <w:left w:w="108" w:type="dxa"/>
            <w:bottom w:w="0" w:type="dxa"/>
            <w:right w:w="108" w:type="dxa"/>
          </w:tblCellMar>
        </w:tblPrEx>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法定代表人（授权代表）（签名或盖私章）：</w:t>
            </w:r>
            <w:r>
              <w:rPr>
                <w:rFonts w:hint="eastAsia" w:ascii="仿宋" w:hAnsi="仿宋" w:eastAsia="仿宋" w:cs="仿宋"/>
                <w:sz w:val="24"/>
                <w:szCs w:val="24"/>
                <w:u w:val="single"/>
              </w:rPr>
              <w:t xml:space="preserve">         </w:t>
            </w:r>
          </w:p>
        </w:tc>
      </w:tr>
      <w:tr>
        <w:tblPrEx>
          <w:tblCellMar>
            <w:top w:w="0" w:type="dxa"/>
            <w:left w:w="108" w:type="dxa"/>
            <w:bottom w:w="0" w:type="dxa"/>
            <w:right w:w="108" w:type="dxa"/>
          </w:tblCellMar>
        </w:tblPrEx>
        <w:tc>
          <w:tcPr>
            <w:tcW w:w="6905" w:type="dxa"/>
            <w:noWrap w:val="0"/>
            <w:vAlign w:val="top"/>
          </w:tcPr>
          <w:p>
            <w:pPr>
              <w:spacing w:line="360" w:lineRule="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年           月            日</w:t>
            </w:r>
          </w:p>
        </w:tc>
      </w:tr>
    </w:tbl>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numPr>
          <w:ilvl w:val="0"/>
          <w:numId w:val="0"/>
        </w:numPr>
        <w:snapToGrid w:val="0"/>
        <w:spacing w:line="360" w:lineRule="auto"/>
        <w:ind w:leftChars="279"/>
        <w:rPr>
          <w:rFonts w:hint="eastAsia" w:ascii="仿宋" w:hAnsi="仿宋" w:eastAsia="仿宋" w:cs="仿宋"/>
          <w:b/>
          <w:color w:val="000000"/>
          <w:kern w:val="0"/>
          <w:sz w:val="24"/>
          <w:szCs w:val="24"/>
        </w:rPr>
      </w:pPr>
    </w:p>
    <w:p>
      <w:pPr>
        <w:jc w:val="left"/>
        <w:rPr>
          <w:rFonts w:hint="eastAsia" w:ascii="仿宋" w:hAnsi="仿宋" w:eastAsia="仿宋" w:cs="仿宋"/>
          <w:sz w:val="21"/>
          <w:szCs w:val="21"/>
        </w:rPr>
      </w:pPr>
    </w:p>
    <w:sectPr>
      <w:footerReference r:id="rId3" w:type="default"/>
      <w:pgSz w:w="11906" w:h="16838"/>
      <w:pgMar w:top="1134" w:right="1418" w:bottom="113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1</w:t>
    </w:r>
    <w: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4ABC220"/>
    <w:multiLevelType w:val="singleLevel"/>
    <w:tmpl w:val="04ABC220"/>
    <w:lvl w:ilvl="0" w:tentative="0">
      <w:start w:val="5"/>
      <w:numFmt w:val="chineseCounting"/>
      <w:suff w:val="nothing"/>
      <w:lvlText w:val="%1、"/>
      <w:lvlJc w:val="left"/>
      <w:rPr>
        <w:rFonts w:hint="eastAsia" w:ascii="仿宋_GB2312" w:hAnsi="仿宋_GB2312" w:eastAsia="仿宋_GB2312" w:cs="仿宋_GB2312"/>
        <w:sz w:val="24"/>
        <w:szCs w:val="24"/>
      </w:rPr>
    </w:lvl>
  </w:abstractNum>
  <w:abstractNum w:abstractNumId="2">
    <w:nsid w:val="75FC1ACE"/>
    <w:multiLevelType w:val="multilevel"/>
    <w:tmpl w:val="75FC1ACE"/>
    <w:lvl w:ilvl="0" w:tentative="0">
      <w:start w:val="1"/>
      <w:numFmt w:val="decimal"/>
      <w:lvlText w:val="%1、"/>
      <w:lvlJc w:val="left"/>
      <w:pPr>
        <w:ind w:left="1830" w:hanging="360"/>
      </w:pPr>
      <w:rPr>
        <w:rFonts w:cs="Times New Roman"/>
      </w:rPr>
    </w:lvl>
    <w:lvl w:ilvl="1" w:tentative="0">
      <w:start w:val="1"/>
      <w:numFmt w:val="lowerLetter"/>
      <w:lvlText w:val="%2)"/>
      <w:lvlJc w:val="left"/>
      <w:pPr>
        <w:ind w:left="2310" w:hanging="420"/>
      </w:pPr>
      <w:rPr>
        <w:rFonts w:cs="Times New Roman"/>
      </w:rPr>
    </w:lvl>
    <w:lvl w:ilvl="2" w:tentative="0">
      <w:start w:val="1"/>
      <w:numFmt w:val="lowerRoman"/>
      <w:lvlText w:val="%3."/>
      <w:lvlJc w:val="right"/>
      <w:pPr>
        <w:ind w:left="2730" w:hanging="420"/>
      </w:pPr>
      <w:rPr>
        <w:rFonts w:cs="Times New Roman"/>
      </w:rPr>
    </w:lvl>
    <w:lvl w:ilvl="3" w:tentative="0">
      <w:start w:val="1"/>
      <w:numFmt w:val="decimal"/>
      <w:lvlText w:val="%4."/>
      <w:lvlJc w:val="left"/>
      <w:pPr>
        <w:ind w:left="3150" w:hanging="420"/>
      </w:pPr>
      <w:rPr>
        <w:rFonts w:cs="Times New Roman"/>
      </w:rPr>
    </w:lvl>
    <w:lvl w:ilvl="4" w:tentative="0">
      <w:start w:val="1"/>
      <w:numFmt w:val="lowerLetter"/>
      <w:lvlText w:val="%5)"/>
      <w:lvlJc w:val="left"/>
      <w:pPr>
        <w:ind w:left="3570" w:hanging="420"/>
      </w:pPr>
      <w:rPr>
        <w:rFonts w:cs="Times New Roman"/>
      </w:rPr>
    </w:lvl>
    <w:lvl w:ilvl="5" w:tentative="0">
      <w:start w:val="1"/>
      <w:numFmt w:val="lowerRoman"/>
      <w:lvlText w:val="%6."/>
      <w:lvlJc w:val="right"/>
      <w:pPr>
        <w:ind w:left="3990" w:hanging="420"/>
      </w:pPr>
      <w:rPr>
        <w:rFonts w:cs="Times New Roman"/>
      </w:rPr>
    </w:lvl>
    <w:lvl w:ilvl="6" w:tentative="0">
      <w:start w:val="1"/>
      <w:numFmt w:val="decimal"/>
      <w:lvlText w:val="%7."/>
      <w:lvlJc w:val="left"/>
      <w:pPr>
        <w:ind w:left="4410" w:hanging="420"/>
      </w:pPr>
      <w:rPr>
        <w:rFonts w:cs="Times New Roman"/>
      </w:rPr>
    </w:lvl>
    <w:lvl w:ilvl="7" w:tentative="0">
      <w:start w:val="1"/>
      <w:numFmt w:val="lowerLetter"/>
      <w:lvlText w:val="%8)"/>
      <w:lvlJc w:val="left"/>
      <w:pPr>
        <w:ind w:left="4830" w:hanging="420"/>
      </w:pPr>
      <w:rPr>
        <w:rFonts w:cs="Times New Roman"/>
      </w:rPr>
    </w:lvl>
    <w:lvl w:ilvl="8" w:tentative="0">
      <w:start w:val="1"/>
      <w:numFmt w:val="lowerRoman"/>
      <w:lvlText w:val="%9."/>
      <w:lvlJc w:val="right"/>
      <w:pPr>
        <w:ind w:left="5250" w:hanging="420"/>
      </w:pPr>
      <w:rPr>
        <w:rFonts w:cs="Times New Roman"/>
      </w:rPr>
    </w:lvl>
  </w:abstractNum>
  <w:abstractNum w:abstractNumId="3">
    <w:nsid w:val="7AE2039B"/>
    <w:multiLevelType w:val="multilevel"/>
    <w:tmpl w:val="7AE2039B"/>
    <w:lvl w:ilvl="0" w:tentative="0">
      <w:start w:val="3"/>
      <w:numFmt w:val="japaneseCounting"/>
      <w:lvlText w:val="第%1条"/>
      <w:lvlJc w:val="left"/>
      <w:pPr>
        <w:ind w:left="1288" w:hanging="720"/>
      </w:pPr>
      <w:rPr>
        <w:rFonts w:cs="Times New Roman"/>
        <w:lang w:val="en-US"/>
      </w:rPr>
    </w:lvl>
    <w:lvl w:ilvl="1" w:tentative="0">
      <w:start w:val="1"/>
      <w:numFmt w:val="decimal"/>
      <w:lvlText w:val="%2、"/>
      <w:lvlJc w:val="left"/>
      <w:pPr>
        <w:ind w:left="1348" w:hanging="360"/>
      </w:pPr>
      <w:rPr>
        <w:u w:val="single"/>
      </w:rPr>
    </w:lvl>
    <w:lvl w:ilvl="2" w:tentative="0">
      <w:start w:val="1"/>
      <w:numFmt w:val="lowerRoman"/>
      <w:lvlText w:val="%3."/>
      <w:lvlJc w:val="right"/>
      <w:pPr>
        <w:ind w:left="1828" w:hanging="420"/>
      </w:pPr>
      <w:rPr>
        <w:rFonts w:cs="Times New Roman"/>
      </w:rPr>
    </w:lvl>
    <w:lvl w:ilvl="3" w:tentative="0">
      <w:start w:val="1"/>
      <w:numFmt w:val="decimal"/>
      <w:lvlText w:val="%4."/>
      <w:lvlJc w:val="left"/>
      <w:pPr>
        <w:ind w:left="2248" w:hanging="420"/>
      </w:pPr>
      <w:rPr>
        <w:rFonts w:cs="Times New Roman"/>
      </w:rPr>
    </w:lvl>
    <w:lvl w:ilvl="4" w:tentative="0">
      <w:start w:val="1"/>
      <w:numFmt w:val="lowerLetter"/>
      <w:lvlText w:val="%5)"/>
      <w:lvlJc w:val="left"/>
      <w:pPr>
        <w:ind w:left="2668" w:hanging="420"/>
      </w:pPr>
      <w:rPr>
        <w:rFonts w:cs="Times New Roman"/>
      </w:rPr>
    </w:lvl>
    <w:lvl w:ilvl="5" w:tentative="0">
      <w:start w:val="1"/>
      <w:numFmt w:val="lowerRoman"/>
      <w:lvlText w:val="%6."/>
      <w:lvlJc w:val="right"/>
      <w:pPr>
        <w:ind w:left="3088" w:hanging="420"/>
      </w:pPr>
      <w:rPr>
        <w:rFonts w:cs="Times New Roman"/>
      </w:rPr>
    </w:lvl>
    <w:lvl w:ilvl="6" w:tentative="0">
      <w:start w:val="1"/>
      <w:numFmt w:val="decimal"/>
      <w:lvlText w:val="%7."/>
      <w:lvlJc w:val="left"/>
      <w:pPr>
        <w:ind w:left="3508" w:hanging="420"/>
      </w:pPr>
      <w:rPr>
        <w:rFonts w:cs="Times New Roman"/>
      </w:rPr>
    </w:lvl>
    <w:lvl w:ilvl="7" w:tentative="0">
      <w:start w:val="1"/>
      <w:numFmt w:val="lowerLetter"/>
      <w:lvlText w:val="%8)"/>
      <w:lvlJc w:val="left"/>
      <w:pPr>
        <w:ind w:left="3928" w:hanging="420"/>
      </w:pPr>
      <w:rPr>
        <w:rFonts w:cs="Times New Roman"/>
      </w:rPr>
    </w:lvl>
    <w:lvl w:ilvl="8" w:tentative="0">
      <w:start w:val="1"/>
      <w:numFmt w:val="lowerRoman"/>
      <w:lvlText w:val="%9."/>
      <w:lvlJc w:val="right"/>
      <w:pPr>
        <w:ind w:left="4348" w:hanging="420"/>
      </w:pPr>
      <w:rPr>
        <w:rFonts w:cs="Times New Roman"/>
      </w:rPr>
    </w:lvl>
  </w:abstractNum>
  <w:num w:numId="1">
    <w:abstractNumId w:val="1"/>
  </w:num>
  <w:num w:numId="2">
    <w:abstractNumId w:val="0"/>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1260AF"/>
    <w:rsid w:val="00000836"/>
    <w:rsid w:val="00002658"/>
    <w:rsid w:val="000035C0"/>
    <w:rsid w:val="00003E35"/>
    <w:rsid w:val="00004A75"/>
    <w:rsid w:val="00004B48"/>
    <w:rsid w:val="00004C11"/>
    <w:rsid w:val="00004E03"/>
    <w:rsid w:val="0000621C"/>
    <w:rsid w:val="00007815"/>
    <w:rsid w:val="00010668"/>
    <w:rsid w:val="000117B0"/>
    <w:rsid w:val="0001259A"/>
    <w:rsid w:val="00012910"/>
    <w:rsid w:val="00013D94"/>
    <w:rsid w:val="00014F5D"/>
    <w:rsid w:val="00015A85"/>
    <w:rsid w:val="00016292"/>
    <w:rsid w:val="00016979"/>
    <w:rsid w:val="0001715C"/>
    <w:rsid w:val="00020071"/>
    <w:rsid w:val="000201AD"/>
    <w:rsid w:val="00021145"/>
    <w:rsid w:val="000214AC"/>
    <w:rsid w:val="00021DDE"/>
    <w:rsid w:val="00022178"/>
    <w:rsid w:val="0002382F"/>
    <w:rsid w:val="000238AB"/>
    <w:rsid w:val="00023CD5"/>
    <w:rsid w:val="00023D0E"/>
    <w:rsid w:val="000254DD"/>
    <w:rsid w:val="00030815"/>
    <w:rsid w:val="000317C7"/>
    <w:rsid w:val="00031944"/>
    <w:rsid w:val="00035143"/>
    <w:rsid w:val="00035437"/>
    <w:rsid w:val="0003559B"/>
    <w:rsid w:val="0003599A"/>
    <w:rsid w:val="00037301"/>
    <w:rsid w:val="000373F2"/>
    <w:rsid w:val="0004008D"/>
    <w:rsid w:val="000407F5"/>
    <w:rsid w:val="00040921"/>
    <w:rsid w:val="00040DFD"/>
    <w:rsid w:val="00040EF1"/>
    <w:rsid w:val="00041293"/>
    <w:rsid w:val="0004212C"/>
    <w:rsid w:val="00042398"/>
    <w:rsid w:val="00042A5E"/>
    <w:rsid w:val="00044253"/>
    <w:rsid w:val="00044345"/>
    <w:rsid w:val="00044B6C"/>
    <w:rsid w:val="000453D2"/>
    <w:rsid w:val="0004545C"/>
    <w:rsid w:val="00045F52"/>
    <w:rsid w:val="0005075B"/>
    <w:rsid w:val="00050CEB"/>
    <w:rsid w:val="00051574"/>
    <w:rsid w:val="0005201D"/>
    <w:rsid w:val="000527E1"/>
    <w:rsid w:val="00053682"/>
    <w:rsid w:val="00053B2C"/>
    <w:rsid w:val="000542EA"/>
    <w:rsid w:val="00054BFD"/>
    <w:rsid w:val="00055625"/>
    <w:rsid w:val="00055A51"/>
    <w:rsid w:val="00055EAF"/>
    <w:rsid w:val="00056963"/>
    <w:rsid w:val="00057E59"/>
    <w:rsid w:val="00060D4F"/>
    <w:rsid w:val="00061543"/>
    <w:rsid w:val="00061AD0"/>
    <w:rsid w:val="00061D13"/>
    <w:rsid w:val="00061E3D"/>
    <w:rsid w:val="00062734"/>
    <w:rsid w:val="000628EC"/>
    <w:rsid w:val="00063065"/>
    <w:rsid w:val="00063253"/>
    <w:rsid w:val="00063C5F"/>
    <w:rsid w:val="00064C3A"/>
    <w:rsid w:val="0006502D"/>
    <w:rsid w:val="00065AF5"/>
    <w:rsid w:val="00066B45"/>
    <w:rsid w:val="00066CAA"/>
    <w:rsid w:val="0007082F"/>
    <w:rsid w:val="00071063"/>
    <w:rsid w:val="00071404"/>
    <w:rsid w:val="00071528"/>
    <w:rsid w:val="00071DA8"/>
    <w:rsid w:val="000724B1"/>
    <w:rsid w:val="00072841"/>
    <w:rsid w:val="0007289F"/>
    <w:rsid w:val="00072FC8"/>
    <w:rsid w:val="00075C92"/>
    <w:rsid w:val="000765AA"/>
    <w:rsid w:val="000766A2"/>
    <w:rsid w:val="00076A39"/>
    <w:rsid w:val="00077110"/>
    <w:rsid w:val="000775EC"/>
    <w:rsid w:val="00077F61"/>
    <w:rsid w:val="000804E8"/>
    <w:rsid w:val="00080780"/>
    <w:rsid w:val="00082C99"/>
    <w:rsid w:val="00082D3E"/>
    <w:rsid w:val="00082E19"/>
    <w:rsid w:val="00082F19"/>
    <w:rsid w:val="00083DC0"/>
    <w:rsid w:val="00085724"/>
    <w:rsid w:val="000904F0"/>
    <w:rsid w:val="00090659"/>
    <w:rsid w:val="00090E7B"/>
    <w:rsid w:val="00091677"/>
    <w:rsid w:val="00091F00"/>
    <w:rsid w:val="00091F69"/>
    <w:rsid w:val="00093129"/>
    <w:rsid w:val="000932CB"/>
    <w:rsid w:val="00093CED"/>
    <w:rsid w:val="000940A0"/>
    <w:rsid w:val="0009486D"/>
    <w:rsid w:val="00094A06"/>
    <w:rsid w:val="00094AB4"/>
    <w:rsid w:val="00096A67"/>
    <w:rsid w:val="00096DCA"/>
    <w:rsid w:val="000974C1"/>
    <w:rsid w:val="00097ED1"/>
    <w:rsid w:val="000A08A3"/>
    <w:rsid w:val="000A1183"/>
    <w:rsid w:val="000A27C9"/>
    <w:rsid w:val="000A2EE7"/>
    <w:rsid w:val="000A43A6"/>
    <w:rsid w:val="000A4D1E"/>
    <w:rsid w:val="000A5705"/>
    <w:rsid w:val="000A63C0"/>
    <w:rsid w:val="000B188C"/>
    <w:rsid w:val="000B2B45"/>
    <w:rsid w:val="000B2FC3"/>
    <w:rsid w:val="000B3E58"/>
    <w:rsid w:val="000B40F0"/>
    <w:rsid w:val="000B4B34"/>
    <w:rsid w:val="000B7629"/>
    <w:rsid w:val="000C009D"/>
    <w:rsid w:val="000C0210"/>
    <w:rsid w:val="000C0B24"/>
    <w:rsid w:val="000C0C24"/>
    <w:rsid w:val="000C1387"/>
    <w:rsid w:val="000C34DE"/>
    <w:rsid w:val="000C3A98"/>
    <w:rsid w:val="000C3EE4"/>
    <w:rsid w:val="000C42FA"/>
    <w:rsid w:val="000C4916"/>
    <w:rsid w:val="000C4B1F"/>
    <w:rsid w:val="000C5237"/>
    <w:rsid w:val="000C584D"/>
    <w:rsid w:val="000C5FCE"/>
    <w:rsid w:val="000C6612"/>
    <w:rsid w:val="000D046E"/>
    <w:rsid w:val="000D05CB"/>
    <w:rsid w:val="000D229C"/>
    <w:rsid w:val="000D2D44"/>
    <w:rsid w:val="000D34DA"/>
    <w:rsid w:val="000D576D"/>
    <w:rsid w:val="000D57E4"/>
    <w:rsid w:val="000D5A0F"/>
    <w:rsid w:val="000D5D2D"/>
    <w:rsid w:val="000D762C"/>
    <w:rsid w:val="000D77DD"/>
    <w:rsid w:val="000E014D"/>
    <w:rsid w:val="000E037C"/>
    <w:rsid w:val="000E0756"/>
    <w:rsid w:val="000E0EA4"/>
    <w:rsid w:val="000E1098"/>
    <w:rsid w:val="000E11B3"/>
    <w:rsid w:val="000E1FCD"/>
    <w:rsid w:val="000E25D6"/>
    <w:rsid w:val="000E35B5"/>
    <w:rsid w:val="000E3B1A"/>
    <w:rsid w:val="000E4860"/>
    <w:rsid w:val="000E5144"/>
    <w:rsid w:val="000E56B3"/>
    <w:rsid w:val="000E7204"/>
    <w:rsid w:val="000E781C"/>
    <w:rsid w:val="000E7B36"/>
    <w:rsid w:val="000E7D37"/>
    <w:rsid w:val="000F0186"/>
    <w:rsid w:val="000F0AAF"/>
    <w:rsid w:val="000F0D74"/>
    <w:rsid w:val="000F3770"/>
    <w:rsid w:val="000F38FA"/>
    <w:rsid w:val="000F396D"/>
    <w:rsid w:val="000F3B14"/>
    <w:rsid w:val="000F71DD"/>
    <w:rsid w:val="000F7BF6"/>
    <w:rsid w:val="000F7DD7"/>
    <w:rsid w:val="000F7DF3"/>
    <w:rsid w:val="001014ED"/>
    <w:rsid w:val="00101714"/>
    <w:rsid w:val="00102B27"/>
    <w:rsid w:val="00104B8E"/>
    <w:rsid w:val="0010519F"/>
    <w:rsid w:val="00106B13"/>
    <w:rsid w:val="00106C4F"/>
    <w:rsid w:val="001116C7"/>
    <w:rsid w:val="00112D5D"/>
    <w:rsid w:val="00112DBC"/>
    <w:rsid w:val="00113136"/>
    <w:rsid w:val="001153C7"/>
    <w:rsid w:val="001166B5"/>
    <w:rsid w:val="00116CC0"/>
    <w:rsid w:val="0011787E"/>
    <w:rsid w:val="00117BDF"/>
    <w:rsid w:val="00117C08"/>
    <w:rsid w:val="00120CBD"/>
    <w:rsid w:val="0012155F"/>
    <w:rsid w:val="00122543"/>
    <w:rsid w:val="00122AF7"/>
    <w:rsid w:val="001235D0"/>
    <w:rsid w:val="0012384B"/>
    <w:rsid w:val="00123CF1"/>
    <w:rsid w:val="001251E2"/>
    <w:rsid w:val="001260AF"/>
    <w:rsid w:val="001263E4"/>
    <w:rsid w:val="001265F5"/>
    <w:rsid w:val="0012690F"/>
    <w:rsid w:val="0012711B"/>
    <w:rsid w:val="00127814"/>
    <w:rsid w:val="00131699"/>
    <w:rsid w:val="00132867"/>
    <w:rsid w:val="001342BF"/>
    <w:rsid w:val="0013485C"/>
    <w:rsid w:val="00134907"/>
    <w:rsid w:val="00135769"/>
    <w:rsid w:val="00135BE3"/>
    <w:rsid w:val="00137146"/>
    <w:rsid w:val="0013793A"/>
    <w:rsid w:val="001379EF"/>
    <w:rsid w:val="00137C27"/>
    <w:rsid w:val="00141FF5"/>
    <w:rsid w:val="00143A90"/>
    <w:rsid w:val="00143BFB"/>
    <w:rsid w:val="001449C2"/>
    <w:rsid w:val="00144D60"/>
    <w:rsid w:val="00145325"/>
    <w:rsid w:val="0015008E"/>
    <w:rsid w:val="001503BD"/>
    <w:rsid w:val="001504CC"/>
    <w:rsid w:val="0015307B"/>
    <w:rsid w:val="0015509F"/>
    <w:rsid w:val="001561F7"/>
    <w:rsid w:val="00161493"/>
    <w:rsid w:val="00161B71"/>
    <w:rsid w:val="0016220E"/>
    <w:rsid w:val="00162E75"/>
    <w:rsid w:val="0016328C"/>
    <w:rsid w:val="001634AC"/>
    <w:rsid w:val="0016384E"/>
    <w:rsid w:val="00163AA3"/>
    <w:rsid w:val="00164358"/>
    <w:rsid w:val="001667A3"/>
    <w:rsid w:val="001676D6"/>
    <w:rsid w:val="00167955"/>
    <w:rsid w:val="001703CF"/>
    <w:rsid w:val="00170638"/>
    <w:rsid w:val="00172B16"/>
    <w:rsid w:val="00172B9B"/>
    <w:rsid w:val="00173398"/>
    <w:rsid w:val="00174845"/>
    <w:rsid w:val="0017489E"/>
    <w:rsid w:val="00176295"/>
    <w:rsid w:val="00176599"/>
    <w:rsid w:val="00177079"/>
    <w:rsid w:val="00181643"/>
    <w:rsid w:val="00181F0B"/>
    <w:rsid w:val="00182E57"/>
    <w:rsid w:val="0018314B"/>
    <w:rsid w:val="001831BF"/>
    <w:rsid w:val="001845A9"/>
    <w:rsid w:val="0018641F"/>
    <w:rsid w:val="00186853"/>
    <w:rsid w:val="00187B03"/>
    <w:rsid w:val="00190B0B"/>
    <w:rsid w:val="0019128F"/>
    <w:rsid w:val="00191634"/>
    <w:rsid w:val="00192056"/>
    <w:rsid w:val="001926A8"/>
    <w:rsid w:val="001927EE"/>
    <w:rsid w:val="00193324"/>
    <w:rsid w:val="00193CAD"/>
    <w:rsid w:val="00193D27"/>
    <w:rsid w:val="00196B78"/>
    <w:rsid w:val="00196EE8"/>
    <w:rsid w:val="00197208"/>
    <w:rsid w:val="00197B7B"/>
    <w:rsid w:val="00197BFF"/>
    <w:rsid w:val="00197CE1"/>
    <w:rsid w:val="001A0480"/>
    <w:rsid w:val="001A13D1"/>
    <w:rsid w:val="001A14C7"/>
    <w:rsid w:val="001A2BDF"/>
    <w:rsid w:val="001A340D"/>
    <w:rsid w:val="001A3443"/>
    <w:rsid w:val="001A349A"/>
    <w:rsid w:val="001A357D"/>
    <w:rsid w:val="001A3902"/>
    <w:rsid w:val="001A4CAD"/>
    <w:rsid w:val="001A542F"/>
    <w:rsid w:val="001A5C28"/>
    <w:rsid w:val="001A66FA"/>
    <w:rsid w:val="001A687E"/>
    <w:rsid w:val="001B0AF8"/>
    <w:rsid w:val="001B1328"/>
    <w:rsid w:val="001B1DB3"/>
    <w:rsid w:val="001B4D23"/>
    <w:rsid w:val="001B5C27"/>
    <w:rsid w:val="001B661F"/>
    <w:rsid w:val="001B73ED"/>
    <w:rsid w:val="001B7C77"/>
    <w:rsid w:val="001C0CE9"/>
    <w:rsid w:val="001C12B4"/>
    <w:rsid w:val="001C1777"/>
    <w:rsid w:val="001C1BF5"/>
    <w:rsid w:val="001C235B"/>
    <w:rsid w:val="001C253A"/>
    <w:rsid w:val="001C28FD"/>
    <w:rsid w:val="001C2F95"/>
    <w:rsid w:val="001C33A4"/>
    <w:rsid w:val="001C5253"/>
    <w:rsid w:val="001C576F"/>
    <w:rsid w:val="001C5A20"/>
    <w:rsid w:val="001C5C2D"/>
    <w:rsid w:val="001C629E"/>
    <w:rsid w:val="001C7996"/>
    <w:rsid w:val="001D093D"/>
    <w:rsid w:val="001D176E"/>
    <w:rsid w:val="001D1831"/>
    <w:rsid w:val="001D2423"/>
    <w:rsid w:val="001D298E"/>
    <w:rsid w:val="001D2D37"/>
    <w:rsid w:val="001D434A"/>
    <w:rsid w:val="001D5007"/>
    <w:rsid w:val="001D5159"/>
    <w:rsid w:val="001D52DC"/>
    <w:rsid w:val="001D613C"/>
    <w:rsid w:val="001D7010"/>
    <w:rsid w:val="001D7546"/>
    <w:rsid w:val="001D7B3D"/>
    <w:rsid w:val="001E0259"/>
    <w:rsid w:val="001E05B2"/>
    <w:rsid w:val="001E0A10"/>
    <w:rsid w:val="001E0EEC"/>
    <w:rsid w:val="001E19D9"/>
    <w:rsid w:val="001E27A1"/>
    <w:rsid w:val="001E2927"/>
    <w:rsid w:val="001E2A5F"/>
    <w:rsid w:val="001E2D92"/>
    <w:rsid w:val="001E3EEA"/>
    <w:rsid w:val="001E3F47"/>
    <w:rsid w:val="001E3FB0"/>
    <w:rsid w:val="001E5837"/>
    <w:rsid w:val="001E71B9"/>
    <w:rsid w:val="001F00D6"/>
    <w:rsid w:val="001F1112"/>
    <w:rsid w:val="001F22DB"/>
    <w:rsid w:val="001F3AE4"/>
    <w:rsid w:val="001F3FFC"/>
    <w:rsid w:val="001F42E4"/>
    <w:rsid w:val="001F44E1"/>
    <w:rsid w:val="001F54CF"/>
    <w:rsid w:val="001F5D92"/>
    <w:rsid w:val="001F689A"/>
    <w:rsid w:val="001F6DAE"/>
    <w:rsid w:val="001F6ECE"/>
    <w:rsid w:val="00200888"/>
    <w:rsid w:val="00200A66"/>
    <w:rsid w:val="00202A3E"/>
    <w:rsid w:val="00202C83"/>
    <w:rsid w:val="00203099"/>
    <w:rsid w:val="00203C64"/>
    <w:rsid w:val="0020445A"/>
    <w:rsid w:val="0020463C"/>
    <w:rsid w:val="00204657"/>
    <w:rsid w:val="002049A4"/>
    <w:rsid w:val="00205132"/>
    <w:rsid w:val="00205A5E"/>
    <w:rsid w:val="002060F5"/>
    <w:rsid w:val="00206AFA"/>
    <w:rsid w:val="00206E57"/>
    <w:rsid w:val="00206F58"/>
    <w:rsid w:val="00207AFA"/>
    <w:rsid w:val="002108E0"/>
    <w:rsid w:val="0021186B"/>
    <w:rsid w:val="00211D2E"/>
    <w:rsid w:val="002125DA"/>
    <w:rsid w:val="0021304D"/>
    <w:rsid w:val="00213BE8"/>
    <w:rsid w:val="00215D33"/>
    <w:rsid w:val="00216B77"/>
    <w:rsid w:val="00217F94"/>
    <w:rsid w:val="00220283"/>
    <w:rsid w:val="00222703"/>
    <w:rsid w:val="00226AD2"/>
    <w:rsid w:val="0022719B"/>
    <w:rsid w:val="00227B69"/>
    <w:rsid w:val="00230FF8"/>
    <w:rsid w:val="00231E5C"/>
    <w:rsid w:val="002341B6"/>
    <w:rsid w:val="002349B1"/>
    <w:rsid w:val="00235349"/>
    <w:rsid w:val="0023591F"/>
    <w:rsid w:val="00236DA4"/>
    <w:rsid w:val="0023739B"/>
    <w:rsid w:val="002422DC"/>
    <w:rsid w:val="00242B0C"/>
    <w:rsid w:val="00242E97"/>
    <w:rsid w:val="00243005"/>
    <w:rsid w:val="00245035"/>
    <w:rsid w:val="002458F1"/>
    <w:rsid w:val="00245925"/>
    <w:rsid w:val="00246800"/>
    <w:rsid w:val="00246D40"/>
    <w:rsid w:val="002477DC"/>
    <w:rsid w:val="00247D0D"/>
    <w:rsid w:val="00250BB2"/>
    <w:rsid w:val="00250C01"/>
    <w:rsid w:val="00250DFE"/>
    <w:rsid w:val="002527EF"/>
    <w:rsid w:val="002538A9"/>
    <w:rsid w:val="002561C6"/>
    <w:rsid w:val="00257971"/>
    <w:rsid w:val="002600F4"/>
    <w:rsid w:val="002612AA"/>
    <w:rsid w:val="00262DED"/>
    <w:rsid w:val="00262FB7"/>
    <w:rsid w:val="00264DBF"/>
    <w:rsid w:val="00264DF6"/>
    <w:rsid w:val="002662F0"/>
    <w:rsid w:val="00266C1D"/>
    <w:rsid w:val="00267855"/>
    <w:rsid w:val="00267C6D"/>
    <w:rsid w:val="002725B4"/>
    <w:rsid w:val="00272FE6"/>
    <w:rsid w:val="002732F1"/>
    <w:rsid w:val="0027443F"/>
    <w:rsid w:val="0027488A"/>
    <w:rsid w:val="002751A6"/>
    <w:rsid w:val="00275591"/>
    <w:rsid w:val="00275A70"/>
    <w:rsid w:val="00275A93"/>
    <w:rsid w:val="002773A9"/>
    <w:rsid w:val="00277D54"/>
    <w:rsid w:val="00280989"/>
    <w:rsid w:val="00280A94"/>
    <w:rsid w:val="00281B5D"/>
    <w:rsid w:val="00282064"/>
    <w:rsid w:val="00282852"/>
    <w:rsid w:val="00282C0C"/>
    <w:rsid w:val="00283546"/>
    <w:rsid w:val="00284308"/>
    <w:rsid w:val="002845DD"/>
    <w:rsid w:val="002847F0"/>
    <w:rsid w:val="00284D06"/>
    <w:rsid w:val="00286E43"/>
    <w:rsid w:val="00287B2E"/>
    <w:rsid w:val="002900CD"/>
    <w:rsid w:val="00290609"/>
    <w:rsid w:val="0029118E"/>
    <w:rsid w:val="0029180E"/>
    <w:rsid w:val="00291F6B"/>
    <w:rsid w:val="0029203E"/>
    <w:rsid w:val="002920B7"/>
    <w:rsid w:val="00292371"/>
    <w:rsid w:val="002925BA"/>
    <w:rsid w:val="00292EC5"/>
    <w:rsid w:val="00293230"/>
    <w:rsid w:val="002939BC"/>
    <w:rsid w:val="00295016"/>
    <w:rsid w:val="0029545F"/>
    <w:rsid w:val="00296A64"/>
    <w:rsid w:val="002A1C89"/>
    <w:rsid w:val="002A1CA6"/>
    <w:rsid w:val="002A1F41"/>
    <w:rsid w:val="002A3340"/>
    <w:rsid w:val="002A5288"/>
    <w:rsid w:val="002A5B7D"/>
    <w:rsid w:val="002A7426"/>
    <w:rsid w:val="002A7D74"/>
    <w:rsid w:val="002B05AB"/>
    <w:rsid w:val="002B05DB"/>
    <w:rsid w:val="002B0629"/>
    <w:rsid w:val="002B0EE9"/>
    <w:rsid w:val="002B125B"/>
    <w:rsid w:val="002B1FA0"/>
    <w:rsid w:val="002B1FAE"/>
    <w:rsid w:val="002B3FE8"/>
    <w:rsid w:val="002B7093"/>
    <w:rsid w:val="002C03A1"/>
    <w:rsid w:val="002C0B0A"/>
    <w:rsid w:val="002C0BC9"/>
    <w:rsid w:val="002C174F"/>
    <w:rsid w:val="002C1BDE"/>
    <w:rsid w:val="002C1DC5"/>
    <w:rsid w:val="002C741F"/>
    <w:rsid w:val="002C76DB"/>
    <w:rsid w:val="002D2072"/>
    <w:rsid w:val="002D43F3"/>
    <w:rsid w:val="002D542E"/>
    <w:rsid w:val="002D691B"/>
    <w:rsid w:val="002D6926"/>
    <w:rsid w:val="002D72D1"/>
    <w:rsid w:val="002D7C0E"/>
    <w:rsid w:val="002E08B9"/>
    <w:rsid w:val="002E0BB0"/>
    <w:rsid w:val="002E131F"/>
    <w:rsid w:val="002E1F6A"/>
    <w:rsid w:val="002E2CD4"/>
    <w:rsid w:val="002E3AF9"/>
    <w:rsid w:val="002E5F69"/>
    <w:rsid w:val="002F1BAF"/>
    <w:rsid w:val="002F3556"/>
    <w:rsid w:val="002F3708"/>
    <w:rsid w:val="002F5EBE"/>
    <w:rsid w:val="00300C59"/>
    <w:rsid w:val="003025E5"/>
    <w:rsid w:val="003032D1"/>
    <w:rsid w:val="00303B57"/>
    <w:rsid w:val="00303C91"/>
    <w:rsid w:val="003042CA"/>
    <w:rsid w:val="003054A1"/>
    <w:rsid w:val="00305687"/>
    <w:rsid w:val="00305E5C"/>
    <w:rsid w:val="0030633C"/>
    <w:rsid w:val="00306655"/>
    <w:rsid w:val="00306FBD"/>
    <w:rsid w:val="003070A6"/>
    <w:rsid w:val="00307472"/>
    <w:rsid w:val="0031201E"/>
    <w:rsid w:val="00312E88"/>
    <w:rsid w:val="00313721"/>
    <w:rsid w:val="00314534"/>
    <w:rsid w:val="003150CA"/>
    <w:rsid w:val="003151E4"/>
    <w:rsid w:val="0031611E"/>
    <w:rsid w:val="0031630A"/>
    <w:rsid w:val="003166BA"/>
    <w:rsid w:val="00320037"/>
    <w:rsid w:val="0032086C"/>
    <w:rsid w:val="003220EB"/>
    <w:rsid w:val="00322340"/>
    <w:rsid w:val="003235AD"/>
    <w:rsid w:val="00323870"/>
    <w:rsid w:val="003243C7"/>
    <w:rsid w:val="00324F96"/>
    <w:rsid w:val="003257E3"/>
    <w:rsid w:val="00325B40"/>
    <w:rsid w:val="00326221"/>
    <w:rsid w:val="0032714F"/>
    <w:rsid w:val="00327DD1"/>
    <w:rsid w:val="00330B2A"/>
    <w:rsid w:val="0033172C"/>
    <w:rsid w:val="00331860"/>
    <w:rsid w:val="003319FE"/>
    <w:rsid w:val="0033262F"/>
    <w:rsid w:val="00333F36"/>
    <w:rsid w:val="003344BF"/>
    <w:rsid w:val="00334F31"/>
    <w:rsid w:val="00340FFB"/>
    <w:rsid w:val="003423BE"/>
    <w:rsid w:val="00343ED9"/>
    <w:rsid w:val="00344AA5"/>
    <w:rsid w:val="003456FC"/>
    <w:rsid w:val="00345B57"/>
    <w:rsid w:val="00346AB6"/>
    <w:rsid w:val="00346F42"/>
    <w:rsid w:val="00350AA4"/>
    <w:rsid w:val="0035162A"/>
    <w:rsid w:val="00352496"/>
    <w:rsid w:val="003527BE"/>
    <w:rsid w:val="00352993"/>
    <w:rsid w:val="00352A53"/>
    <w:rsid w:val="003548EA"/>
    <w:rsid w:val="0035531E"/>
    <w:rsid w:val="0035751D"/>
    <w:rsid w:val="003575D7"/>
    <w:rsid w:val="00357CC3"/>
    <w:rsid w:val="00360432"/>
    <w:rsid w:val="00361625"/>
    <w:rsid w:val="0036167C"/>
    <w:rsid w:val="00362A25"/>
    <w:rsid w:val="00364028"/>
    <w:rsid w:val="00365177"/>
    <w:rsid w:val="00366498"/>
    <w:rsid w:val="0036659C"/>
    <w:rsid w:val="003675E6"/>
    <w:rsid w:val="0036763D"/>
    <w:rsid w:val="00372619"/>
    <w:rsid w:val="003727B4"/>
    <w:rsid w:val="0037280B"/>
    <w:rsid w:val="00373112"/>
    <w:rsid w:val="003733E0"/>
    <w:rsid w:val="00373E2E"/>
    <w:rsid w:val="00374D7C"/>
    <w:rsid w:val="00374F38"/>
    <w:rsid w:val="0037556C"/>
    <w:rsid w:val="003772BB"/>
    <w:rsid w:val="003776E5"/>
    <w:rsid w:val="00380D8C"/>
    <w:rsid w:val="003810DB"/>
    <w:rsid w:val="003830EA"/>
    <w:rsid w:val="00385892"/>
    <w:rsid w:val="00385AAD"/>
    <w:rsid w:val="00385C6E"/>
    <w:rsid w:val="00386166"/>
    <w:rsid w:val="00386899"/>
    <w:rsid w:val="0039119A"/>
    <w:rsid w:val="00391B11"/>
    <w:rsid w:val="00392229"/>
    <w:rsid w:val="00393EDB"/>
    <w:rsid w:val="00394386"/>
    <w:rsid w:val="00394672"/>
    <w:rsid w:val="00394EDE"/>
    <w:rsid w:val="00395E5C"/>
    <w:rsid w:val="00395F12"/>
    <w:rsid w:val="00396B25"/>
    <w:rsid w:val="00396E9E"/>
    <w:rsid w:val="003A05AD"/>
    <w:rsid w:val="003A06F6"/>
    <w:rsid w:val="003A0E1F"/>
    <w:rsid w:val="003A2C9E"/>
    <w:rsid w:val="003A3007"/>
    <w:rsid w:val="003A4EDF"/>
    <w:rsid w:val="003A577A"/>
    <w:rsid w:val="003A744B"/>
    <w:rsid w:val="003A7A8C"/>
    <w:rsid w:val="003A7D2F"/>
    <w:rsid w:val="003B09BF"/>
    <w:rsid w:val="003B0CDA"/>
    <w:rsid w:val="003B247D"/>
    <w:rsid w:val="003B30F3"/>
    <w:rsid w:val="003B3826"/>
    <w:rsid w:val="003B3EC4"/>
    <w:rsid w:val="003B3FA9"/>
    <w:rsid w:val="003B4D69"/>
    <w:rsid w:val="003B5379"/>
    <w:rsid w:val="003B6493"/>
    <w:rsid w:val="003B757A"/>
    <w:rsid w:val="003B759B"/>
    <w:rsid w:val="003C007D"/>
    <w:rsid w:val="003C2E80"/>
    <w:rsid w:val="003C4AE0"/>
    <w:rsid w:val="003C64B2"/>
    <w:rsid w:val="003C725B"/>
    <w:rsid w:val="003C78B7"/>
    <w:rsid w:val="003D0471"/>
    <w:rsid w:val="003D303B"/>
    <w:rsid w:val="003D31B6"/>
    <w:rsid w:val="003D35FC"/>
    <w:rsid w:val="003D5FF7"/>
    <w:rsid w:val="003D66EF"/>
    <w:rsid w:val="003D7A44"/>
    <w:rsid w:val="003D7D65"/>
    <w:rsid w:val="003E0939"/>
    <w:rsid w:val="003E0E66"/>
    <w:rsid w:val="003E2A08"/>
    <w:rsid w:val="003E35F2"/>
    <w:rsid w:val="003E3E05"/>
    <w:rsid w:val="003E4204"/>
    <w:rsid w:val="003E44DE"/>
    <w:rsid w:val="003E47D7"/>
    <w:rsid w:val="003E4F89"/>
    <w:rsid w:val="003E592E"/>
    <w:rsid w:val="003E5D8C"/>
    <w:rsid w:val="003E6026"/>
    <w:rsid w:val="003E61B6"/>
    <w:rsid w:val="003E79A8"/>
    <w:rsid w:val="003F121D"/>
    <w:rsid w:val="003F123B"/>
    <w:rsid w:val="003F2A67"/>
    <w:rsid w:val="003F53D4"/>
    <w:rsid w:val="003F5502"/>
    <w:rsid w:val="003F668D"/>
    <w:rsid w:val="003F6C36"/>
    <w:rsid w:val="003F74AC"/>
    <w:rsid w:val="004027EA"/>
    <w:rsid w:val="00403FFF"/>
    <w:rsid w:val="004042F8"/>
    <w:rsid w:val="00404804"/>
    <w:rsid w:val="004049C2"/>
    <w:rsid w:val="0040588E"/>
    <w:rsid w:val="00406CD8"/>
    <w:rsid w:val="00406E55"/>
    <w:rsid w:val="004079CD"/>
    <w:rsid w:val="0041305A"/>
    <w:rsid w:val="00413C37"/>
    <w:rsid w:val="0041592D"/>
    <w:rsid w:val="00417F54"/>
    <w:rsid w:val="0042178E"/>
    <w:rsid w:val="00422D9C"/>
    <w:rsid w:val="004234DF"/>
    <w:rsid w:val="00423A45"/>
    <w:rsid w:val="00423BCA"/>
    <w:rsid w:val="0042628A"/>
    <w:rsid w:val="00430A75"/>
    <w:rsid w:val="00430D9E"/>
    <w:rsid w:val="004320DC"/>
    <w:rsid w:val="004331B4"/>
    <w:rsid w:val="00433355"/>
    <w:rsid w:val="0043394D"/>
    <w:rsid w:val="004339F4"/>
    <w:rsid w:val="00433EE8"/>
    <w:rsid w:val="00435F73"/>
    <w:rsid w:val="004374F6"/>
    <w:rsid w:val="00437791"/>
    <w:rsid w:val="00437B54"/>
    <w:rsid w:val="00437BFC"/>
    <w:rsid w:val="00437F10"/>
    <w:rsid w:val="004405E8"/>
    <w:rsid w:val="00441E31"/>
    <w:rsid w:val="00441EF6"/>
    <w:rsid w:val="0044214F"/>
    <w:rsid w:val="00443D59"/>
    <w:rsid w:val="004440D7"/>
    <w:rsid w:val="004464DF"/>
    <w:rsid w:val="004471BB"/>
    <w:rsid w:val="004475DA"/>
    <w:rsid w:val="00447681"/>
    <w:rsid w:val="00447FA5"/>
    <w:rsid w:val="004508E9"/>
    <w:rsid w:val="00451B4C"/>
    <w:rsid w:val="00451E8D"/>
    <w:rsid w:val="0046030A"/>
    <w:rsid w:val="00460828"/>
    <w:rsid w:val="0046165B"/>
    <w:rsid w:val="00461CE5"/>
    <w:rsid w:val="00461DF6"/>
    <w:rsid w:val="0046250C"/>
    <w:rsid w:val="004633C9"/>
    <w:rsid w:val="00463DCA"/>
    <w:rsid w:val="00464EA6"/>
    <w:rsid w:val="00466C83"/>
    <w:rsid w:val="00467F1A"/>
    <w:rsid w:val="0047019E"/>
    <w:rsid w:val="0047289D"/>
    <w:rsid w:val="00472EBD"/>
    <w:rsid w:val="004732EA"/>
    <w:rsid w:val="004749EA"/>
    <w:rsid w:val="00474F26"/>
    <w:rsid w:val="00476A24"/>
    <w:rsid w:val="0047716A"/>
    <w:rsid w:val="004771F8"/>
    <w:rsid w:val="00477A31"/>
    <w:rsid w:val="0048123C"/>
    <w:rsid w:val="0048138E"/>
    <w:rsid w:val="004823DE"/>
    <w:rsid w:val="004824E7"/>
    <w:rsid w:val="00483638"/>
    <w:rsid w:val="004858B0"/>
    <w:rsid w:val="00485C7C"/>
    <w:rsid w:val="00485C80"/>
    <w:rsid w:val="0048656B"/>
    <w:rsid w:val="00487356"/>
    <w:rsid w:val="004878AF"/>
    <w:rsid w:val="004919AC"/>
    <w:rsid w:val="004919F7"/>
    <w:rsid w:val="00491B66"/>
    <w:rsid w:val="00492CD7"/>
    <w:rsid w:val="00492D57"/>
    <w:rsid w:val="004939BA"/>
    <w:rsid w:val="00494737"/>
    <w:rsid w:val="00494EE4"/>
    <w:rsid w:val="00495F21"/>
    <w:rsid w:val="004960BE"/>
    <w:rsid w:val="004972F6"/>
    <w:rsid w:val="004A2620"/>
    <w:rsid w:val="004A5C4F"/>
    <w:rsid w:val="004A6D4B"/>
    <w:rsid w:val="004A78FE"/>
    <w:rsid w:val="004A7988"/>
    <w:rsid w:val="004B0D94"/>
    <w:rsid w:val="004B16CC"/>
    <w:rsid w:val="004B173A"/>
    <w:rsid w:val="004B18A0"/>
    <w:rsid w:val="004B292B"/>
    <w:rsid w:val="004B3688"/>
    <w:rsid w:val="004B384F"/>
    <w:rsid w:val="004B3990"/>
    <w:rsid w:val="004B40ED"/>
    <w:rsid w:val="004B4424"/>
    <w:rsid w:val="004B5538"/>
    <w:rsid w:val="004B5952"/>
    <w:rsid w:val="004B7B63"/>
    <w:rsid w:val="004C050B"/>
    <w:rsid w:val="004C0F2C"/>
    <w:rsid w:val="004C144A"/>
    <w:rsid w:val="004C1B27"/>
    <w:rsid w:val="004C1B91"/>
    <w:rsid w:val="004C2439"/>
    <w:rsid w:val="004C36EA"/>
    <w:rsid w:val="004C3861"/>
    <w:rsid w:val="004C7056"/>
    <w:rsid w:val="004C7909"/>
    <w:rsid w:val="004D0738"/>
    <w:rsid w:val="004D2EAE"/>
    <w:rsid w:val="004D324F"/>
    <w:rsid w:val="004D385A"/>
    <w:rsid w:val="004D440F"/>
    <w:rsid w:val="004D470A"/>
    <w:rsid w:val="004D4A70"/>
    <w:rsid w:val="004D6133"/>
    <w:rsid w:val="004D668E"/>
    <w:rsid w:val="004D733B"/>
    <w:rsid w:val="004E008F"/>
    <w:rsid w:val="004E18CA"/>
    <w:rsid w:val="004E1BF5"/>
    <w:rsid w:val="004E2681"/>
    <w:rsid w:val="004E2D3E"/>
    <w:rsid w:val="004E35E3"/>
    <w:rsid w:val="004E3697"/>
    <w:rsid w:val="004E4112"/>
    <w:rsid w:val="004E4806"/>
    <w:rsid w:val="004E6653"/>
    <w:rsid w:val="004E6DC7"/>
    <w:rsid w:val="004E707A"/>
    <w:rsid w:val="004E7104"/>
    <w:rsid w:val="004F0821"/>
    <w:rsid w:val="004F0D07"/>
    <w:rsid w:val="004F0ED0"/>
    <w:rsid w:val="004F102D"/>
    <w:rsid w:val="004F3850"/>
    <w:rsid w:val="004F3CBE"/>
    <w:rsid w:val="004F3E32"/>
    <w:rsid w:val="004F431F"/>
    <w:rsid w:val="004F4F06"/>
    <w:rsid w:val="004F5053"/>
    <w:rsid w:val="004F5EA2"/>
    <w:rsid w:val="004F60C4"/>
    <w:rsid w:val="004F65F8"/>
    <w:rsid w:val="005008D9"/>
    <w:rsid w:val="00500EA3"/>
    <w:rsid w:val="0050127D"/>
    <w:rsid w:val="00504452"/>
    <w:rsid w:val="0050734B"/>
    <w:rsid w:val="005101B7"/>
    <w:rsid w:val="005106B4"/>
    <w:rsid w:val="00511913"/>
    <w:rsid w:val="00511952"/>
    <w:rsid w:val="00512219"/>
    <w:rsid w:val="0051248E"/>
    <w:rsid w:val="00513E20"/>
    <w:rsid w:val="0051469D"/>
    <w:rsid w:val="0051556E"/>
    <w:rsid w:val="00515BF8"/>
    <w:rsid w:val="005162C7"/>
    <w:rsid w:val="00517155"/>
    <w:rsid w:val="005205BA"/>
    <w:rsid w:val="005217FD"/>
    <w:rsid w:val="00521C47"/>
    <w:rsid w:val="005228F2"/>
    <w:rsid w:val="005236AB"/>
    <w:rsid w:val="005246CC"/>
    <w:rsid w:val="00525697"/>
    <w:rsid w:val="005258F4"/>
    <w:rsid w:val="00525B13"/>
    <w:rsid w:val="0052649C"/>
    <w:rsid w:val="00527144"/>
    <w:rsid w:val="00527D3D"/>
    <w:rsid w:val="00531759"/>
    <w:rsid w:val="00532751"/>
    <w:rsid w:val="00533C74"/>
    <w:rsid w:val="00534931"/>
    <w:rsid w:val="00535B30"/>
    <w:rsid w:val="0053656E"/>
    <w:rsid w:val="005400D9"/>
    <w:rsid w:val="0054045D"/>
    <w:rsid w:val="005409CF"/>
    <w:rsid w:val="005441B3"/>
    <w:rsid w:val="00545200"/>
    <w:rsid w:val="0054626B"/>
    <w:rsid w:val="005462F2"/>
    <w:rsid w:val="00546AF2"/>
    <w:rsid w:val="00547271"/>
    <w:rsid w:val="0055069E"/>
    <w:rsid w:val="0055073D"/>
    <w:rsid w:val="0055162B"/>
    <w:rsid w:val="00552513"/>
    <w:rsid w:val="0055339B"/>
    <w:rsid w:val="005534E4"/>
    <w:rsid w:val="00554CC6"/>
    <w:rsid w:val="00556A56"/>
    <w:rsid w:val="005577FD"/>
    <w:rsid w:val="005613DB"/>
    <w:rsid w:val="005636FE"/>
    <w:rsid w:val="0056385B"/>
    <w:rsid w:val="00564F7A"/>
    <w:rsid w:val="00565A1C"/>
    <w:rsid w:val="005664A5"/>
    <w:rsid w:val="00566F84"/>
    <w:rsid w:val="00567174"/>
    <w:rsid w:val="00567616"/>
    <w:rsid w:val="00567A66"/>
    <w:rsid w:val="005708EA"/>
    <w:rsid w:val="00570E74"/>
    <w:rsid w:val="00571502"/>
    <w:rsid w:val="00571885"/>
    <w:rsid w:val="00571F7C"/>
    <w:rsid w:val="00573CAD"/>
    <w:rsid w:val="005742C2"/>
    <w:rsid w:val="005745F0"/>
    <w:rsid w:val="00574C8D"/>
    <w:rsid w:val="0057644A"/>
    <w:rsid w:val="00576AD0"/>
    <w:rsid w:val="005771EF"/>
    <w:rsid w:val="00577A7A"/>
    <w:rsid w:val="00577BFB"/>
    <w:rsid w:val="00577D21"/>
    <w:rsid w:val="005802AD"/>
    <w:rsid w:val="005804AC"/>
    <w:rsid w:val="005812AA"/>
    <w:rsid w:val="005813B0"/>
    <w:rsid w:val="0058164B"/>
    <w:rsid w:val="00582755"/>
    <w:rsid w:val="00582BD2"/>
    <w:rsid w:val="0058301F"/>
    <w:rsid w:val="0058350A"/>
    <w:rsid w:val="00583A1F"/>
    <w:rsid w:val="00583ADD"/>
    <w:rsid w:val="00586AD1"/>
    <w:rsid w:val="00586F22"/>
    <w:rsid w:val="005871A8"/>
    <w:rsid w:val="00587453"/>
    <w:rsid w:val="00587C1D"/>
    <w:rsid w:val="005909F0"/>
    <w:rsid w:val="00590BC2"/>
    <w:rsid w:val="005912F7"/>
    <w:rsid w:val="005915E7"/>
    <w:rsid w:val="00591924"/>
    <w:rsid w:val="00591DCF"/>
    <w:rsid w:val="00592019"/>
    <w:rsid w:val="005943B6"/>
    <w:rsid w:val="00595CA6"/>
    <w:rsid w:val="005961E3"/>
    <w:rsid w:val="005A082E"/>
    <w:rsid w:val="005A103E"/>
    <w:rsid w:val="005A160B"/>
    <w:rsid w:val="005A17AD"/>
    <w:rsid w:val="005A2454"/>
    <w:rsid w:val="005A2ABF"/>
    <w:rsid w:val="005A4A5E"/>
    <w:rsid w:val="005A584B"/>
    <w:rsid w:val="005B1B80"/>
    <w:rsid w:val="005B2B9B"/>
    <w:rsid w:val="005B4119"/>
    <w:rsid w:val="005B4427"/>
    <w:rsid w:val="005B4EC0"/>
    <w:rsid w:val="005B5182"/>
    <w:rsid w:val="005B6967"/>
    <w:rsid w:val="005C1B1D"/>
    <w:rsid w:val="005C21D3"/>
    <w:rsid w:val="005C2385"/>
    <w:rsid w:val="005C2F01"/>
    <w:rsid w:val="005C2F75"/>
    <w:rsid w:val="005C30B7"/>
    <w:rsid w:val="005C3628"/>
    <w:rsid w:val="005C3AE6"/>
    <w:rsid w:val="005C3DE0"/>
    <w:rsid w:val="005C4C3B"/>
    <w:rsid w:val="005C4CED"/>
    <w:rsid w:val="005C4D23"/>
    <w:rsid w:val="005C5C13"/>
    <w:rsid w:val="005C5C58"/>
    <w:rsid w:val="005C5F9B"/>
    <w:rsid w:val="005C6EE5"/>
    <w:rsid w:val="005D0883"/>
    <w:rsid w:val="005D11F7"/>
    <w:rsid w:val="005D315A"/>
    <w:rsid w:val="005D48A2"/>
    <w:rsid w:val="005D497E"/>
    <w:rsid w:val="005D5E81"/>
    <w:rsid w:val="005D6A52"/>
    <w:rsid w:val="005D6B12"/>
    <w:rsid w:val="005D7328"/>
    <w:rsid w:val="005D784D"/>
    <w:rsid w:val="005E1A00"/>
    <w:rsid w:val="005E1E7A"/>
    <w:rsid w:val="005E326A"/>
    <w:rsid w:val="005E3EBD"/>
    <w:rsid w:val="005E6639"/>
    <w:rsid w:val="005E6C91"/>
    <w:rsid w:val="005E6FCA"/>
    <w:rsid w:val="005E75FB"/>
    <w:rsid w:val="005E7DB8"/>
    <w:rsid w:val="005F0603"/>
    <w:rsid w:val="005F0E65"/>
    <w:rsid w:val="005F27B2"/>
    <w:rsid w:val="005F29F1"/>
    <w:rsid w:val="005F3895"/>
    <w:rsid w:val="005F50D5"/>
    <w:rsid w:val="005F5E1D"/>
    <w:rsid w:val="005F5FBB"/>
    <w:rsid w:val="005F5FE6"/>
    <w:rsid w:val="005F7145"/>
    <w:rsid w:val="0060178E"/>
    <w:rsid w:val="00601FD7"/>
    <w:rsid w:val="006029FC"/>
    <w:rsid w:val="00602EAD"/>
    <w:rsid w:val="0060431D"/>
    <w:rsid w:val="00604455"/>
    <w:rsid w:val="00606DC4"/>
    <w:rsid w:val="006070ED"/>
    <w:rsid w:val="00607C78"/>
    <w:rsid w:val="00611B46"/>
    <w:rsid w:val="00612629"/>
    <w:rsid w:val="0061279A"/>
    <w:rsid w:val="006132C1"/>
    <w:rsid w:val="006138F7"/>
    <w:rsid w:val="00614B1F"/>
    <w:rsid w:val="0061500D"/>
    <w:rsid w:val="00615834"/>
    <w:rsid w:val="00615B61"/>
    <w:rsid w:val="00616BF7"/>
    <w:rsid w:val="00616DC3"/>
    <w:rsid w:val="00616DE9"/>
    <w:rsid w:val="0061717B"/>
    <w:rsid w:val="006171D3"/>
    <w:rsid w:val="00617C2B"/>
    <w:rsid w:val="006204BF"/>
    <w:rsid w:val="00620DC3"/>
    <w:rsid w:val="006215F4"/>
    <w:rsid w:val="00622258"/>
    <w:rsid w:val="00624D77"/>
    <w:rsid w:val="00624F9F"/>
    <w:rsid w:val="00625BB9"/>
    <w:rsid w:val="0063107E"/>
    <w:rsid w:val="006316BC"/>
    <w:rsid w:val="006318AC"/>
    <w:rsid w:val="006325BA"/>
    <w:rsid w:val="00632CCE"/>
    <w:rsid w:val="00633910"/>
    <w:rsid w:val="00635582"/>
    <w:rsid w:val="00635690"/>
    <w:rsid w:val="00635691"/>
    <w:rsid w:val="00635718"/>
    <w:rsid w:val="00635D69"/>
    <w:rsid w:val="00635DA9"/>
    <w:rsid w:val="006368BA"/>
    <w:rsid w:val="006378B6"/>
    <w:rsid w:val="006402D8"/>
    <w:rsid w:val="00640C96"/>
    <w:rsid w:val="0064279D"/>
    <w:rsid w:val="00644A56"/>
    <w:rsid w:val="00644DBD"/>
    <w:rsid w:val="0064519E"/>
    <w:rsid w:val="0064546A"/>
    <w:rsid w:val="006471FD"/>
    <w:rsid w:val="00647F89"/>
    <w:rsid w:val="0065187A"/>
    <w:rsid w:val="00651D04"/>
    <w:rsid w:val="00651FDE"/>
    <w:rsid w:val="006566A5"/>
    <w:rsid w:val="00657333"/>
    <w:rsid w:val="006579B5"/>
    <w:rsid w:val="006579F0"/>
    <w:rsid w:val="00657C3C"/>
    <w:rsid w:val="00657DED"/>
    <w:rsid w:val="00657EBB"/>
    <w:rsid w:val="00662087"/>
    <w:rsid w:val="00662139"/>
    <w:rsid w:val="0066233B"/>
    <w:rsid w:val="006624B1"/>
    <w:rsid w:val="00663AFF"/>
    <w:rsid w:val="00664005"/>
    <w:rsid w:val="00664F83"/>
    <w:rsid w:val="006658F3"/>
    <w:rsid w:val="00666148"/>
    <w:rsid w:val="00666F50"/>
    <w:rsid w:val="0066743A"/>
    <w:rsid w:val="00667D5A"/>
    <w:rsid w:val="00667E61"/>
    <w:rsid w:val="006706A7"/>
    <w:rsid w:val="00670A1C"/>
    <w:rsid w:val="00670DAD"/>
    <w:rsid w:val="00671557"/>
    <w:rsid w:val="00673175"/>
    <w:rsid w:val="0067500D"/>
    <w:rsid w:val="00676AE4"/>
    <w:rsid w:val="00680E16"/>
    <w:rsid w:val="00680F4A"/>
    <w:rsid w:val="00683728"/>
    <w:rsid w:val="006837A3"/>
    <w:rsid w:val="00685859"/>
    <w:rsid w:val="00685A7D"/>
    <w:rsid w:val="00687535"/>
    <w:rsid w:val="006877B3"/>
    <w:rsid w:val="00687F86"/>
    <w:rsid w:val="006919AD"/>
    <w:rsid w:val="00691B92"/>
    <w:rsid w:val="00691F20"/>
    <w:rsid w:val="006929E0"/>
    <w:rsid w:val="006951C4"/>
    <w:rsid w:val="0069566E"/>
    <w:rsid w:val="006961CC"/>
    <w:rsid w:val="00696237"/>
    <w:rsid w:val="0069634B"/>
    <w:rsid w:val="006973C3"/>
    <w:rsid w:val="00697C9A"/>
    <w:rsid w:val="006A0E68"/>
    <w:rsid w:val="006A174A"/>
    <w:rsid w:val="006A1DB3"/>
    <w:rsid w:val="006A4637"/>
    <w:rsid w:val="006A46E7"/>
    <w:rsid w:val="006A4AAB"/>
    <w:rsid w:val="006A5D4C"/>
    <w:rsid w:val="006A69C8"/>
    <w:rsid w:val="006A7F33"/>
    <w:rsid w:val="006B0176"/>
    <w:rsid w:val="006B0B77"/>
    <w:rsid w:val="006B14CC"/>
    <w:rsid w:val="006B1598"/>
    <w:rsid w:val="006B16BB"/>
    <w:rsid w:val="006B21C9"/>
    <w:rsid w:val="006B244F"/>
    <w:rsid w:val="006B3F07"/>
    <w:rsid w:val="006B41FB"/>
    <w:rsid w:val="006B4656"/>
    <w:rsid w:val="006B5145"/>
    <w:rsid w:val="006B649D"/>
    <w:rsid w:val="006B6B23"/>
    <w:rsid w:val="006B7E45"/>
    <w:rsid w:val="006C038B"/>
    <w:rsid w:val="006C1486"/>
    <w:rsid w:val="006C32AB"/>
    <w:rsid w:val="006C34BE"/>
    <w:rsid w:val="006C4279"/>
    <w:rsid w:val="006C43A6"/>
    <w:rsid w:val="006C68F2"/>
    <w:rsid w:val="006D0896"/>
    <w:rsid w:val="006D27FE"/>
    <w:rsid w:val="006D3374"/>
    <w:rsid w:val="006D3F6A"/>
    <w:rsid w:val="006D5DAF"/>
    <w:rsid w:val="006D7A76"/>
    <w:rsid w:val="006E08D1"/>
    <w:rsid w:val="006E112F"/>
    <w:rsid w:val="006E2890"/>
    <w:rsid w:val="006E3562"/>
    <w:rsid w:val="006E3FE3"/>
    <w:rsid w:val="006E5878"/>
    <w:rsid w:val="006E6C1A"/>
    <w:rsid w:val="006E7D7F"/>
    <w:rsid w:val="006F05FF"/>
    <w:rsid w:val="006F06C7"/>
    <w:rsid w:val="006F0AA0"/>
    <w:rsid w:val="006F100D"/>
    <w:rsid w:val="006F14E8"/>
    <w:rsid w:val="006F20D4"/>
    <w:rsid w:val="006F30B9"/>
    <w:rsid w:val="006F3850"/>
    <w:rsid w:val="006F3F41"/>
    <w:rsid w:val="006F41BD"/>
    <w:rsid w:val="006F554C"/>
    <w:rsid w:val="006F5695"/>
    <w:rsid w:val="006F60DD"/>
    <w:rsid w:val="006F61B2"/>
    <w:rsid w:val="006F6EC0"/>
    <w:rsid w:val="006F765E"/>
    <w:rsid w:val="006F7682"/>
    <w:rsid w:val="00701A67"/>
    <w:rsid w:val="00701C61"/>
    <w:rsid w:val="00702742"/>
    <w:rsid w:val="00704DD9"/>
    <w:rsid w:val="00704EFA"/>
    <w:rsid w:val="007057C7"/>
    <w:rsid w:val="0070633F"/>
    <w:rsid w:val="00706E01"/>
    <w:rsid w:val="00710DBC"/>
    <w:rsid w:val="0071119A"/>
    <w:rsid w:val="0071125E"/>
    <w:rsid w:val="00711CC0"/>
    <w:rsid w:val="00711EE7"/>
    <w:rsid w:val="00712C4B"/>
    <w:rsid w:val="007164CD"/>
    <w:rsid w:val="0071792C"/>
    <w:rsid w:val="00717DD5"/>
    <w:rsid w:val="007203F5"/>
    <w:rsid w:val="00720892"/>
    <w:rsid w:val="00720E35"/>
    <w:rsid w:val="00723E56"/>
    <w:rsid w:val="00724983"/>
    <w:rsid w:val="007254A3"/>
    <w:rsid w:val="00725CC6"/>
    <w:rsid w:val="007263AB"/>
    <w:rsid w:val="0073016F"/>
    <w:rsid w:val="007303F2"/>
    <w:rsid w:val="00730BF8"/>
    <w:rsid w:val="00733E1C"/>
    <w:rsid w:val="00733FAB"/>
    <w:rsid w:val="00734D2A"/>
    <w:rsid w:val="00735D40"/>
    <w:rsid w:val="007360EB"/>
    <w:rsid w:val="00736587"/>
    <w:rsid w:val="007365D8"/>
    <w:rsid w:val="00736B79"/>
    <w:rsid w:val="00737599"/>
    <w:rsid w:val="00737EAC"/>
    <w:rsid w:val="00742137"/>
    <w:rsid w:val="00743895"/>
    <w:rsid w:val="00744981"/>
    <w:rsid w:val="007457CC"/>
    <w:rsid w:val="007466EC"/>
    <w:rsid w:val="0075056B"/>
    <w:rsid w:val="0075119F"/>
    <w:rsid w:val="0075135E"/>
    <w:rsid w:val="007537D0"/>
    <w:rsid w:val="00753F1E"/>
    <w:rsid w:val="007556C3"/>
    <w:rsid w:val="007571BF"/>
    <w:rsid w:val="007604E4"/>
    <w:rsid w:val="007605CB"/>
    <w:rsid w:val="00762E74"/>
    <w:rsid w:val="007638CE"/>
    <w:rsid w:val="00764EE0"/>
    <w:rsid w:val="00767C49"/>
    <w:rsid w:val="00767DE7"/>
    <w:rsid w:val="00770094"/>
    <w:rsid w:val="0077096D"/>
    <w:rsid w:val="007711FC"/>
    <w:rsid w:val="00771438"/>
    <w:rsid w:val="0077167D"/>
    <w:rsid w:val="00771F77"/>
    <w:rsid w:val="00773DEA"/>
    <w:rsid w:val="00774B38"/>
    <w:rsid w:val="00775C27"/>
    <w:rsid w:val="00776242"/>
    <w:rsid w:val="00776A6D"/>
    <w:rsid w:val="00777289"/>
    <w:rsid w:val="00777742"/>
    <w:rsid w:val="00777E7A"/>
    <w:rsid w:val="00780C7B"/>
    <w:rsid w:val="00780D85"/>
    <w:rsid w:val="00780E72"/>
    <w:rsid w:val="00781CBA"/>
    <w:rsid w:val="00781E69"/>
    <w:rsid w:val="0078209D"/>
    <w:rsid w:val="0078274C"/>
    <w:rsid w:val="007830C2"/>
    <w:rsid w:val="007849B9"/>
    <w:rsid w:val="0078732F"/>
    <w:rsid w:val="00787810"/>
    <w:rsid w:val="00790E7F"/>
    <w:rsid w:val="0079112A"/>
    <w:rsid w:val="00793437"/>
    <w:rsid w:val="00793548"/>
    <w:rsid w:val="00794ED2"/>
    <w:rsid w:val="00795D86"/>
    <w:rsid w:val="00795EB5"/>
    <w:rsid w:val="00797575"/>
    <w:rsid w:val="007A0963"/>
    <w:rsid w:val="007A2A81"/>
    <w:rsid w:val="007A5BCF"/>
    <w:rsid w:val="007A60BE"/>
    <w:rsid w:val="007A6291"/>
    <w:rsid w:val="007A7B26"/>
    <w:rsid w:val="007B0DD3"/>
    <w:rsid w:val="007B14EC"/>
    <w:rsid w:val="007B27C0"/>
    <w:rsid w:val="007B54A4"/>
    <w:rsid w:val="007B5988"/>
    <w:rsid w:val="007B6A3D"/>
    <w:rsid w:val="007B6A85"/>
    <w:rsid w:val="007B747A"/>
    <w:rsid w:val="007C194D"/>
    <w:rsid w:val="007C29AB"/>
    <w:rsid w:val="007C32DD"/>
    <w:rsid w:val="007C3CF3"/>
    <w:rsid w:val="007C6B1B"/>
    <w:rsid w:val="007C7F04"/>
    <w:rsid w:val="007D0976"/>
    <w:rsid w:val="007D0994"/>
    <w:rsid w:val="007D0D8D"/>
    <w:rsid w:val="007D2F9D"/>
    <w:rsid w:val="007D537B"/>
    <w:rsid w:val="007D5711"/>
    <w:rsid w:val="007D72E3"/>
    <w:rsid w:val="007E0212"/>
    <w:rsid w:val="007E0CC7"/>
    <w:rsid w:val="007E13AC"/>
    <w:rsid w:val="007E1AEF"/>
    <w:rsid w:val="007E1BA1"/>
    <w:rsid w:val="007E1F76"/>
    <w:rsid w:val="007E23D5"/>
    <w:rsid w:val="007E289D"/>
    <w:rsid w:val="007E29E8"/>
    <w:rsid w:val="007E37A5"/>
    <w:rsid w:val="007E3FCD"/>
    <w:rsid w:val="007E4C3C"/>
    <w:rsid w:val="007E4D25"/>
    <w:rsid w:val="007E4F38"/>
    <w:rsid w:val="007E51F5"/>
    <w:rsid w:val="007E576C"/>
    <w:rsid w:val="007E685A"/>
    <w:rsid w:val="007E7967"/>
    <w:rsid w:val="007E7F12"/>
    <w:rsid w:val="007F08AF"/>
    <w:rsid w:val="007F0FA1"/>
    <w:rsid w:val="007F14FA"/>
    <w:rsid w:val="007F2EE9"/>
    <w:rsid w:val="007F45C6"/>
    <w:rsid w:val="007F480E"/>
    <w:rsid w:val="007F572A"/>
    <w:rsid w:val="007F619A"/>
    <w:rsid w:val="007F66A0"/>
    <w:rsid w:val="007F74BD"/>
    <w:rsid w:val="008000E7"/>
    <w:rsid w:val="008007A6"/>
    <w:rsid w:val="00802FE3"/>
    <w:rsid w:val="00805031"/>
    <w:rsid w:val="008050DE"/>
    <w:rsid w:val="008052EF"/>
    <w:rsid w:val="00805385"/>
    <w:rsid w:val="00805A26"/>
    <w:rsid w:val="00807512"/>
    <w:rsid w:val="0080792E"/>
    <w:rsid w:val="00807DE0"/>
    <w:rsid w:val="0081036B"/>
    <w:rsid w:val="00812984"/>
    <w:rsid w:val="00815BA3"/>
    <w:rsid w:val="00815FCF"/>
    <w:rsid w:val="00816453"/>
    <w:rsid w:val="00816BFC"/>
    <w:rsid w:val="00821817"/>
    <w:rsid w:val="00823E89"/>
    <w:rsid w:val="00823F36"/>
    <w:rsid w:val="00825CE1"/>
    <w:rsid w:val="008266FC"/>
    <w:rsid w:val="00827262"/>
    <w:rsid w:val="00830728"/>
    <w:rsid w:val="0083133A"/>
    <w:rsid w:val="008315B8"/>
    <w:rsid w:val="00832A1A"/>
    <w:rsid w:val="00833DAC"/>
    <w:rsid w:val="008342E7"/>
    <w:rsid w:val="008356B5"/>
    <w:rsid w:val="00836340"/>
    <w:rsid w:val="0083698B"/>
    <w:rsid w:val="008408C8"/>
    <w:rsid w:val="00840EBE"/>
    <w:rsid w:val="0084377E"/>
    <w:rsid w:val="008443BE"/>
    <w:rsid w:val="00847BDB"/>
    <w:rsid w:val="00847E87"/>
    <w:rsid w:val="00850758"/>
    <w:rsid w:val="00851D52"/>
    <w:rsid w:val="008521EB"/>
    <w:rsid w:val="00852439"/>
    <w:rsid w:val="0085291C"/>
    <w:rsid w:val="00852D55"/>
    <w:rsid w:val="00852F4D"/>
    <w:rsid w:val="00853123"/>
    <w:rsid w:val="00853191"/>
    <w:rsid w:val="00853B85"/>
    <w:rsid w:val="008544B0"/>
    <w:rsid w:val="008546AE"/>
    <w:rsid w:val="00856013"/>
    <w:rsid w:val="00856F4B"/>
    <w:rsid w:val="00860773"/>
    <w:rsid w:val="00861804"/>
    <w:rsid w:val="00862EEB"/>
    <w:rsid w:val="008639DF"/>
    <w:rsid w:val="008650BF"/>
    <w:rsid w:val="00865F61"/>
    <w:rsid w:val="00866487"/>
    <w:rsid w:val="0086713F"/>
    <w:rsid w:val="008672BC"/>
    <w:rsid w:val="00867AE7"/>
    <w:rsid w:val="00867C7D"/>
    <w:rsid w:val="00871198"/>
    <w:rsid w:val="008714F9"/>
    <w:rsid w:val="00872FB0"/>
    <w:rsid w:val="0087462E"/>
    <w:rsid w:val="00875EFC"/>
    <w:rsid w:val="008760A6"/>
    <w:rsid w:val="00877744"/>
    <w:rsid w:val="008777EA"/>
    <w:rsid w:val="008779E4"/>
    <w:rsid w:val="0088016E"/>
    <w:rsid w:val="0088020A"/>
    <w:rsid w:val="008813F8"/>
    <w:rsid w:val="0088194E"/>
    <w:rsid w:val="00881C43"/>
    <w:rsid w:val="00882FC1"/>
    <w:rsid w:val="00883F68"/>
    <w:rsid w:val="00884513"/>
    <w:rsid w:val="00884550"/>
    <w:rsid w:val="008846AC"/>
    <w:rsid w:val="00885B67"/>
    <w:rsid w:val="00886803"/>
    <w:rsid w:val="0088729F"/>
    <w:rsid w:val="00887ABB"/>
    <w:rsid w:val="00890B11"/>
    <w:rsid w:val="0089104E"/>
    <w:rsid w:val="008918AC"/>
    <w:rsid w:val="008927CB"/>
    <w:rsid w:val="008933B3"/>
    <w:rsid w:val="0089367D"/>
    <w:rsid w:val="008961D8"/>
    <w:rsid w:val="00896A08"/>
    <w:rsid w:val="00896E85"/>
    <w:rsid w:val="0089761C"/>
    <w:rsid w:val="00897F22"/>
    <w:rsid w:val="008A039E"/>
    <w:rsid w:val="008A0C67"/>
    <w:rsid w:val="008A1501"/>
    <w:rsid w:val="008A1527"/>
    <w:rsid w:val="008A1D95"/>
    <w:rsid w:val="008A2A10"/>
    <w:rsid w:val="008A4417"/>
    <w:rsid w:val="008A460A"/>
    <w:rsid w:val="008A4ADF"/>
    <w:rsid w:val="008A5FE2"/>
    <w:rsid w:val="008A774A"/>
    <w:rsid w:val="008B11AE"/>
    <w:rsid w:val="008B151D"/>
    <w:rsid w:val="008B26BC"/>
    <w:rsid w:val="008B2E94"/>
    <w:rsid w:val="008B4F51"/>
    <w:rsid w:val="008B5615"/>
    <w:rsid w:val="008B59A1"/>
    <w:rsid w:val="008B5E9D"/>
    <w:rsid w:val="008B73B7"/>
    <w:rsid w:val="008C031B"/>
    <w:rsid w:val="008C102D"/>
    <w:rsid w:val="008C1D0D"/>
    <w:rsid w:val="008C1E10"/>
    <w:rsid w:val="008C272D"/>
    <w:rsid w:val="008C2A36"/>
    <w:rsid w:val="008C6D22"/>
    <w:rsid w:val="008C7BA9"/>
    <w:rsid w:val="008D041F"/>
    <w:rsid w:val="008D0D46"/>
    <w:rsid w:val="008D1B1B"/>
    <w:rsid w:val="008D211A"/>
    <w:rsid w:val="008D439C"/>
    <w:rsid w:val="008D461B"/>
    <w:rsid w:val="008D4C0A"/>
    <w:rsid w:val="008D6751"/>
    <w:rsid w:val="008E0E6B"/>
    <w:rsid w:val="008E1680"/>
    <w:rsid w:val="008E24C1"/>
    <w:rsid w:val="008E470B"/>
    <w:rsid w:val="008E4EF5"/>
    <w:rsid w:val="008E58CA"/>
    <w:rsid w:val="008E64D4"/>
    <w:rsid w:val="008E6557"/>
    <w:rsid w:val="008E6695"/>
    <w:rsid w:val="008E7A05"/>
    <w:rsid w:val="008F17BB"/>
    <w:rsid w:val="008F1DA3"/>
    <w:rsid w:val="008F2303"/>
    <w:rsid w:val="008F243C"/>
    <w:rsid w:val="008F33AA"/>
    <w:rsid w:val="008F4308"/>
    <w:rsid w:val="008F43EF"/>
    <w:rsid w:val="008F5A20"/>
    <w:rsid w:val="008F6E76"/>
    <w:rsid w:val="008F6EB2"/>
    <w:rsid w:val="008F6F68"/>
    <w:rsid w:val="008F7EEB"/>
    <w:rsid w:val="0090060C"/>
    <w:rsid w:val="009014F5"/>
    <w:rsid w:val="00901863"/>
    <w:rsid w:val="009024A3"/>
    <w:rsid w:val="00902D33"/>
    <w:rsid w:val="00904953"/>
    <w:rsid w:val="00905C11"/>
    <w:rsid w:val="00905E50"/>
    <w:rsid w:val="00906556"/>
    <w:rsid w:val="00906A9D"/>
    <w:rsid w:val="00907CB8"/>
    <w:rsid w:val="0091382B"/>
    <w:rsid w:val="00914253"/>
    <w:rsid w:val="009147A1"/>
    <w:rsid w:val="00914AA7"/>
    <w:rsid w:val="00914E22"/>
    <w:rsid w:val="0091563C"/>
    <w:rsid w:val="00915EEB"/>
    <w:rsid w:val="00915F11"/>
    <w:rsid w:val="0091608E"/>
    <w:rsid w:val="0091613D"/>
    <w:rsid w:val="009162D8"/>
    <w:rsid w:val="00916922"/>
    <w:rsid w:val="00920A9A"/>
    <w:rsid w:val="00920FDB"/>
    <w:rsid w:val="00922144"/>
    <w:rsid w:val="00922B55"/>
    <w:rsid w:val="00923346"/>
    <w:rsid w:val="0092395D"/>
    <w:rsid w:val="00923A4A"/>
    <w:rsid w:val="00923FA2"/>
    <w:rsid w:val="009246E9"/>
    <w:rsid w:val="00925729"/>
    <w:rsid w:val="00925AFB"/>
    <w:rsid w:val="00925FAE"/>
    <w:rsid w:val="00926845"/>
    <w:rsid w:val="00926F31"/>
    <w:rsid w:val="00930B10"/>
    <w:rsid w:val="0093131A"/>
    <w:rsid w:val="00932CB4"/>
    <w:rsid w:val="009333F4"/>
    <w:rsid w:val="00934323"/>
    <w:rsid w:val="00936386"/>
    <w:rsid w:val="0094190E"/>
    <w:rsid w:val="00942CF7"/>
    <w:rsid w:val="00943361"/>
    <w:rsid w:val="00943604"/>
    <w:rsid w:val="00944394"/>
    <w:rsid w:val="009446E5"/>
    <w:rsid w:val="00944A0D"/>
    <w:rsid w:val="00944BE7"/>
    <w:rsid w:val="009459B6"/>
    <w:rsid w:val="009461CC"/>
    <w:rsid w:val="00947079"/>
    <w:rsid w:val="00947CD3"/>
    <w:rsid w:val="00950109"/>
    <w:rsid w:val="009501DE"/>
    <w:rsid w:val="009503C2"/>
    <w:rsid w:val="00951203"/>
    <w:rsid w:val="00952DBC"/>
    <w:rsid w:val="009539C0"/>
    <w:rsid w:val="0095439D"/>
    <w:rsid w:val="009549AF"/>
    <w:rsid w:val="009549FA"/>
    <w:rsid w:val="00954ED9"/>
    <w:rsid w:val="009566B4"/>
    <w:rsid w:val="00956986"/>
    <w:rsid w:val="009575C1"/>
    <w:rsid w:val="00960188"/>
    <w:rsid w:val="00960345"/>
    <w:rsid w:val="009607B2"/>
    <w:rsid w:val="0096103F"/>
    <w:rsid w:val="009634B1"/>
    <w:rsid w:val="00963592"/>
    <w:rsid w:val="00965B04"/>
    <w:rsid w:val="00966F15"/>
    <w:rsid w:val="00970269"/>
    <w:rsid w:val="00971EB1"/>
    <w:rsid w:val="0097243F"/>
    <w:rsid w:val="009724BF"/>
    <w:rsid w:val="00972C8A"/>
    <w:rsid w:val="00973C22"/>
    <w:rsid w:val="00975DE4"/>
    <w:rsid w:val="00977924"/>
    <w:rsid w:val="0098132B"/>
    <w:rsid w:val="0098144C"/>
    <w:rsid w:val="009816F8"/>
    <w:rsid w:val="00981848"/>
    <w:rsid w:val="009818E0"/>
    <w:rsid w:val="009824F6"/>
    <w:rsid w:val="0098282A"/>
    <w:rsid w:val="00983F10"/>
    <w:rsid w:val="00984F86"/>
    <w:rsid w:val="0098531C"/>
    <w:rsid w:val="00986E69"/>
    <w:rsid w:val="00987079"/>
    <w:rsid w:val="009870F8"/>
    <w:rsid w:val="00987B37"/>
    <w:rsid w:val="00991AF0"/>
    <w:rsid w:val="009934B3"/>
    <w:rsid w:val="00994558"/>
    <w:rsid w:val="009964D3"/>
    <w:rsid w:val="009A187D"/>
    <w:rsid w:val="009A29B0"/>
    <w:rsid w:val="009A2ADF"/>
    <w:rsid w:val="009A33B7"/>
    <w:rsid w:val="009A37C8"/>
    <w:rsid w:val="009A7FFB"/>
    <w:rsid w:val="009B1FF6"/>
    <w:rsid w:val="009B21CE"/>
    <w:rsid w:val="009B2DD8"/>
    <w:rsid w:val="009B372C"/>
    <w:rsid w:val="009B3A73"/>
    <w:rsid w:val="009B3D70"/>
    <w:rsid w:val="009B41C6"/>
    <w:rsid w:val="009B5172"/>
    <w:rsid w:val="009B5A81"/>
    <w:rsid w:val="009B60D3"/>
    <w:rsid w:val="009B7104"/>
    <w:rsid w:val="009B7470"/>
    <w:rsid w:val="009B7F60"/>
    <w:rsid w:val="009C0015"/>
    <w:rsid w:val="009C0A8F"/>
    <w:rsid w:val="009C10E7"/>
    <w:rsid w:val="009C11A9"/>
    <w:rsid w:val="009C1871"/>
    <w:rsid w:val="009C1B37"/>
    <w:rsid w:val="009C2866"/>
    <w:rsid w:val="009C2F8C"/>
    <w:rsid w:val="009C33C3"/>
    <w:rsid w:val="009C3D25"/>
    <w:rsid w:val="009C47D5"/>
    <w:rsid w:val="009C49E8"/>
    <w:rsid w:val="009C4B85"/>
    <w:rsid w:val="009C4ECC"/>
    <w:rsid w:val="009C539B"/>
    <w:rsid w:val="009C547F"/>
    <w:rsid w:val="009C5823"/>
    <w:rsid w:val="009C6F60"/>
    <w:rsid w:val="009C78FA"/>
    <w:rsid w:val="009D0BFA"/>
    <w:rsid w:val="009D1232"/>
    <w:rsid w:val="009D1C59"/>
    <w:rsid w:val="009D1E10"/>
    <w:rsid w:val="009D2362"/>
    <w:rsid w:val="009D25EF"/>
    <w:rsid w:val="009D32DA"/>
    <w:rsid w:val="009D391A"/>
    <w:rsid w:val="009D43D2"/>
    <w:rsid w:val="009D4731"/>
    <w:rsid w:val="009D4F88"/>
    <w:rsid w:val="009D5C30"/>
    <w:rsid w:val="009D5F36"/>
    <w:rsid w:val="009E0DFB"/>
    <w:rsid w:val="009E14F6"/>
    <w:rsid w:val="009E2BA1"/>
    <w:rsid w:val="009E2FB0"/>
    <w:rsid w:val="009E3DD6"/>
    <w:rsid w:val="009E479C"/>
    <w:rsid w:val="009E570F"/>
    <w:rsid w:val="009E5962"/>
    <w:rsid w:val="009E5DD4"/>
    <w:rsid w:val="009E6965"/>
    <w:rsid w:val="009E6BD5"/>
    <w:rsid w:val="009E73BF"/>
    <w:rsid w:val="009F0F64"/>
    <w:rsid w:val="009F11BE"/>
    <w:rsid w:val="009F1DE2"/>
    <w:rsid w:val="009F20FC"/>
    <w:rsid w:val="009F21CC"/>
    <w:rsid w:val="009F2973"/>
    <w:rsid w:val="009F368A"/>
    <w:rsid w:val="009F4166"/>
    <w:rsid w:val="009F4C9E"/>
    <w:rsid w:val="009F58AA"/>
    <w:rsid w:val="009F5CD2"/>
    <w:rsid w:val="009F5E71"/>
    <w:rsid w:val="009F6FA2"/>
    <w:rsid w:val="00A0276F"/>
    <w:rsid w:val="00A03550"/>
    <w:rsid w:val="00A03BE2"/>
    <w:rsid w:val="00A047C1"/>
    <w:rsid w:val="00A0497A"/>
    <w:rsid w:val="00A049CA"/>
    <w:rsid w:val="00A04B95"/>
    <w:rsid w:val="00A069B8"/>
    <w:rsid w:val="00A075F1"/>
    <w:rsid w:val="00A11FD8"/>
    <w:rsid w:val="00A13EA5"/>
    <w:rsid w:val="00A14011"/>
    <w:rsid w:val="00A14E27"/>
    <w:rsid w:val="00A14F53"/>
    <w:rsid w:val="00A15129"/>
    <w:rsid w:val="00A1554D"/>
    <w:rsid w:val="00A15EFC"/>
    <w:rsid w:val="00A16333"/>
    <w:rsid w:val="00A1785F"/>
    <w:rsid w:val="00A17993"/>
    <w:rsid w:val="00A17D6B"/>
    <w:rsid w:val="00A17D78"/>
    <w:rsid w:val="00A2070B"/>
    <w:rsid w:val="00A21B5A"/>
    <w:rsid w:val="00A21C48"/>
    <w:rsid w:val="00A21D4A"/>
    <w:rsid w:val="00A21FF4"/>
    <w:rsid w:val="00A22036"/>
    <w:rsid w:val="00A2218D"/>
    <w:rsid w:val="00A23842"/>
    <w:rsid w:val="00A251ED"/>
    <w:rsid w:val="00A254F3"/>
    <w:rsid w:val="00A25680"/>
    <w:rsid w:val="00A25C88"/>
    <w:rsid w:val="00A300F8"/>
    <w:rsid w:val="00A30334"/>
    <w:rsid w:val="00A30BAA"/>
    <w:rsid w:val="00A32B92"/>
    <w:rsid w:val="00A3392E"/>
    <w:rsid w:val="00A364BB"/>
    <w:rsid w:val="00A37DD9"/>
    <w:rsid w:val="00A40270"/>
    <w:rsid w:val="00A404D0"/>
    <w:rsid w:val="00A40D49"/>
    <w:rsid w:val="00A4180A"/>
    <w:rsid w:val="00A4249A"/>
    <w:rsid w:val="00A44E4E"/>
    <w:rsid w:val="00A45418"/>
    <w:rsid w:val="00A51274"/>
    <w:rsid w:val="00A51606"/>
    <w:rsid w:val="00A53C30"/>
    <w:rsid w:val="00A555D2"/>
    <w:rsid w:val="00A55FC4"/>
    <w:rsid w:val="00A567A8"/>
    <w:rsid w:val="00A570A8"/>
    <w:rsid w:val="00A6003F"/>
    <w:rsid w:val="00A61FBD"/>
    <w:rsid w:val="00A620C8"/>
    <w:rsid w:val="00A621DE"/>
    <w:rsid w:val="00A62EEA"/>
    <w:rsid w:val="00A62F9A"/>
    <w:rsid w:val="00A6378F"/>
    <w:rsid w:val="00A63BB5"/>
    <w:rsid w:val="00A63CB4"/>
    <w:rsid w:val="00A64016"/>
    <w:rsid w:val="00A646D0"/>
    <w:rsid w:val="00A6543E"/>
    <w:rsid w:val="00A65CE7"/>
    <w:rsid w:val="00A66B06"/>
    <w:rsid w:val="00A702FA"/>
    <w:rsid w:val="00A70F2D"/>
    <w:rsid w:val="00A71104"/>
    <w:rsid w:val="00A71B77"/>
    <w:rsid w:val="00A71FD3"/>
    <w:rsid w:val="00A730A8"/>
    <w:rsid w:val="00A73D60"/>
    <w:rsid w:val="00A74A46"/>
    <w:rsid w:val="00A752FA"/>
    <w:rsid w:val="00A75D18"/>
    <w:rsid w:val="00A76CC7"/>
    <w:rsid w:val="00A76F4F"/>
    <w:rsid w:val="00A7747E"/>
    <w:rsid w:val="00A778B3"/>
    <w:rsid w:val="00A77C8E"/>
    <w:rsid w:val="00A77F72"/>
    <w:rsid w:val="00A809D0"/>
    <w:rsid w:val="00A80D68"/>
    <w:rsid w:val="00A823DC"/>
    <w:rsid w:val="00A84F0D"/>
    <w:rsid w:val="00A8659B"/>
    <w:rsid w:val="00A869F2"/>
    <w:rsid w:val="00A8709F"/>
    <w:rsid w:val="00A87F74"/>
    <w:rsid w:val="00A90375"/>
    <w:rsid w:val="00A91F7C"/>
    <w:rsid w:val="00A9278C"/>
    <w:rsid w:val="00A92D67"/>
    <w:rsid w:val="00A9393F"/>
    <w:rsid w:val="00A93C17"/>
    <w:rsid w:val="00A94953"/>
    <w:rsid w:val="00A95510"/>
    <w:rsid w:val="00A957D7"/>
    <w:rsid w:val="00A95981"/>
    <w:rsid w:val="00A95A34"/>
    <w:rsid w:val="00A96863"/>
    <w:rsid w:val="00A96B5F"/>
    <w:rsid w:val="00A97655"/>
    <w:rsid w:val="00A97EDF"/>
    <w:rsid w:val="00AA20C1"/>
    <w:rsid w:val="00AA332F"/>
    <w:rsid w:val="00AA4228"/>
    <w:rsid w:val="00AA4B18"/>
    <w:rsid w:val="00AA6EE1"/>
    <w:rsid w:val="00AA789B"/>
    <w:rsid w:val="00AB0A7F"/>
    <w:rsid w:val="00AB0B22"/>
    <w:rsid w:val="00AB15D8"/>
    <w:rsid w:val="00AB37E3"/>
    <w:rsid w:val="00AB5BA7"/>
    <w:rsid w:val="00AB5CD0"/>
    <w:rsid w:val="00AB7B02"/>
    <w:rsid w:val="00AC121F"/>
    <w:rsid w:val="00AC1244"/>
    <w:rsid w:val="00AC1818"/>
    <w:rsid w:val="00AC1F11"/>
    <w:rsid w:val="00AC231D"/>
    <w:rsid w:val="00AC2E42"/>
    <w:rsid w:val="00AC3720"/>
    <w:rsid w:val="00AC3F7E"/>
    <w:rsid w:val="00AC6941"/>
    <w:rsid w:val="00AD0D84"/>
    <w:rsid w:val="00AD11B8"/>
    <w:rsid w:val="00AD2F53"/>
    <w:rsid w:val="00AD31F8"/>
    <w:rsid w:val="00AD40A5"/>
    <w:rsid w:val="00AD47E3"/>
    <w:rsid w:val="00AD4905"/>
    <w:rsid w:val="00AD509B"/>
    <w:rsid w:val="00AD5BCC"/>
    <w:rsid w:val="00AD6992"/>
    <w:rsid w:val="00AE122E"/>
    <w:rsid w:val="00AE1F34"/>
    <w:rsid w:val="00AE2A84"/>
    <w:rsid w:val="00AE32AF"/>
    <w:rsid w:val="00AE33FD"/>
    <w:rsid w:val="00AE3FDA"/>
    <w:rsid w:val="00AE4631"/>
    <w:rsid w:val="00AE49D0"/>
    <w:rsid w:val="00AE4C3E"/>
    <w:rsid w:val="00AE55A9"/>
    <w:rsid w:val="00AE5CB9"/>
    <w:rsid w:val="00AE6301"/>
    <w:rsid w:val="00AE63FD"/>
    <w:rsid w:val="00AE65A6"/>
    <w:rsid w:val="00AE6DFA"/>
    <w:rsid w:val="00AE7291"/>
    <w:rsid w:val="00AE7936"/>
    <w:rsid w:val="00AF01D3"/>
    <w:rsid w:val="00AF1103"/>
    <w:rsid w:val="00AF1D09"/>
    <w:rsid w:val="00AF2B8E"/>
    <w:rsid w:val="00AF4756"/>
    <w:rsid w:val="00AF5678"/>
    <w:rsid w:val="00AF57D3"/>
    <w:rsid w:val="00AF606D"/>
    <w:rsid w:val="00AF684F"/>
    <w:rsid w:val="00AF6AA6"/>
    <w:rsid w:val="00AF6FF8"/>
    <w:rsid w:val="00AF7392"/>
    <w:rsid w:val="00AF7A26"/>
    <w:rsid w:val="00B004E3"/>
    <w:rsid w:val="00B0192D"/>
    <w:rsid w:val="00B02805"/>
    <w:rsid w:val="00B033BC"/>
    <w:rsid w:val="00B0359D"/>
    <w:rsid w:val="00B03AF9"/>
    <w:rsid w:val="00B059E7"/>
    <w:rsid w:val="00B05B5B"/>
    <w:rsid w:val="00B05B86"/>
    <w:rsid w:val="00B05C1F"/>
    <w:rsid w:val="00B0625B"/>
    <w:rsid w:val="00B07D25"/>
    <w:rsid w:val="00B1047D"/>
    <w:rsid w:val="00B128DB"/>
    <w:rsid w:val="00B12F01"/>
    <w:rsid w:val="00B130CF"/>
    <w:rsid w:val="00B14027"/>
    <w:rsid w:val="00B14560"/>
    <w:rsid w:val="00B14A1C"/>
    <w:rsid w:val="00B15291"/>
    <w:rsid w:val="00B1591C"/>
    <w:rsid w:val="00B15AD0"/>
    <w:rsid w:val="00B15F5A"/>
    <w:rsid w:val="00B20CED"/>
    <w:rsid w:val="00B20D46"/>
    <w:rsid w:val="00B213A3"/>
    <w:rsid w:val="00B21D9B"/>
    <w:rsid w:val="00B22B0B"/>
    <w:rsid w:val="00B24735"/>
    <w:rsid w:val="00B24CAF"/>
    <w:rsid w:val="00B253B3"/>
    <w:rsid w:val="00B2633C"/>
    <w:rsid w:val="00B2642B"/>
    <w:rsid w:val="00B26FAA"/>
    <w:rsid w:val="00B30663"/>
    <w:rsid w:val="00B30EB3"/>
    <w:rsid w:val="00B31467"/>
    <w:rsid w:val="00B34227"/>
    <w:rsid w:val="00B34B35"/>
    <w:rsid w:val="00B35C96"/>
    <w:rsid w:val="00B3624B"/>
    <w:rsid w:val="00B373CA"/>
    <w:rsid w:val="00B37866"/>
    <w:rsid w:val="00B422F3"/>
    <w:rsid w:val="00B448C5"/>
    <w:rsid w:val="00B44B25"/>
    <w:rsid w:val="00B45C4C"/>
    <w:rsid w:val="00B467CA"/>
    <w:rsid w:val="00B468B7"/>
    <w:rsid w:val="00B47242"/>
    <w:rsid w:val="00B47CBD"/>
    <w:rsid w:val="00B50D39"/>
    <w:rsid w:val="00B50D6A"/>
    <w:rsid w:val="00B51516"/>
    <w:rsid w:val="00B51C04"/>
    <w:rsid w:val="00B51CF7"/>
    <w:rsid w:val="00B52EB2"/>
    <w:rsid w:val="00B53192"/>
    <w:rsid w:val="00B53C9C"/>
    <w:rsid w:val="00B549E0"/>
    <w:rsid w:val="00B54D5F"/>
    <w:rsid w:val="00B54EB5"/>
    <w:rsid w:val="00B554CF"/>
    <w:rsid w:val="00B55C86"/>
    <w:rsid w:val="00B560A0"/>
    <w:rsid w:val="00B57D78"/>
    <w:rsid w:val="00B60477"/>
    <w:rsid w:val="00B607A8"/>
    <w:rsid w:val="00B61709"/>
    <w:rsid w:val="00B621AF"/>
    <w:rsid w:val="00B63872"/>
    <w:rsid w:val="00B65710"/>
    <w:rsid w:val="00B6722F"/>
    <w:rsid w:val="00B67F3B"/>
    <w:rsid w:val="00B7016F"/>
    <w:rsid w:val="00B70781"/>
    <w:rsid w:val="00B70E3D"/>
    <w:rsid w:val="00B71741"/>
    <w:rsid w:val="00B7186B"/>
    <w:rsid w:val="00B718FD"/>
    <w:rsid w:val="00B725C2"/>
    <w:rsid w:val="00B74308"/>
    <w:rsid w:val="00B7489F"/>
    <w:rsid w:val="00B76123"/>
    <w:rsid w:val="00B763B4"/>
    <w:rsid w:val="00B773F4"/>
    <w:rsid w:val="00B81203"/>
    <w:rsid w:val="00B8128B"/>
    <w:rsid w:val="00B813CF"/>
    <w:rsid w:val="00B84642"/>
    <w:rsid w:val="00B8567F"/>
    <w:rsid w:val="00B86E68"/>
    <w:rsid w:val="00B90121"/>
    <w:rsid w:val="00B904F8"/>
    <w:rsid w:val="00B90F5A"/>
    <w:rsid w:val="00B9148B"/>
    <w:rsid w:val="00B92166"/>
    <w:rsid w:val="00B92352"/>
    <w:rsid w:val="00B92472"/>
    <w:rsid w:val="00B92DE4"/>
    <w:rsid w:val="00B930E5"/>
    <w:rsid w:val="00B931A0"/>
    <w:rsid w:val="00B9322C"/>
    <w:rsid w:val="00B94366"/>
    <w:rsid w:val="00B953B6"/>
    <w:rsid w:val="00B9653D"/>
    <w:rsid w:val="00B96618"/>
    <w:rsid w:val="00B96683"/>
    <w:rsid w:val="00B96E38"/>
    <w:rsid w:val="00B97666"/>
    <w:rsid w:val="00B97915"/>
    <w:rsid w:val="00BA0DAF"/>
    <w:rsid w:val="00BA1156"/>
    <w:rsid w:val="00BA135F"/>
    <w:rsid w:val="00BA295F"/>
    <w:rsid w:val="00BA42C6"/>
    <w:rsid w:val="00BA50B4"/>
    <w:rsid w:val="00BA592B"/>
    <w:rsid w:val="00BA73EB"/>
    <w:rsid w:val="00BB0824"/>
    <w:rsid w:val="00BB1188"/>
    <w:rsid w:val="00BB351D"/>
    <w:rsid w:val="00BB49A3"/>
    <w:rsid w:val="00BB5C45"/>
    <w:rsid w:val="00BB6E6B"/>
    <w:rsid w:val="00BB72F7"/>
    <w:rsid w:val="00BB767D"/>
    <w:rsid w:val="00BB7CAE"/>
    <w:rsid w:val="00BC0D2A"/>
    <w:rsid w:val="00BC0F5A"/>
    <w:rsid w:val="00BC1A38"/>
    <w:rsid w:val="00BC2FB6"/>
    <w:rsid w:val="00BC3D81"/>
    <w:rsid w:val="00BC56AE"/>
    <w:rsid w:val="00BC5B78"/>
    <w:rsid w:val="00BC604E"/>
    <w:rsid w:val="00BC7708"/>
    <w:rsid w:val="00BC7BA1"/>
    <w:rsid w:val="00BC7E66"/>
    <w:rsid w:val="00BD0896"/>
    <w:rsid w:val="00BD0C06"/>
    <w:rsid w:val="00BD1FC8"/>
    <w:rsid w:val="00BD21BB"/>
    <w:rsid w:val="00BD35DB"/>
    <w:rsid w:val="00BD3A0E"/>
    <w:rsid w:val="00BD49F3"/>
    <w:rsid w:val="00BD4EB3"/>
    <w:rsid w:val="00BD507C"/>
    <w:rsid w:val="00BD6535"/>
    <w:rsid w:val="00BD657A"/>
    <w:rsid w:val="00BD6824"/>
    <w:rsid w:val="00BD68F8"/>
    <w:rsid w:val="00BD6BAD"/>
    <w:rsid w:val="00BD72DA"/>
    <w:rsid w:val="00BD733B"/>
    <w:rsid w:val="00BD77E6"/>
    <w:rsid w:val="00BE10C2"/>
    <w:rsid w:val="00BE1622"/>
    <w:rsid w:val="00BE1802"/>
    <w:rsid w:val="00BE1A4E"/>
    <w:rsid w:val="00BE21C5"/>
    <w:rsid w:val="00BE2BDB"/>
    <w:rsid w:val="00BE3349"/>
    <w:rsid w:val="00BE452C"/>
    <w:rsid w:val="00BE46E9"/>
    <w:rsid w:val="00BE7F75"/>
    <w:rsid w:val="00BE7F9D"/>
    <w:rsid w:val="00BF0148"/>
    <w:rsid w:val="00BF0A34"/>
    <w:rsid w:val="00BF1822"/>
    <w:rsid w:val="00BF5ED7"/>
    <w:rsid w:val="00BF6067"/>
    <w:rsid w:val="00C01123"/>
    <w:rsid w:val="00C0255B"/>
    <w:rsid w:val="00C034BA"/>
    <w:rsid w:val="00C035BE"/>
    <w:rsid w:val="00C05392"/>
    <w:rsid w:val="00C05481"/>
    <w:rsid w:val="00C057E2"/>
    <w:rsid w:val="00C0673F"/>
    <w:rsid w:val="00C06E30"/>
    <w:rsid w:val="00C073DB"/>
    <w:rsid w:val="00C1035F"/>
    <w:rsid w:val="00C11C58"/>
    <w:rsid w:val="00C11D8C"/>
    <w:rsid w:val="00C13ADC"/>
    <w:rsid w:val="00C13BDD"/>
    <w:rsid w:val="00C1477C"/>
    <w:rsid w:val="00C15089"/>
    <w:rsid w:val="00C1508C"/>
    <w:rsid w:val="00C167B9"/>
    <w:rsid w:val="00C16B59"/>
    <w:rsid w:val="00C16ED0"/>
    <w:rsid w:val="00C17CB9"/>
    <w:rsid w:val="00C17F14"/>
    <w:rsid w:val="00C21C2E"/>
    <w:rsid w:val="00C22298"/>
    <w:rsid w:val="00C22331"/>
    <w:rsid w:val="00C225C3"/>
    <w:rsid w:val="00C22605"/>
    <w:rsid w:val="00C226D1"/>
    <w:rsid w:val="00C2279B"/>
    <w:rsid w:val="00C2307A"/>
    <w:rsid w:val="00C25328"/>
    <w:rsid w:val="00C26165"/>
    <w:rsid w:val="00C26978"/>
    <w:rsid w:val="00C26FF4"/>
    <w:rsid w:val="00C27376"/>
    <w:rsid w:val="00C30821"/>
    <w:rsid w:val="00C33DF2"/>
    <w:rsid w:val="00C34C1F"/>
    <w:rsid w:val="00C34C89"/>
    <w:rsid w:val="00C364C0"/>
    <w:rsid w:val="00C36D74"/>
    <w:rsid w:val="00C36FB2"/>
    <w:rsid w:val="00C40582"/>
    <w:rsid w:val="00C4120D"/>
    <w:rsid w:val="00C42DB4"/>
    <w:rsid w:val="00C42E39"/>
    <w:rsid w:val="00C444CA"/>
    <w:rsid w:val="00C45179"/>
    <w:rsid w:val="00C46C7A"/>
    <w:rsid w:val="00C47D9B"/>
    <w:rsid w:val="00C51101"/>
    <w:rsid w:val="00C51A1F"/>
    <w:rsid w:val="00C51D38"/>
    <w:rsid w:val="00C51E65"/>
    <w:rsid w:val="00C52F53"/>
    <w:rsid w:val="00C53237"/>
    <w:rsid w:val="00C53389"/>
    <w:rsid w:val="00C53400"/>
    <w:rsid w:val="00C53A3B"/>
    <w:rsid w:val="00C55661"/>
    <w:rsid w:val="00C557D2"/>
    <w:rsid w:val="00C55F5E"/>
    <w:rsid w:val="00C56D56"/>
    <w:rsid w:val="00C56DFB"/>
    <w:rsid w:val="00C57432"/>
    <w:rsid w:val="00C6156F"/>
    <w:rsid w:val="00C61754"/>
    <w:rsid w:val="00C6196A"/>
    <w:rsid w:val="00C61EC4"/>
    <w:rsid w:val="00C621EF"/>
    <w:rsid w:val="00C6268C"/>
    <w:rsid w:val="00C628CC"/>
    <w:rsid w:val="00C63958"/>
    <w:rsid w:val="00C64179"/>
    <w:rsid w:val="00C65224"/>
    <w:rsid w:val="00C65DE0"/>
    <w:rsid w:val="00C65E82"/>
    <w:rsid w:val="00C70161"/>
    <w:rsid w:val="00C701D5"/>
    <w:rsid w:val="00C711D4"/>
    <w:rsid w:val="00C72C1B"/>
    <w:rsid w:val="00C72FC8"/>
    <w:rsid w:val="00C73051"/>
    <w:rsid w:val="00C76630"/>
    <w:rsid w:val="00C7668C"/>
    <w:rsid w:val="00C76A7B"/>
    <w:rsid w:val="00C76AA3"/>
    <w:rsid w:val="00C76BBA"/>
    <w:rsid w:val="00C778A9"/>
    <w:rsid w:val="00C8037E"/>
    <w:rsid w:val="00C806AA"/>
    <w:rsid w:val="00C81BFB"/>
    <w:rsid w:val="00C826E3"/>
    <w:rsid w:val="00C8355E"/>
    <w:rsid w:val="00C83DF4"/>
    <w:rsid w:val="00C83E0B"/>
    <w:rsid w:val="00C84214"/>
    <w:rsid w:val="00C842CB"/>
    <w:rsid w:val="00C84D5A"/>
    <w:rsid w:val="00C8501D"/>
    <w:rsid w:val="00C854BA"/>
    <w:rsid w:val="00C855F3"/>
    <w:rsid w:val="00C9062B"/>
    <w:rsid w:val="00C90C30"/>
    <w:rsid w:val="00C92B1B"/>
    <w:rsid w:val="00C92CD8"/>
    <w:rsid w:val="00C9382E"/>
    <w:rsid w:val="00C93A21"/>
    <w:rsid w:val="00C940E9"/>
    <w:rsid w:val="00C94878"/>
    <w:rsid w:val="00C9526B"/>
    <w:rsid w:val="00C9720C"/>
    <w:rsid w:val="00CA1101"/>
    <w:rsid w:val="00CA158A"/>
    <w:rsid w:val="00CA1DD4"/>
    <w:rsid w:val="00CA1FAB"/>
    <w:rsid w:val="00CA2572"/>
    <w:rsid w:val="00CA30D2"/>
    <w:rsid w:val="00CA4CAA"/>
    <w:rsid w:val="00CA5197"/>
    <w:rsid w:val="00CA59BA"/>
    <w:rsid w:val="00CA62A8"/>
    <w:rsid w:val="00CA6C55"/>
    <w:rsid w:val="00CA7C20"/>
    <w:rsid w:val="00CB0027"/>
    <w:rsid w:val="00CB0140"/>
    <w:rsid w:val="00CB10D6"/>
    <w:rsid w:val="00CB1136"/>
    <w:rsid w:val="00CB1FE3"/>
    <w:rsid w:val="00CB4E8C"/>
    <w:rsid w:val="00CB5B12"/>
    <w:rsid w:val="00CB5DBC"/>
    <w:rsid w:val="00CB6738"/>
    <w:rsid w:val="00CB6C19"/>
    <w:rsid w:val="00CC03F1"/>
    <w:rsid w:val="00CC139D"/>
    <w:rsid w:val="00CC1950"/>
    <w:rsid w:val="00CC2D82"/>
    <w:rsid w:val="00CC34C1"/>
    <w:rsid w:val="00CC38DC"/>
    <w:rsid w:val="00CC3DE8"/>
    <w:rsid w:val="00CC4C0C"/>
    <w:rsid w:val="00CC53A3"/>
    <w:rsid w:val="00CC63B2"/>
    <w:rsid w:val="00CC640B"/>
    <w:rsid w:val="00CC68AD"/>
    <w:rsid w:val="00CC6CD6"/>
    <w:rsid w:val="00CC7509"/>
    <w:rsid w:val="00CD011B"/>
    <w:rsid w:val="00CD1731"/>
    <w:rsid w:val="00CD174C"/>
    <w:rsid w:val="00CD1E6A"/>
    <w:rsid w:val="00CD22ED"/>
    <w:rsid w:val="00CD3449"/>
    <w:rsid w:val="00CD436F"/>
    <w:rsid w:val="00CD5D69"/>
    <w:rsid w:val="00CD7B0E"/>
    <w:rsid w:val="00CE08A8"/>
    <w:rsid w:val="00CE0FA0"/>
    <w:rsid w:val="00CE1567"/>
    <w:rsid w:val="00CE1C0A"/>
    <w:rsid w:val="00CE2A4A"/>
    <w:rsid w:val="00CE2FBD"/>
    <w:rsid w:val="00CE3845"/>
    <w:rsid w:val="00CE384B"/>
    <w:rsid w:val="00CE4E51"/>
    <w:rsid w:val="00CE63F5"/>
    <w:rsid w:val="00CE654E"/>
    <w:rsid w:val="00CE6EB6"/>
    <w:rsid w:val="00CE6F4C"/>
    <w:rsid w:val="00CE779B"/>
    <w:rsid w:val="00CF00C6"/>
    <w:rsid w:val="00CF0CDC"/>
    <w:rsid w:val="00CF12F0"/>
    <w:rsid w:val="00CF36F7"/>
    <w:rsid w:val="00CF4565"/>
    <w:rsid w:val="00CF5262"/>
    <w:rsid w:val="00CF5749"/>
    <w:rsid w:val="00CF6792"/>
    <w:rsid w:val="00CF7AB1"/>
    <w:rsid w:val="00D009FA"/>
    <w:rsid w:val="00D00ACA"/>
    <w:rsid w:val="00D00DD6"/>
    <w:rsid w:val="00D00E59"/>
    <w:rsid w:val="00D01781"/>
    <w:rsid w:val="00D01AA5"/>
    <w:rsid w:val="00D02909"/>
    <w:rsid w:val="00D0610E"/>
    <w:rsid w:val="00D06D12"/>
    <w:rsid w:val="00D11BE8"/>
    <w:rsid w:val="00D120A0"/>
    <w:rsid w:val="00D12D20"/>
    <w:rsid w:val="00D13132"/>
    <w:rsid w:val="00D13FE6"/>
    <w:rsid w:val="00D1426D"/>
    <w:rsid w:val="00D14C5B"/>
    <w:rsid w:val="00D15DBC"/>
    <w:rsid w:val="00D17257"/>
    <w:rsid w:val="00D17550"/>
    <w:rsid w:val="00D17809"/>
    <w:rsid w:val="00D2165D"/>
    <w:rsid w:val="00D2197A"/>
    <w:rsid w:val="00D22F6A"/>
    <w:rsid w:val="00D231ED"/>
    <w:rsid w:val="00D2344C"/>
    <w:rsid w:val="00D24346"/>
    <w:rsid w:val="00D249F5"/>
    <w:rsid w:val="00D252A9"/>
    <w:rsid w:val="00D25A13"/>
    <w:rsid w:val="00D26BEE"/>
    <w:rsid w:val="00D26CBD"/>
    <w:rsid w:val="00D26E43"/>
    <w:rsid w:val="00D27860"/>
    <w:rsid w:val="00D325CE"/>
    <w:rsid w:val="00D3288E"/>
    <w:rsid w:val="00D337AD"/>
    <w:rsid w:val="00D3445D"/>
    <w:rsid w:val="00D3514B"/>
    <w:rsid w:val="00D36B78"/>
    <w:rsid w:val="00D4071D"/>
    <w:rsid w:val="00D4106F"/>
    <w:rsid w:val="00D41DDF"/>
    <w:rsid w:val="00D42CC5"/>
    <w:rsid w:val="00D445B7"/>
    <w:rsid w:val="00D449F9"/>
    <w:rsid w:val="00D469E3"/>
    <w:rsid w:val="00D46DEF"/>
    <w:rsid w:val="00D470F9"/>
    <w:rsid w:val="00D4789B"/>
    <w:rsid w:val="00D51092"/>
    <w:rsid w:val="00D51ECB"/>
    <w:rsid w:val="00D530CC"/>
    <w:rsid w:val="00D53DDE"/>
    <w:rsid w:val="00D544E8"/>
    <w:rsid w:val="00D560E5"/>
    <w:rsid w:val="00D56A87"/>
    <w:rsid w:val="00D5742F"/>
    <w:rsid w:val="00D577AF"/>
    <w:rsid w:val="00D606E9"/>
    <w:rsid w:val="00D6195E"/>
    <w:rsid w:val="00D62083"/>
    <w:rsid w:val="00D63552"/>
    <w:rsid w:val="00D640D8"/>
    <w:rsid w:val="00D65096"/>
    <w:rsid w:val="00D65737"/>
    <w:rsid w:val="00D65B99"/>
    <w:rsid w:val="00D65EB9"/>
    <w:rsid w:val="00D663EF"/>
    <w:rsid w:val="00D676D4"/>
    <w:rsid w:val="00D679F9"/>
    <w:rsid w:val="00D7091F"/>
    <w:rsid w:val="00D70CC8"/>
    <w:rsid w:val="00D7124E"/>
    <w:rsid w:val="00D73ECB"/>
    <w:rsid w:val="00D74144"/>
    <w:rsid w:val="00D762E6"/>
    <w:rsid w:val="00D765B6"/>
    <w:rsid w:val="00D7770B"/>
    <w:rsid w:val="00D77CE0"/>
    <w:rsid w:val="00D80B88"/>
    <w:rsid w:val="00D82064"/>
    <w:rsid w:val="00D8268C"/>
    <w:rsid w:val="00D829D6"/>
    <w:rsid w:val="00D82D3C"/>
    <w:rsid w:val="00D831DE"/>
    <w:rsid w:val="00D83283"/>
    <w:rsid w:val="00D834AF"/>
    <w:rsid w:val="00D835BC"/>
    <w:rsid w:val="00D874F1"/>
    <w:rsid w:val="00D87804"/>
    <w:rsid w:val="00D87D35"/>
    <w:rsid w:val="00D9054A"/>
    <w:rsid w:val="00D90E59"/>
    <w:rsid w:val="00D91C43"/>
    <w:rsid w:val="00D9208A"/>
    <w:rsid w:val="00D9217E"/>
    <w:rsid w:val="00D9411E"/>
    <w:rsid w:val="00D9445C"/>
    <w:rsid w:val="00D95372"/>
    <w:rsid w:val="00D95413"/>
    <w:rsid w:val="00D95F6B"/>
    <w:rsid w:val="00D965FD"/>
    <w:rsid w:val="00D979FF"/>
    <w:rsid w:val="00D97CF5"/>
    <w:rsid w:val="00D97F95"/>
    <w:rsid w:val="00DA0FC4"/>
    <w:rsid w:val="00DA1FD5"/>
    <w:rsid w:val="00DA2032"/>
    <w:rsid w:val="00DA2F07"/>
    <w:rsid w:val="00DA487A"/>
    <w:rsid w:val="00DA557C"/>
    <w:rsid w:val="00DA648B"/>
    <w:rsid w:val="00DA6A36"/>
    <w:rsid w:val="00DA7C52"/>
    <w:rsid w:val="00DB0103"/>
    <w:rsid w:val="00DB0AED"/>
    <w:rsid w:val="00DB2C4E"/>
    <w:rsid w:val="00DB3B0E"/>
    <w:rsid w:val="00DB4339"/>
    <w:rsid w:val="00DB4C93"/>
    <w:rsid w:val="00DB6FA3"/>
    <w:rsid w:val="00DB7223"/>
    <w:rsid w:val="00DB7D83"/>
    <w:rsid w:val="00DC023E"/>
    <w:rsid w:val="00DC09BA"/>
    <w:rsid w:val="00DC170D"/>
    <w:rsid w:val="00DC1A58"/>
    <w:rsid w:val="00DC2565"/>
    <w:rsid w:val="00DC3142"/>
    <w:rsid w:val="00DC3C7C"/>
    <w:rsid w:val="00DC3F64"/>
    <w:rsid w:val="00DC6BF6"/>
    <w:rsid w:val="00DC6F6C"/>
    <w:rsid w:val="00DC70F0"/>
    <w:rsid w:val="00DC7381"/>
    <w:rsid w:val="00DC7D58"/>
    <w:rsid w:val="00DD0080"/>
    <w:rsid w:val="00DD0D0B"/>
    <w:rsid w:val="00DD1E03"/>
    <w:rsid w:val="00DD29C5"/>
    <w:rsid w:val="00DD2CF4"/>
    <w:rsid w:val="00DD4AC6"/>
    <w:rsid w:val="00DD4F69"/>
    <w:rsid w:val="00DD5824"/>
    <w:rsid w:val="00DD5C0C"/>
    <w:rsid w:val="00DD7079"/>
    <w:rsid w:val="00DE0104"/>
    <w:rsid w:val="00DE0122"/>
    <w:rsid w:val="00DE09BC"/>
    <w:rsid w:val="00DE10A0"/>
    <w:rsid w:val="00DE2635"/>
    <w:rsid w:val="00DE34F9"/>
    <w:rsid w:val="00DE4DF4"/>
    <w:rsid w:val="00DE54A7"/>
    <w:rsid w:val="00DE594F"/>
    <w:rsid w:val="00DE6821"/>
    <w:rsid w:val="00DE7298"/>
    <w:rsid w:val="00DE7799"/>
    <w:rsid w:val="00DE7E76"/>
    <w:rsid w:val="00DF006B"/>
    <w:rsid w:val="00DF077C"/>
    <w:rsid w:val="00DF0963"/>
    <w:rsid w:val="00DF214C"/>
    <w:rsid w:val="00DF32B2"/>
    <w:rsid w:val="00DF3529"/>
    <w:rsid w:val="00DF37CC"/>
    <w:rsid w:val="00DF3A63"/>
    <w:rsid w:val="00DF5654"/>
    <w:rsid w:val="00DF6313"/>
    <w:rsid w:val="00DF7728"/>
    <w:rsid w:val="00E00F04"/>
    <w:rsid w:val="00E01233"/>
    <w:rsid w:val="00E046BE"/>
    <w:rsid w:val="00E046E0"/>
    <w:rsid w:val="00E04AAE"/>
    <w:rsid w:val="00E051FC"/>
    <w:rsid w:val="00E05202"/>
    <w:rsid w:val="00E05BED"/>
    <w:rsid w:val="00E06783"/>
    <w:rsid w:val="00E104F0"/>
    <w:rsid w:val="00E12AD4"/>
    <w:rsid w:val="00E12B94"/>
    <w:rsid w:val="00E138DA"/>
    <w:rsid w:val="00E14A77"/>
    <w:rsid w:val="00E14D71"/>
    <w:rsid w:val="00E1510F"/>
    <w:rsid w:val="00E15AE8"/>
    <w:rsid w:val="00E15EC6"/>
    <w:rsid w:val="00E15F6A"/>
    <w:rsid w:val="00E161E0"/>
    <w:rsid w:val="00E171AC"/>
    <w:rsid w:val="00E173A0"/>
    <w:rsid w:val="00E17B08"/>
    <w:rsid w:val="00E17EE8"/>
    <w:rsid w:val="00E20132"/>
    <w:rsid w:val="00E201D4"/>
    <w:rsid w:val="00E205BF"/>
    <w:rsid w:val="00E206AF"/>
    <w:rsid w:val="00E20952"/>
    <w:rsid w:val="00E21F29"/>
    <w:rsid w:val="00E225CE"/>
    <w:rsid w:val="00E23CE0"/>
    <w:rsid w:val="00E23DDF"/>
    <w:rsid w:val="00E24040"/>
    <w:rsid w:val="00E242B3"/>
    <w:rsid w:val="00E2489A"/>
    <w:rsid w:val="00E24D8C"/>
    <w:rsid w:val="00E24ED6"/>
    <w:rsid w:val="00E25FCF"/>
    <w:rsid w:val="00E26180"/>
    <w:rsid w:val="00E277AE"/>
    <w:rsid w:val="00E27941"/>
    <w:rsid w:val="00E3000E"/>
    <w:rsid w:val="00E30740"/>
    <w:rsid w:val="00E3172F"/>
    <w:rsid w:val="00E331B2"/>
    <w:rsid w:val="00E333C1"/>
    <w:rsid w:val="00E3408A"/>
    <w:rsid w:val="00E3620F"/>
    <w:rsid w:val="00E36221"/>
    <w:rsid w:val="00E36C6E"/>
    <w:rsid w:val="00E40478"/>
    <w:rsid w:val="00E40BFC"/>
    <w:rsid w:val="00E41CBF"/>
    <w:rsid w:val="00E44063"/>
    <w:rsid w:val="00E44CAC"/>
    <w:rsid w:val="00E459C9"/>
    <w:rsid w:val="00E466C8"/>
    <w:rsid w:val="00E51914"/>
    <w:rsid w:val="00E51D76"/>
    <w:rsid w:val="00E5299D"/>
    <w:rsid w:val="00E535E9"/>
    <w:rsid w:val="00E558FF"/>
    <w:rsid w:val="00E55CE6"/>
    <w:rsid w:val="00E56648"/>
    <w:rsid w:val="00E56AEC"/>
    <w:rsid w:val="00E56CCE"/>
    <w:rsid w:val="00E578BF"/>
    <w:rsid w:val="00E608FC"/>
    <w:rsid w:val="00E611B3"/>
    <w:rsid w:val="00E62977"/>
    <w:rsid w:val="00E634C6"/>
    <w:rsid w:val="00E63922"/>
    <w:rsid w:val="00E63999"/>
    <w:rsid w:val="00E63EEB"/>
    <w:rsid w:val="00E64697"/>
    <w:rsid w:val="00E65F48"/>
    <w:rsid w:val="00E715C7"/>
    <w:rsid w:val="00E7377E"/>
    <w:rsid w:val="00E75490"/>
    <w:rsid w:val="00E75880"/>
    <w:rsid w:val="00E75BAF"/>
    <w:rsid w:val="00E779E1"/>
    <w:rsid w:val="00E77BA2"/>
    <w:rsid w:val="00E81DE3"/>
    <w:rsid w:val="00E82424"/>
    <w:rsid w:val="00E859CC"/>
    <w:rsid w:val="00E872C8"/>
    <w:rsid w:val="00E90287"/>
    <w:rsid w:val="00E91242"/>
    <w:rsid w:val="00E91665"/>
    <w:rsid w:val="00E92815"/>
    <w:rsid w:val="00E95851"/>
    <w:rsid w:val="00E95AFB"/>
    <w:rsid w:val="00E96622"/>
    <w:rsid w:val="00E96A79"/>
    <w:rsid w:val="00E9747D"/>
    <w:rsid w:val="00EA2F79"/>
    <w:rsid w:val="00EA2FAA"/>
    <w:rsid w:val="00EA4BD7"/>
    <w:rsid w:val="00EA5B83"/>
    <w:rsid w:val="00EA6942"/>
    <w:rsid w:val="00EA729E"/>
    <w:rsid w:val="00EA7528"/>
    <w:rsid w:val="00EA7673"/>
    <w:rsid w:val="00EA7C5E"/>
    <w:rsid w:val="00EB0359"/>
    <w:rsid w:val="00EB1E84"/>
    <w:rsid w:val="00EB56EC"/>
    <w:rsid w:val="00EB593A"/>
    <w:rsid w:val="00EB5F1F"/>
    <w:rsid w:val="00EB6F71"/>
    <w:rsid w:val="00EC0056"/>
    <w:rsid w:val="00EC11EF"/>
    <w:rsid w:val="00EC1289"/>
    <w:rsid w:val="00EC1673"/>
    <w:rsid w:val="00EC3902"/>
    <w:rsid w:val="00EC3AC6"/>
    <w:rsid w:val="00EC5115"/>
    <w:rsid w:val="00EC5511"/>
    <w:rsid w:val="00EC596F"/>
    <w:rsid w:val="00EC5DF6"/>
    <w:rsid w:val="00EC63D6"/>
    <w:rsid w:val="00EC63F8"/>
    <w:rsid w:val="00EC77DB"/>
    <w:rsid w:val="00ED1AE3"/>
    <w:rsid w:val="00ED1BBF"/>
    <w:rsid w:val="00ED2B2A"/>
    <w:rsid w:val="00ED40D7"/>
    <w:rsid w:val="00ED49F3"/>
    <w:rsid w:val="00ED4F0C"/>
    <w:rsid w:val="00ED5A5D"/>
    <w:rsid w:val="00ED6A34"/>
    <w:rsid w:val="00ED6ED1"/>
    <w:rsid w:val="00ED6F67"/>
    <w:rsid w:val="00ED7339"/>
    <w:rsid w:val="00ED7A61"/>
    <w:rsid w:val="00EE0892"/>
    <w:rsid w:val="00EE15D9"/>
    <w:rsid w:val="00EE3EE7"/>
    <w:rsid w:val="00EE41C6"/>
    <w:rsid w:val="00EE5162"/>
    <w:rsid w:val="00EE5C17"/>
    <w:rsid w:val="00EE5D21"/>
    <w:rsid w:val="00EE720B"/>
    <w:rsid w:val="00EE7221"/>
    <w:rsid w:val="00EE7F13"/>
    <w:rsid w:val="00EF03B1"/>
    <w:rsid w:val="00EF043F"/>
    <w:rsid w:val="00EF365A"/>
    <w:rsid w:val="00EF4EB4"/>
    <w:rsid w:val="00EF6313"/>
    <w:rsid w:val="00EF67C3"/>
    <w:rsid w:val="00EF7176"/>
    <w:rsid w:val="00EF7FBB"/>
    <w:rsid w:val="00F0039A"/>
    <w:rsid w:val="00F0187E"/>
    <w:rsid w:val="00F02805"/>
    <w:rsid w:val="00F02C75"/>
    <w:rsid w:val="00F03896"/>
    <w:rsid w:val="00F03C66"/>
    <w:rsid w:val="00F053D3"/>
    <w:rsid w:val="00F06236"/>
    <w:rsid w:val="00F062AE"/>
    <w:rsid w:val="00F067EC"/>
    <w:rsid w:val="00F06A94"/>
    <w:rsid w:val="00F06C5F"/>
    <w:rsid w:val="00F0796E"/>
    <w:rsid w:val="00F07A5B"/>
    <w:rsid w:val="00F1077B"/>
    <w:rsid w:val="00F1161C"/>
    <w:rsid w:val="00F116C8"/>
    <w:rsid w:val="00F13BE6"/>
    <w:rsid w:val="00F142DA"/>
    <w:rsid w:val="00F14D34"/>
    <w:rsid w:val="00F15070"/>
    <w:rsid w:val="00F15427"/>
    <w:rsid w:val="00F156E3"/>
    <w:rsid w:val="00F1589F"/>
    <w:rsid w:val="00F16055"/>
    <w:rsid w:val="00F16879"/>
    <w:rsid w:val="00F175DF"/>
    <w:rsid w:val="00F20289"/>
    <w:rsid w:val="00F25859"/>
    <w:rsid w:val="00F26681"/>
    <w:rsid w:val="00F26C2E"/>
    <w:rsid w:val="00F27557"/>
    <w:rsid w:val="00F301AB"/>
    <w:rsid w:val="00F3035D"/>
    <w:rsid w:val="00F32CF0"/>
    <w:rsid w:val="00F334BF"/>
    <w:rsid w:val="00F335CF"/>
    <w:rsid w:val="00F34F65"/>
    <w:rsid w:val="00F3639C"/>
    <w:rsid w:val="00F3715B"/>
    <w:rsid w:val="00F37208"/>
    <w:rsid w:val="00F37DCA"/>
    <w:rsid w:val="00F37DEB"/>
    <w:rsid w:val="00F40AD4"/>
    <w:rsid w:val="00F4184C"/>
    <w:rsid w:val="00F42E48"/>
    <w:rsid w:val="00F432D7"/>
    <w:rsid w:val="00F4381B"/>
    <w:rsid w:val="00F43FAD"/>
    <w:rsid w:val="00F445F1"/>
    <w:rsid w:val="00F44675"/>
    <w:rsid w:val="00F45519"/>
    <w:rsid w:val="00F456E8"/>
    <w:rsid w:val="00F45C5B"/>
    <w:rsid w:val="00F46DE7"/>
    <w:rsid w:val="00F47343"/>
    <w:rsid w:val="00F504B3"/>
    <w:rsid w:val="00F50D1D"/>
    <w:rsid w:val="00F52861"/>
    <w:rsid w:val="00F5379C"/>
    <w:rsid w:val="00F538F5"/>
    <w:rsid w:val="00F5428B"/>
    <w:rsid w:val="00F56030"/>
    <w:rsid w:val="00F5674F"/>
    <w:rsid w:val="00F570B3"/>
    <w:rsid w:val="00F571D1"/>
    <w:rsid w:val="00F57EEF"/>
    <w:rsid w:val="00F6044D"/>
    <w:rsid w:val="00F621E2"/>
    <w:rsid w:val="00F627C3"/>
    <w:rsid w:val="00F629FE"/>
    <w:rsid w:val="00F63935"/>
    <w:rsid w:val="00F643FA"/>
    <w:rsid w:val="00F644F3"/>
    <w:rsid w:val="00F67CBC"/>
    <w:rsid w:val="00F72568"/>
    <w:rsid w:val="00F73615"/>
    <w:rsid w:val="00F73A32"/>
    <w:rsid w:val="00F740E3"/>
    <w:rsid w:val="00F7696E"/>
    <w:rsid w:val="00F76AB8"/>
    <w:rsid w:val="00F76F07"/>
    <w:rsid w:val="00F779ED"/>
    <w:rsid w:val="00F80E23"/>
    <w:rsid w:val="00F81245"/>
    <w:rsid w:val="00F81341"/>
    <w:rsid w:val="00F81F00"/>
    <w:rsid w:val="00F82538"/>
    <w:rsid w:val="00F83767"/>
    <w:rsid w:val="00F83A95"/>
    <w:rsid w:val="00F8493A"/>
    <w:rsid w:val="00F912C2"/>
    <w:rsid w:val="00F91F1B"/>
    <w:rsid w:val="00F92BF4"/>
    <w:rsid w:val="00F933D1"/>
    <w:rsid w:val="00F93F86"/>
    <w:rsid w:val="00F94A76"/>
    <w:rsid w:val="00FA24F8"/>
    <w:rsid w:val="00FA2823"/>
    <w:rsid w:val="00FA4333"/>
    <w:rsid w:val="00FA55DF"/>
    <w:rsid w:val="00FA56DD"/>
    <w:rsid w:val="00FA5A51"/>
    <w:rsid w:val="00FA62BD"/>
    <w:rsid w:val="00FA693F"/>
    <w:rsid w:val="00FA6F61"/>
    <w:rsid w:val="00FA7610"/>
    <w:rsid w:val="00FB0FA4"/>
    <w:rsid w:val="00FB1F02"/>
    <w:rsid w:val="00FB1F93"/>
    <w:rsid w:val="00FB2AAE"/>
    <w:rsid w:val="00FB30BE"/>
    <w:rsid w:val="00FB4C95"/>
    <w:rsid w:val="00FB58D2"/>
    <w:rsid w:val="00FB63EA"/>
    <w:rsid w:val="00FB7400"/>
    <w:rsid w:val="00FB75A9"/>
    <w:rsid w:val="00FC0068"/>
    <w:rsid w:val="00FC0230"/>
    <w:rsid w:val="00FC0599"/>
    <w:rsid w:val="00FC10BD"/>
    <w:rsid w:val="00FC1F7A"/>
    <w:rsid w:val="00FC27D2"/>
    <w:rsid w:val="00FC59FC"/>
    <w:rsid w:val="00FC641B"/>
    <w:rsid w:val="00FC6D59"/>
    <w:rsid w:val="00FC73E4"/>
    <w:rsid w:val="00FC7B94"/>
    <w:rsid w:val="00FD1561"/>
    <w:rsid w:val="00FD418B"/>
    <w:rsid w:val="00FD4453"/>
    <w:rsid w:val="00FE06DA"/>
    <w:rsid w:val="00FE0C49"/>
    <w:rsid w:val="00FE1C27"/>
    <w:rsid w:val="00FE1EA7"/>
    <w:rsid w:val="00FE2C10"/>
    <w:rsid w:val="00FE39EE"/>
    <w:rsid w:val="00FE41B2"/>
    <w:rsid w:val="00FE4850"/>
    <w:rsid w:val="00FE6422"/>
    <w:rsid w:val="00FE785D"/>
    <w:rsid w:val="00FE7FA3"/>
    <w:rsid w:val="00FF078F"/>
    <w:rsid w:val="00FF1194"/>
    <w:rsid w:val="00FF18D9"/>
    <w:rsid w:val="00FF1EB2"/>
    <w:rsid w:val="00FF25D7"/>
    <w:rsid w:val="00FF37D0"/>
    <w:rsid w:val="00FF391E"/>
    <w:rsid w:val="00FF4EE5"/>
    <w:rsid w:val="00FF5627"/>
    <w:rsid w:val="00FF6CDB"/>
    <w:rsid w:val="026223A4"/>
    <w:rsid w:val="05F43C17"/>
    <w:rsid w:val="065003AC"/>
    <w:rsid w:val="06EB0BBA"/>
    <w:rsid w:val="07243C21"/>
    <w:rsid w:val="07B67DB5"/>
    <w:rsid w:val="0A97011B"/>
    <w:rsid w:val="0AF73DC4"/>
    <w:rsid w:val="0C33240E"/>
    <w:rsid w:val="0F2A61B8"/>
    <w:rsid w:val="0FCF08C9"/>
    <w:rsid w:val="110D0CBA"/>
    <w:rsid w:val="111934A4"/>
    <w:rsid w:val="120B65EA"/>
    <w:rsid w:val="14150A03"/>
    <w:rsid w:val="14F645EC"/>
    <w:rsid w:val="154C4F1A"/>
    <w:rsid w:val="158C17BD"/>
    <w:rsid w:val="16881F81"/>
    <w:rsid w:val="184B37A7"/>
    <w:rsid w:val="19962C07"/>
    <w:rsid w:val="1B0330C8"/>
    <w:rsid w:val="1C195A64"/>
    <w:rsid w:val="1CE04199"/>
    <w:rsid w:val="202659DB"/>
    <w:rsid w:val="22C5630B"/>
    <w:rsid w:val="23393759"/>
    <w:rsid w:val="24506EF3"/>
    <w:rsid w:val="251D27CE"/>
    <w:rsid w:val="253D32FD"/>
    <w:rsid w:val="25DD3370"/>
    <w:rsid w:val="275B59F0"/>
    <w:rsid w:val="27730EAA"/>
    <w:rsid w:val="28BB2AE0"/>
    <w:rsid w:val="28EB5FD2"/>
    <w:rsid w:val="290F067B"/>
    <w:rsid w:val="296C420B"/>
    <w:rsid w:val="29BD7D3C"/>
    <w:rsid w:val="2A962A92"/>
    <w:rsid w:val="2C1D7436"/>
    <w:rsid w:val="2CFD6270"/>
    <w:rsid w:val="2F9B7101"/>
    <w:rsid w:val="31991CAC"/>
    <w:rsid w:val="332350B4"/>
    <w:rsid w:val="3395521A"/>
    <w:rsid w:val="35182D6D"/>
    <w:rsid w:val="355A5B3A"/>
    <w:rsid w:val="35901A47"/>
    <w:rsid w:val="35AA2526"/>
    <w:rsid w:val="368607E0"/>
    <w:rsid w:val="37857AD6"/>
    <w:rsid w:val="38646666"/>
    <w:rsid w:val="38BA3840"/>
    <w:rsid w:val="38D14C56"/>
    <w:rsid w:val="395257F1"/>
    <w:rsid w:val="39CC7992"/>
    <w:rsid w:val="3A13282E"/>
    <w:rsid w:val="3BEF7D48"/>
    <w:rsid w:val="413D2DD5"/>
    <w:rsid w:val="416E5511"/>
    <w:rsid w:val="41F228CF"/>
    <w:rsid w:val="42860CE6"/>
    <w:rsid w:val="42F57560"/>
    <w:rsid w:val="44307631"/>
    <w:rsid w:val="44BE0511"/>
    <w:rsid w:val="44E73A68"/>
    <w:rsid w:val="453749EF"/>
    <w:rsid w:val="458B5282"/>
    <w:rsid w:val="464E6E11"/>
    <w:rsid w:val="47144A7E"/>
    <w:rsid w:val="48AC054A"/>
    <w:rsid w:val="4B6D5CF8"/>
    <w:rsid w:val="4BA95275"/>
    <w:rsid w:val="4C9D28EF"/>
    <w:rsid w:val="4D3577BF"/>
    <w:rsid w:val="4D3E6F2E"/>
    <w:rsid w:val="4E0A457B"/>
    <w:rsid w:val="4EE07EA5"/>
    <w:rsid w:val="4FAD5FDA"/>
    <w:rsid w:val="507977B6"/>
    <w:rsid w:val="51BD341F"/>
    <w:rsid w:val="54164E4D"/>
    <w:rsid w:val="563D17AF"/>
    <w:rsid w:val="58E66A2E"/>
    <w:rsid w:val="592866B4"/>
    <w:rsid w:val="5D3E30D0"/>
    <w:rsid w:val="5D6E48CE"/>
    <w:rsid w:val="60914E7C"/>
    <w:rsid w:val="60EE0200"/>
    <w:rsid w:val="618C7D93"/>
    <w:rsid w:val="63B11ECC"/>
    <w:rsid w:val="65865C6E"/>
    <w:rsid w:val="65D8147F"/>
    <w:rsid w:val="66884C53"/>
    <w:rsid w:val="66EA279E"/>
    <w:rsid w:val="67954CF0"/>
    <w:rsid w:val="69366C19"/>
    <w:rsid w:val="6AC16985"/>
    <w:rsid w:val="6B841E8D"/>
    <w:rsid w:val="6C312E7E"/>
    <w:rsid w:val="6E8D2BF3"/>
    <w:rsid w:val="6F8B4DE1"/>
    <w:rsid w:val="704F0E9F"/>
    <w:rsid w:val="71485EBD"/>
    <w:rsid w:val="71FB16D8"/>
    <w:rsid w:val="720535FB"/>
    <w:rsid w:val="740605B6"/>
    <w:rsid w:val="768D23AF"/>
    <w:rsid w:val="777C610E"/>
    <w:rsid w:val="789806ED"/>
    <w:rsid w:val="78FC50C4"/>
    <w:rsid w:val="79B7167F"/>
    <w:rsid w:val="7A431165"/>
    <w:rsid w:val="7AB813D5"/>
    <w:rsid w:val="7D282FEB"/>
    <w:rsid w:val="7EEC69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2"/>
    <w:qFormat/>
    <w:uiPriority w:val="0"/>
    <w:pPr>
      <w:keepNext/>
      <w:keepLines/>
      <w:spacing w:before="260" w:after="260" w:line="416" w:lineRule="auto"/>
      <w:outlineLvl w:val="1"/>
    </w:pPr>
    <w:rPr>
      <w:rFonts w:ascii="Cambria" w:hAnsi="Cambria"/>
      <w:b/>
      <w:bCs/>
      <w:sz w:val="32"/>
      <w:szCs w:val="32"/>
    </w:rPr>
  </w:style>
  <w:style w:type="paragraph" w:styleId="3">
    <w:name w:val="heading 3"/>
    <w:basedOn w:val="1"/>
    <w:next w:val="1"/>
    <w:link w:val="23"/>
    <w:qFormat/>
    <w:uiPriority w:val="0"/>
    <w:pPr>
      <w:keepNext/>
      <w:keepLines/>
      <w:spacing w:line="360" w:lineRule="auto"/>
      <w:outlineLvl w:val="2"/>
    </w:pPr>
    <w:rPr>
      <w:b/>
      <w:bCs/>
      <w:sz w:val="24"/>
      <w:szCs w:val="32"/>
    </w:rPr>
  </w:style>
  <w:style w:type="character" w:default="1" w:styleId="18">
    <w:name w:val="Default Paragraph Font"/>
    <w:semiHidden/>
    <w:uiPriority w:val="0"/>
  </w:style>
  <w:style w:type="table" w:default="1" w:styleId="16">
    <w:name w:val="Normal Table"/>
    <w:semiHidden/>
    <w:uiPriority w:val="0"/>
    <w:tblPr>
      <w:tblCellMar>
        <w:top w:w="0" w:type="dxa"/>
        <w:left w:w="108" w:type="dxa"/>
        <w:bottom w:w="0" w:type="dxa"/>
        <w:right w:w="108" w:type="dxa"/>
      </w:tblCellMar>
    </w:tblPr>
  </w:style>
  <w:style w:type="paragraph" w:styleId="4">
    <w:name w:val="Normal Indent"/>
    <w:basedOn w:val="1"/>
    <w:link w:val="24"/>
    <w:unhideWhenUsed/>
    <w:qFormat/>
    <w:uiPriority w:val="0"/>
    <w:pPr>
      <w:ind w:firstLine="420" w:firstLineChars="200"/>
    </w:pPr>
  </w:style>
  <w:style w:type="paragraph" w:styleId="5">
    <w:name w:val="toa heading"/>
    <w:basedOn w:val="1"/>
    <w:next w:val="1"/>
    <w:qFormat/>
    <w:uiPriority w:val="0"/>
    <w:pPr>
      <w:adjustRightInd w:val="0"/>
      <w:snapToGrid w:val="0"/>
      <w:spacing w:before="120" w:line="360" w:lineRule="auto"/>
    </w:pPr>
    <w:rPr>
      <w:rFonts w:ascii="Arial" w:hAnsi="Arial"/>
      <w:snapToGrid w:val="0"/>
      <w:color w:val="000000"/>
      <w:szCs w:val="20"/>
    </w:rPr>
  </w:style>
  <w:style w:type="paragraph" w:styleId="6">
    <w:name w:val="annotation text"/>
    <w:basedOn w:val="1"/>
    <w:link w:val="25"/>
    <w:uiPriority w:val="0"/>
    <w:pPr>
      <w:jc w:val="left"/>
    </w:pPr>
    <w:rPr>
      <w:rFonts w:ascii="Calibri" w:hAnsi="Calibri"/>
    </w:rPr>
  </w:style>
  <w:style w:type="paragraph" w:styleId="7">
    <w:name w:val="Body Text"/>
    <w:basedOn w:val="1"/>
    <w:next w:val="8"/>
    <w:link w:val="26"/>
    <w:uiPriority w:val="0"/>
    <w:pPr>
      <w:spacing w:after="120"/>
    </w:pPr>
  </w:style>
  <w:style w:type="paragraph" w:styleId="8">
    <w:name w:val="Body Text First Indent"/>
    <w:basedOn w:val="7"/>
    <w:qFormat/>
    <w:uiPriority w:val="0"/>
    <w:pPr>
      <w:ind w:firstLine="420" w:firstLineChars="100"/>
    </w:pPr>
  </w:style>
  <w:style w:type="paragraph" w:styleId="9">
    <w:name w:val="Body Text Indent"/>
    <w:basedOn w:val="1"/>
    <w:link w:val="27"/>
    <w:qFormat/>
    <w:uiPriority w:val="0"/>
    <w:pPr>
      <w:spacing w:line="500" w:lineRule="exact"/>
      <w:ind w:firstLine="570"/>
    </w:pPr>
    <w:rPr>
      <w:sz w:val="28"/>
      <w:szCs w:val="20"/>
    </w:rPr>
  </w:style>
  <w:style w:type="paragraph" w:styleId="10">
    <w:name w:val="Plain Text"/>
    <w:basedOn w:val="1"/>
    <w:link w:val="28"/>
    <w:uiPriority w:val="0"/>
    <w:rPr>
      <w:rFonts w:ascii="宋体" w:hAnsi="Courier New"/>
    </w:rPr>
  </w:style>
  <w:style w:type="paragraph" w:styleId="11">
    <w:name w:val="Date"/>
    <w:basedOn w:val="1"/>
    <w:next w:val="1"/>
    <w:link w:val="29"/>
    <w:uiPriority w:val="0"/>
    <w:pPr>
      <w:ind w:left="100" w:leftChars="2500"/>
    </w:pPr>
  </w:style>
  <w:style w:type="paragraph" w:styleId="12">
    <w:name w:val="Balloon Text"/>
    <w:basedOn w:val="1"/>
    <w:link w:val="30"/>
    <w:qFormat/>
    <w:uiPriority w:val="0"/>
    <w:rPr>
      <w:sz w:val="18"/>
      <w:szCs w:val="18"/>
    </w:rPr>
  </w:style>
  <w:style w:type="paragraph" w:styleId="13">
    <w:name w:val="footer"/>
    <w:basedOn w:val="1"/>
    <w:link w:val="31"/>
    <w:qFormat/>
    <w:uiPriority w:val="99"/>
    <w:pPr>
      <w:tabs>
        <w:tab w:val="center" w:pos="4153"/>
        <w:tab w:val="right" w:pos="8306"/>
      </w:tabs>
      <w:snapToGrid w:val="0"/>
      <w:jc w:val="left"/>
    </w:pPr>
    <w:rPr>
      <w:sz w:val="18"/>
      <w:szCs w:val="18"/>
    </w:rPr>
  </w:style>
  <w:style w:type="paragraph" w:styleId="14">
    <w:name w:val="header"/>
    <w:basedOn w:val="1"/>
    <w:link w:val="32"/>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6"/>
    <w:next w:val="6"/>
    <w:link w:val="33"/>
    <w:uiPriority w:val="0"/>
    <w:rPr>
      <w:b/>
      <w:bCs/>
    </w:rPr>
  </w:style>
  <w:style w:type="table" w:styleId="17">
    <w:name w:val="Table Grid"/>
    <w:basedOn w:val="1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FollowedHyperlink"/>
    <w:unhideWhenUsed/>
    <w:uiPriority w:val="99"/>
    <w:rPr>
      <w:color w:val="800080"/>
      <w:u w:val="single"/>
    </w:rPr>
  </w:style>
  <w:style w:type="character" w:styleId="20">
    <w:name w:val="Hyperlink"/>
    <w:unhideWhenUsed/>
    <w:uiPriority w:val="99"/>
    <w:rPr>
      <w:color w:val="0000FF"/>
      <w:u w:val="single"/>
    </w:rPr>
  </w:style>
  <w:style w:type="character" w:styleId="21">
    <w:name w:val="annotation reference"/>
    <w:uiPriority w:val="0"/>
    <w:rPr>
      <w:sz w:val="21"/>
      <w:szCs w:val="21"/>
    </w:rPr>
  </w:style>
  <w:style w:type="character" w:customStyle="1" w:styleId="22">
    <w:name w:val="标题 2 字符"/>
    <w:link w:val="2"/>
    <w:qFormat/>
    <w:uiPriority w:val="0"/>
    <w:rPr>
      <w:rFonts w:ascii="Cambria" w:hAnsi="Cambria"/>
      <w:b/>
      <w:bCs/>
      <w:kern w:val="2"/>
      <w:sz w:val="32"/>
      <w:szCs w:val="32"/>
    </w:rPr>
  </w:style>
  <w:style w:type="character" w:customStyle="1" w:styleId="23">
    <w:name w:val="标题 3 Char"/>
    <w:link w:val="3"/>
    <w:qFormat/>
    <w:uiPriority w:val="0"/>
    <w:rPr>
      <w:b/>
      <w:bCs/>
      <w:kern w:val="2"/>
      <w:sz w:val="24"/>
      <w:szCs w:val="32"/>
    </w:rPr>
  </w:style>
  <w:style w:type="character" w:customStyle="1" w:styleId="24">
    <w:name w:val="正文缩进 Char"/>
    <w:link w:val="4"/>
    <w:qFormat/>
    <w:uiPriority w:val="0"/>
    <w:rPr>
      <w:kern w:val="2"/>
      <w:sz w:val="21"/>
      <w:szCs w:val="24"/>
    </w:rPr>
  </w:style>
  <w:style w:type="character" w:customStyle="1" w:styleId="25">
    <w:name w:val="批注文字 Char"/>
    <w:link w:val="6"/>
    <w:uiPriority w:val="0"/>
    <w:rPr>
      <w:rFonts w:ascii="Calibri" w:hAnsi="Calibri"/>
      <w:kern w:val="2"/>
      <w:sz w:val="21"/>
      <w:szCs w:val="24"/>
    </w:rPr>
  </w:style>
  <w:style w:type="character" w:customStyle="1" w:styleId="26">
    <w:name w:val="正文文本 字符"/>
    <w:link w:val="7"/>
    <w:uiPriority w:val="0"/>
    <w:rPr>
      <w:kern w:val="2"/>
      <w:sz w:val="21"/>
      <w:szCs w:val="24"/>
    </w:rPr>
  </w:style>
  <w:style w:type="character" w:customStyle="1" w:styleId="27">
    <w:name w:val="正文文本缩进 Char"/>
    <w:link w:val="9"/>
    <w:uiPriority w:val="0"/>
    <w:rPr>
      <w:kern w:val="2"/>
      <w:sz w:val="28"/>
    </w:rPr>
  </w:style>
  <w:style w:type="character" w:customStyle="1" w:styleId="28">
    <w:name w:val="纯文本 Char"/>
    <w:link w:val="10"/>
    <w:uiPriority w:val="0"/>
    <w:rPr>
      <w:rFonts w:ascii="宋体" w:hAnsi="Courier New"/>
      <w:kern w:val="2"/>
      <w:sz w:val="21"/>
      <w:szCs w:val="24"/>
    </w:rPr>
  </w:style>
  <w:style w:type="character" w:customStyle="1" w:styleId="29">
    <w:name w:val="日期 Char"/>
    <w:link w:val="11"/>
    <w:uiPriority w:val="0"/>
    <w:rPr>
      <w:kern w:val="2"/>
      <w:sz w:val="21"/>
      <w:szCs w:val="24"/>
    </w:rPr>
  </w:style>
  <w:style w:type="character" w:customStyle="1" w:styleId="30">
    <w:name w:val="批注框文本 Char"/>
    <w:link w:val="12"/>
    <w:uiPriority w:val="0"/>
    <w:rPr>
      <w:kern w:val="2"/>
      <w:sz w:val="18"/>
      <w:szCs w:val="18"/>
    </w:rPr>
  </w:style>
  <w:style w:type="character" w:customStyle="1" w:styleId="31">
    <w:name w:val="页脚 Char"/>
    <w:link w:val="13"/>
    <w:uiPriority w:val="99"/>
    <w:rPr>
      <w:kern w:val="2"/>
      <w:sz w:val="18"/>
      <w:szCs w:val="18"/>
    </w:rPr>
  </w:style>
  <w:style w:type="character" w:customStyle="1" w:styleId="32">
    <w:name w:val="页眉 Char"/>
    <w:link w:val="14"/>
    <w:uiPriority w:val="0"/>
    <w:rPr>
      <w:kern w:val="2"/>
      <w:sz w:val="18"/>
      <w:szCs w:val="18"/>
    </w:rPr>
  </w:style>
  <w:style w:type="character" w:customStyle="1" w:styleId="33">
    <w:name w:val="批注主题 Char"/>
    <w:link w:val="15"/>
    <w:uiPriority w:val="0"/>
    <w:rPr>
      <w:rFonts w:ascii="Calibri" w:hAnsi="Calibri"/>
      <w:b/>
      <w:bCs/>
      <w:kern w:val="2"/>
      <w:sz w:val="21"/>
      <w:szCs w:val="24"/>
    </w:rPr>
  </w:style>
  <w:style w:type="character" w:customStyle="1" w:styleId="34">
    <w:name w:val="纯文本 Char1"/>
    <w:qFormat/>
    <w:uiPriority w:val="0"/>
    <w:rPr>
      <w:rFonts w:ascii="宋体" w:hAnsi="Courier New" w:cs="Courier New"/>
      <w:kern w:val="2"/>
      <w:sz w:val="21"/>
      <w:szCs w:val="21"/>
    </w:rPr>
  </w:style>
  <w:style w:type="character" w:customStyle="1" w:styleId="35">
    <w:name w:val="Body Text Indent 2 Char Char"/>
    <w:link w:val="36"/>
    <w:uiPriority w:val="0"/>
    <w:rPr>
      <w:rFonts w:ascii="Calibri" w:hAnsi="Calibri"/>
    </w:rPr>
  </w:style>
  <w:style w:type="paragraph" w:customStyle="1" w:styleId="36">
    <w:name w:val="正文文本缩进 21"/>
    <w:basedOn w:val="1"/>
    <w:link w:val="35"/>
    <w:qFormat/>
    <w:uiPriority w:val="0"/>
    <w:pPr>
      <w:adjustRightInd w:val="0"/>
      <w:spacing w:line="480" w:lineRule="auto"/>
      <w:ind w:firstLine="540"/>
      <w:textAlignment w:val="baseline"/>
    </w:pPr>
    <w:rPr>
      <w:rFonts w:ascii="Calibri" w:hAnsi="Calibri"/>
      <w:kern w:val="0"/>
      <w:sz w:val="20"/>
      <w:szCs w:val="20"/>
    </w:rPr>
  </w:style>
  <w:style w:type="paragraph" w:styleId="37">
    <w:name w:val="List Paragraph"/>
    <w:basedOn w:val="1"/>
    <w:qFormat/>
    <w:uiPriority w:val="34"/>
    <w:pPr>
      <w:ind w:firstLine="420" w:firstLineChars="200"/>
    </w:pPr>
  </w:style>
  <w:style w:type="paragraph" w:customStyle="1" w:styleId="38">
    <w:name w:val="列出段落1"/>
    <w:basedOn w:val="1"/>
    <w:qFormat/>
    <w:uiPriority w:val="34"/>
    <w:pPr>
      <w:ind w:firstLine="420" w:firstLineChars="200"/>
    </w:pPr>
  </w:style>
  <w:style w:type="character" w:customStyle="1" w:styleId="39">
    <w:name w:val="页脚 字符"/>
    <w:qFormat/>
    <w:uiPriority w:val="99"/>
  </w:style>
  <w:style w:type="table" w:customStyle="1" w:styleId="40">
    <w:name w:val="网格型1"/>
    <w:basedOn w:val="16"/>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标题 2 Char"/>
    <w:semiHidden/>
    <w:uiPriority w:val="0"/>
    <w:rPr>
      <w:rFonts w:ascii="Cambria" w:hAnsi="Cambria" w:eastAsia="宋体" w:cs="Times New Roman"/>
      <w:b/>
      <w:bCs/>
      <w:kern w:val="2"/>
      <w:sz w:val="32"/>
      <w:szCs w:val="32"/>
    </w:rPr>
  </w:style>
  <w:style w:type="paragraph" w:customStyle="1" w:styleId="42">
    <w:name w:val="xl64"/>
    <w:basedOn w:val="1"/>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43">
    <w:name w:val="xl65"/>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44">
    <w:name w:val="xl66"/>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customStyle="1" w:styleId="45">
    <w:name w:val="xl67"/>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0"/>
      <w:szCs w:val="20"/>
    </w:rPr>
  </w:style>
  <w:style w:type="paragraph" w:customStyle="1" w:styleId="46">
    <w:name w:val="xl68"/>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0"/>
      <w:szCs w:val="20"/>
    </w:rPr>
  </w:style>
  <w:style w:type="paragraph" w:customStyle="1" w:styleId="47">
    <w:name w:val="xl69"/>
    <w:basedOn w:val="1"/>
    <w:qFormat/>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48">
    <w:name w:val="xl70"/>
    <w:basedOn w:val="1"/>
    <w:uiPriority w:val="0"/>
    <w:pPr>
      <w:widowControl/>
      <w:shd w:val="clear" w:color="FFFFFF" w:fill="FFFFFF"/>
      <w:spacing w:before="100" w:beforeAutospacing="1" w:after="100" w:afterAutospacing="1"/>
      <w:jc w:val="right"/>
      <w:textAlignment w:val="center"/>
    </w:pPr>
    <w:rPr>
      <w:rFonts w:ascii="宋体" w:hAnsi="宋体" w:cs="宋体"/>
      <w:b/>
      <w:bCs/>
      <w:kern w:val="0"/>
      <w:sz w:val="40"/>
      <w:szCs w:val="40"/>
    </w:rPr>
  </w:style>
  <w:style w:type="paragraph" w:customStyle="1" w:styleId="49">
    <w:name w:val="xl71"/>
    <w:basedOn w:val="1"/>
    <w:uiPriority w:val="0"/>
    <w:pPr>
      <w:widowControl/>
      <w:shd w:val="clear" w:color="FFFFFF" w:fill="FFFFFF"/>
      <w:spacing w:before="100" w:beforeAutospacing="1" w:after="100" w:afterAutospacing="1"/>
      <w:jc w:val="left"/>
    </w:pPr>
    <w:rPr>
      <w:rFonts w:ascii="宋体" w:hAnsi="宋体" w:cs="宋体"/>
      <w:kern w:val="0"/>
      <w:sz w:val="20"/>
      <w:szCs w:val="20"/>
    </w:rPr>
  </w:style>
  <w:style w:type="paragraph" w:customStyle="1" w:styleId="50">
    <w:name w:val="xl72"/>
    <w:basedOn w:val="1"/>
    <w:uiPriority w:val="0"/>
    <w:pPr>
      <w:widowControl/>
      <w:shd w:val="clear" w:color="FFFFFF" w:fill="FFFFFF"/>
      <w:spacing w:before="100" w:beforeAutospacing="1" w:after="100" w:afterAutospacing="1"/>
      <w:jc w:val="right"/>
    </w:pPr>
    <w:rPr>
      <w:rFonts w:ascii="宋体" w:hAnsi="宋体" w:cs="宋体"/>
      <w:kern w:val="0"/>
      <w:sz w:val="20"/>
      <w:szCs w:val="20"/>
    </w:rPr>
  </w:style>
  <w:style w:type="paragraph" w:customStyle="1" w:styleId="51">
    <w:name w:val="xl73"/>
    <w:basedOn w:val="1"/>
    <w:qFormat/>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52">
    <w:name w:val="xl74"/>
    <w:basedOn w:val="1"/>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53">
    <w:name w:val="xl75"/>
    <w:basedOn w:val="1"/>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54">
    <w:name w:val="xl76"/>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55">
    <w:name w:val="xl77"/>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56">
    <w:name w:val="xl78"/>
    <w:basedOn w:val="1"/>
    <w:uiPriority w:val="0"/>
    <w:pPr>
      <w:widowControl/>
      <w:shd w:val="clear" w:color="FFFFFF" w:fill="FFFFFF"/>
      <w:spacing w:before="100" w:beforeAutospacing="1" w:after="100" w:afterAutospacing="1"/>
      <w:jc w:val="left"/>
      <w:textAlignment w:val="top"/>
    </w:pPr>
    <w:rPr>
      <w:rFonts w:ascii="宋体" w:hAnsi="宋体" w:cs="宋体"/>
      <w:kern w:val="0"/>
      <w:sz w:val="24"/>
    </w:rPr>
  </w:style>
  <w:style w:type="paragraph" w:customStyle="1" w:styleId="57">
    <w:name w:val="xl79"/>
    <w:basedOn w:val="1"/>
    <w:qFormat/>
    <w:uiPriority w:val="0"/>
    <w:pPr>
      <w:widowControl/>
      <w:shd w:val="clear" w:color="FFFFFF" w:fill="FFFFFF"/>
      <w:spacing w:before="100" w:beforeAutospacing="1" w:after="100" w:afterAutospacing="1"/>
      <w:jc w:val="left"/>
      <w:textAlignment w:val="top"/>
    </w:pPr>
    <w:rPr>
      <w:rFonts w:ascii="宋体" w:hAnsi="宋体" w:cs="宋体"/>
      <w:kern w:val="0"/>
      <w:sz w:val="24"/>
      <w:u w:val="single"/>
    </w:rPr>
  </w:style>
  <w:style w:type="paragraph" w:customStyle="1" w:styleId="58">
    <w:name w:val="xl80"/>
    <w:basedOn w:val="1"/>
    <w:qFormat/>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59">
    <w:name w:val="xl81"/>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60">
    <w:name w:val="xl82"/>
    <w:basedOn w:val="1"/>
    <w:qFormat/>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61">
    <w:name w:val="xl83"/>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62">
    <w:name w:val="xl84"/>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character" w:customStyle="1" w:styleId="63">
    <w:name w:val="日期 字符"/>
    <w:uiPriority w:val="0"/>
    <w:rPr>
      <w:kern w:val="2"/>
      <w:sz w:val="21"/>
      <w:szCs w:val="24"/>
    </w:rPr>
  </w:style>
  <w:style w:type="character" w:customStyle="1" w:styleId="64">
    <w:name w:val="正文文本缩进 字符"/>
    <w:qFormat/>
    <w:uiPriority w:val="0"/>
    <w:rPr>
      <w:kern w:val="2"/>
      <w:sz w:val="28"/>
    </w:rPr>
  </w:style>
  <w:style w:type="character" w:customStyle="1" w:styleId="65">
    <w:name w:val="标题 3 字符"/>
    <w:qFormat/>
    <w:uiPriority w:val="0"/>
    <w:rPr>
      <w:b/>
      <w:bCs/>
      <w:kern w:val="2"/>
      <w:sz w:val="24"/>
      <w:szCs w:val="32"/>
    </w:rPr>
  </w:style>
  <w:style w:type="character" w:customStyle="1" w:styleId="66">
    <w:name w:val="页眉 字符"/>
    <w:qFormat/>
    <w:uiPriority w:val="0"/>
    <w:rPr>
      <w:kern w:val="2"/>
      <w:sz w:val="18"/>
      <w:szCs w:val="18"/>
    </w:rPr>
  </w:style>
  <w:style w:type="character" w:customStyle="1" w:styleId="67">
    <w:name w:val="批注框文本 字符"/>
    <w:qFormat/>
    <w:uiPriority w:val="0"/>
    <w:rPr>
      <w:kern w:val="2"/>
      <w:sz w:val="18"/>
      <w:szCs w:val="18"/>
    </w:rPr>
  </w:style>
  <w:style w:type="character" w:customStyle="1" w:styleId="68">
    <w:name w:val="页眉 字符1"/>
    <w:qFormat/>
    <w:uiPriority w:val="0"/>
    <w:rPr>
      <w:kern w:val="2"/>
      <w:sz w:val="18"/>
      <w:szCs w:val="18"/>
    </w:rPr>
  </w:style>
  <w:style w:type="character" w:customStyle="1" w:styleId="69">
    <w:name w:val="正文缩进 字符"/>
    <w:qFormat/>
    <w:uiPriority w:val="0"/>
    <w:rPr>
      <w:kern w:val="2"/>
      <w:sz w:val="21"/>
      <w:szCs w:val="24"/>
    </w:rPr>
  </w:style>
  <w:style w:type="character" w:customStyle="1" w:styleId="70">
    <w:name w:val="页脚 字符1"/>
    <w:qFormat/>
    <w:uiPriority w:val="99"/>
    <w:rPr>
      <w:kern w:val="2"/>
      <w:sz w:val="18"/>
      <w:szCs w:val="18"/>
    </w:rPr>
  </w:style>
  <w:style w:type="character" w:customStyle="1" w:styleId="71">
    <w:name w:val="正文文本缩进 字符1"/>
    <w:qFormat/>
    <w:uiPriority w:val="0"/>
    <w:rPr>
      <w:kern w:val="2"/>
      <w:sz w:val="28"/>
    </w:rPr>
  </w:style>
  <w:style w:type="character" w:customStyle="1" w:styleId="72">
    <w:name w:val="正文缩进 字符1"/>
    <w:qFormat/>
    <w:uiPriority w:val="0"/>
    <w:rPr>
      <w:kern w:val="2"/>
      <w:sz w:val="21"/>
      <w:szCs w:val="24"/>
    </w:rPr>
  </w:style>
  <w:style w:type="character" w:customStyle="1" w:styleId="73">
    <w:name w:val="标题 3 字符1"/>
    <w:uiPriority w:val="0"/>
    <w:rPr>
      <w:b/>
      <w:bCs/>
      <w:kern w:val="2"/>
      <w:sz w:val="24"/>
      <w:szCs w:val="32"/>
    </w:rPr>
  </w:style>
  <w:style w:type="character" w:customStyle="1" w:styleId="74">
    <w:name w:val="日期 字符1"/>
    <w:qFormat/>
    <w:uiPriority w:val="0"/>
    <w:rPr>
      <w:kern w:val="2"/>
      <w:sz w:val="21"/>
      <w:szCs w:val="24"/>
    </w:rPr>
  </w:style>
  <w:style w:type="character" w:customStyle="1" w:styleId="75">
    <w:name w:val="批注框文本 字符1"/>
    <w:uiPriority w:val="0"/>
    <w:rPr>
      <w:kern w:val="2"/>
      <w:sz w:val="18"/>
      <w:szCs w:val="18"/>
    </w:rPr>
  </w:style>
  <w:style w:type="character" w:customStyle="1" w:styleId="76">
    <w:name w:val="批注文字 字符"/>
    <w:uiPriority w:val="0"/>
    <w:rPr>
      <w:kern w:val="2"/>
      <w:sz w:val="21"/>
      <w:szCs w:val="24"/>
    </w:rPr>
  </w:style>
  <w:style w:type="character" w:customStyle="1" w:styleId="77">
    <w:name w:val="批注文字 字符1"/>
    <w:uiPriority w:val="0"/>
    <w:rPr>
      <w:kern w:val="2"/>
      <w:sz w:val="21"/>
      <w:szCs w:val="24"/>
    </w:rPr>
  </w:style>
  <w:style w:type="paragraph" w:customStyle="1" w:styleId="78">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79">
    <w:name w:val="xl8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0">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83">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4">
    <w:name w:val="xl97"/>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85">
    <w:name w:val="font7"/>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86">
    <w:name w:val="font6"/>
    <w:basedOn w:val="1"/>
    <w:qFormat/>
    <w:uiPriority w:val="0"/>
    <w:pPr>
      <w:widowControl/>
      <w:spacing w:before="100" w:beforeAutospacing="1" w:after="100" w:afterAutospacing="1"/>
      <w:jc w:val="left"/>
    </w:pPr>
    <w:rPr>
      <w:b/>
      <w:bCs/>
      <w:color w:val="000000"/>
      <w:kern w:val="0"/>
      <w:sz w:val="32"/>
      <w:szCs w:val="32"/>
    </w:rPr>
  </w:style>
  <w:style w:type="paragraph" w:customStyle="1" w:styleId="87">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8">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0">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1">
    <w:name w:val="xl100"/>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92">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93">
    <w:name w:val="xl9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94">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9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96">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106"/>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99">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100">
    <w:name w:val="xl9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10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102">
    <w:name w:val="xl9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3">
    <w:name w:val="xl102"/>
    <w:basedOn w:val="1"/>
    <w:qFormat/>
    <w:uiPriority w:val="0"/>
    <w:pPr>
      <w:widowControl/>
      <w:spacing w:before="100" w:beforeAutospacing="1" w:after="100" w:afterAutospacing="1"/>
      <w:jc w:val="left"/>
    </w:pPr>
    <w:rPr>
      <w:rFonts w:ascii="宋体" w:hAnsi="宋体" w:cs="宋体"/>
      <w:b/>
      <w:bCs/>
      <w:kern w:val="0"/>
      <w:sz w:val="32"/>
      <w:szCs w:val="32"/>
    </w:rPr>
  </w:style>
  <w:style w:type="paragraph" w:customStyle="1" w:styleId="10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05">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0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07">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08">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09">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110">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11">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12">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113">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14">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1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1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117">
    <w:name w:val="xl121"/>
    <w:basedOn w:val="1"/>
    <w:qFormat/>
    <w:uiPriority w:val="0"/>
    <w:pPr>
      <w:widowControl/>
      <w:spacing w:before="100" w:beforeAutospacing="1" w:after="100" w:afterAutospacing="1"/>
      <w:jc w:val="right"/>
    </w:pPr>
    <w:rPr>
      <w:rFonts w:ascii="宋体" w:hAnsi="宋体" w:cs="宋体"/>
      <w:kern w:val="0"/>
      <w:sz w:val="24"/>
    </w:rPr>
  </w:style>
  <w:style w:type="paragraph" w:customStyle="1" w:styleId="118">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11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20">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21">
    <w:name w:val="xl12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22">
    <w:name w:val="xl126"/>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123">
    <w:name w:val="xl12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24">
    <w:name w:val="xl128"/>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25">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6">
    <w:name w:val="xl13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table" w:customStyle="1" w:styleId="127">
    <w:name w:val="网格型2"/>
    <w:basedOn w:val="16"/>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8">
    <w:name w:val="font21"/>
    <w:qFormat/>
    <w:uiPriority w:val="0"/>
    <w:rPr>
      <w:rFonts w:hint="eastAsia" w:ascii="宋体" w:hAnsi="宋体" w:eastAsia="宋体" w:cs="宋体"/>
      <w:color w:val="000000"/>
      <w:sz w:val="20"/>
      <w:szCs w:val="20"/>
      <w:u w:val="none"/>
    </w:rPr>
  </w:style>
  <w:style w:type="character" w:customStyle="1" w:styleId="129">
    <w:name w:val="font01"/>
    <w:qFormat/>
    <w:uiPriority w:val="0"/>
    <w:rPr>
      <w:rFonts w:hint="eastAsia" w:ascii="宋体" w:hAnsi="宋体" w:eastAsia="宋体" w:cs="宋体"/>
      <w:color w:val="FF0000"/>
      <w:sz w:val="20"/>
      <w:szCs w:val="20"/>
      <w:u w:val="none"/>
    </w:rPr>
  </w:style>
  <w:style w:type="character" w:customStyle="1" w:styleId="130">
    <w:name w:val="正文文本 Char"/>
    <w:qFormat/>
    <w:uiPriority w:val="0"/>
    <w:rPr>
      <w:kern w:val="2"/>
      <w:sz w:val="21"/>
      <w:szCs w:val="24"/>
    </w:rPr>
  </w:style>
  <w:style w:type="paragraph" w:customStyle="1" w:styleId="131">
    <w:name w:val="无缩进"/>
    <w:next w:val="7"/>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character" w:customStyle="1" w:styleId="132">
    <w:name w:val="font112"/>
    <w:basedOn w:val="18"/>
    <w:qFormat/>
    <w:uiPriority w:val="0"/>
    <w:rPr>
      <w:rFonts w:hint="eastAsia" w:ascii="仿宋_GB2312" w:eastAsia="仿宋_GB2312" w:cs="仿宋_GB2312"/>
      <w:b/>
      <w:bCs/>
      <w:color w:val="000000"/>
      <w:sz w:val="20"/>
      <w:szCs w:val="20"/>
      <w:u w:val="none"/>
    </w:rPr>
  </w:style>
  <w:style w:type="character" w:customStyle="1" w:styleId="133">
    <w:name w:val="font101"/>
    <w:basedOn w:val="18"/>
    <w:qFormat/>
    <w:uiPriority w:val="0"/>
    <w:rPr>
      <w:rFonts w:hint="eastAsia" w:ascii="仿宋_GB2312" w:eastAsia="仿宋_GB2312" w:cs="仿宋_GB2312"/>
      <w:color w:val="000000"/>
      <w:sz w:val="20"/>
      <w:szCs w:val="20"/>
      <w:u w:val="none"/>
    </w:rPr>
  </w:style>
  <w:style w:type="character" w:customStyle="1" w:styleId="134">
    <w:name w:val="font121"/>
    <w:basedOn w:val="18"/>
    <w:qFormat/>
    <w:uiPriority w:val="0"/>
    <w:rPr>
      <w:rFonts w:hint="eastAsia" w:ascii="仿宋_GB2312" w:eastAsia="仿宋_GB2312" w:cs="仿宋_GB2312"/>
      <w:color w:val="FF0000"/>
      <w:sz w:val="20"/>
      <w:szCs w:val="20"/>
      <w:u w:val="none"/>
    </w:rPr>
  </w:style>
  <w:style w:type="character" w:customStyle="1" w:styleId="135">
    <w:name w:val="font131"/>
    <w:basedOn w:val="18"/>
    <w:qFormat/>
    <w:uiPriority w:val="0"/>
    <w:rPr>
      <w:rFonts w:hint="eastAsia" w:ascii="仿宋_GB2312" w:eastAsia="仿宋_GB2312" w:cs="仿宋_GB2312"/>
      <w:color w:val="000000"/>
      <w:sz w:val="20"/>
      <w:szCs w:val="20"/>
      <w:u w:val="none"/>
    </w:rPr>
  </w:style>
  <w:style w:type="paragraph" w:customStyle="1" w:styleId="136">
    <w:name w:val="正文缩进2格"/>
    <w:basedOn w:val="1"/>
    <w:qFormat/>
    <w:uiPriority w:val="0"/>
    <w:pPr>
      <w:autoSpaceDE/>
      <w:autoSpaceDN/>
      <w:adjustRightInd/>
      <w:spacing w:line="600" w:lineRule="exact"/>
      <w:ind w:firstLine="639" w:firstLineChars="206"/>
      <w:jc w:val="both"/>
    </w:pPr>
    <w:rPr>
      <w:rFonts w:ascii="仿宋_GB2312" w:hAnsi="宋体" w:eastAsia="仿宋_GB2312"/>
      <w:kern w:val="2"/>
      <w:sz w:val="31"/>
      <w:szCs w:val="28"/>
    </w:rPr>
  </w:style>
  <w:style w:type="character" w:customStyle="1" w:styleId="137">
    <w:name w:val="font41"/>
    <w:basedOn w:val="18"/>
    <w:qFormat/>
    <w:uiPriority w:val="0"/>
    <w:rPr>
      <w:rFonts w:hint="eastAsia" w:ascii="宋体" w:hAnsi="宋体" w:eastAsia="宋体" w:cs="宋体"/>
      <w:b/>
      <w:bCs/>
      <w:color w:val="000000"/>
      <w:sz w:val="22"/>
      <w:szCs w:val="22"/>
      <w:u w:val="none"/>
    </w:rPr>
  </w:style>
  <w:style w:type="character" w:customStyle="1" w:styleId="138">
    <w:name w:val="font61"/>
    <w:basedOn w:val="18"/>
    <w:qFormat/>
    <w:uiPriority w:val="0"/>
    <w:rPr>
      <w:rFonts w:hint="eastAsia" w:ascii="宋体" w:hAnsi="宋体" w:eastAsia="宋体" w:cs="宋体"/>
      <w:b/>
      <w:bCs/>
      <w:color w:val="000000"/>
      <w:sz w:val="22"/>
      <w:szCs w:val="22"/>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广西移动</Company>
  <Pages>39</Pages>
  <Words>15559</Words>
  <Characters>20058</Characters>
  <Lines>90</Lines>
  <Paragraphs>25</Paragraphs>
  <TotalTime>9</TotalTime>
  <ScaleCrop>false</ScaleCrop>
  <LinksUpToDate>false</LinksUpToDate>
  <CharactersWithSpaces>22278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2019-05-08T03:48:00Z</dcterms:created>
  <dc:creator>李家庆</dc:creator>
  <cp:lastModifiedBy>莞城建筑</cp:lastModifiedBy>
  <cp:lastPrinted>2023-11-13T09:30:00Z</cp:lastPrinted>
  <dcterms:modified xsi:type="dcterms:W3CDTF">2023-11-14T10:38:04Z</dcterms:modified>
  <dc:title>招  标  文  件</dc:title>
  <cp:revision>532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2B86E6BA0D4E4CBE98066221CB90AE64_13</vt:lpwstr>
  </property>
</Properties>
</file>