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52"/>
          <w:szCs w:val="52"/>
        </w:rPr>
      </w:pPr>
    </w:p>
    <w:p>
      <w:pPr>
        <w:jc w:val="center"/>
        <w:rPr>
          <w:rFonts w:hint="eastAsia" w:ascii="黑体" w:eastAsia="黑体"/>
          <w:color w:val="auto"/>
          <w:sz w:val="52"/>
          <w:szCs w:val="52"/>
        </w:rPr>
      </w:pPr>
    </w:p>
    <w:p>
      <w:pPr>
        <w:spacing w:line="360" w:lineRule="auto"/>
        <w:jc w:val="center"/>
        <w:rPr>
          <w:rFonts w:hint="eastAsia" w:ascii="华康简标题宋" w:eastAsia="华康简标题宋"/>
          <w:b/>
          <w:bCs/>
          <w:color w:val="auto"/>
          <w:sz w:val="84"/>
        </w:rPr>
      </w:pPr>
      <w:r>
        <w:rPr>
          <w:rFonts w:hint="eastAsia" w:ascii="华康简标题宋" w:eastAsia="华康简标题宋"/>
          <w:b/>
          <w:bCs/>
          <w:color w:val="auto"/>
          <w:sz w:val="84"/>
        </w:rPr>
        <w:t>采</w:t>
      </w:r>
      <w:r>
        <w:rPr>
          <w:rFonts w:hint="eastAsia" w:ascii="宋体" w:hAnsi="宋体" w:cs="宋体"/>
          <w:b/>
          <w:bCs/>
          <w:color w:val="auto"/>
          <w:sz w:val="84"/>
        </w:rPr>
        <w:t xml:space="preserve">  </w:t>
      </w:r>
      <w:r>
        <w:rPr>
          <w:rFonts w:hint="eastAsia" w:ascii="华康简标题宋" w:eastAsia="华康简标题宋"/>
          <w:b/>
          <w:bCs/>
          <w:color w:val="auto"/>
          <w:sz w:val="84"/>
        </w:rPr>
        <w:t xml:space="preserve">购 </w:t>
      </w:r>
      <w:r>
        <w:rPr>
          <w:rFonts w:ascii="华康简标题宋" w:eastAsia="华康简标题宋"/>
          <w:b/>
          <w:bCs/>
          <w:color w:val="auto"/>
          <w:sz w:val="84"/>
        </w:rPr>
        <w:t xml:space="preserve"> </w:t>
      </w:r>
      <w:r>
        <w:rPr>
          <w:rFonts w:hint="eastAsia" w:ascii="华康简标题宋" w:eastAsia="华康简标题宋"/>
          <w:b/>
          <w:bCs/>
          <w:color w:val="auto"/>
          <w:sz w:val="84"/>
        </w:rPr>
        <w:t xml:space="preserve">文 </w:t>
      </w:r>
      <w:r>
        <w:rPr>
          <w:rFonts w:ascii="华康简标题宋" w:eastAsia="华康简标题宋"/>
          <w:b/>
          <w:bCs/>
          <w:color w:val="auto"/>
          <w:sz w:val="84"/>
        </w:rPr>
        <w:t xml:space="preserve"> </w:t>
      </w:r>
      <w:r>
        <w:rPr>
          <w:rFonts w:hint="eastAsia" w:ascii="华康简标题宋" w:eastAsia="华康简标题宋"/>
          <w:b/>
          <w:bCs/>
          <w:color w:val="auto"/>
          <w:sz w:val="84"/>
        </w:rPr>
        <w:t>件</w:t>
      </w:r>
    </w:p>
    <w:p>
      <w:pPr>
        <w:rPr>
          <w:rFonts w:hint="eastAsia" w:ascii="黑体" w:eastAsia="黑体"/>
          <w:color w:val="auto"/>
          <w:sz w:val="52"/>
          <w:szCs w:val="52"/>
        </w:rPr>
      </w:pPr>
    </w:p>
    <w:p>
      <w:pPr>
        <w:jc w:val="center"/>
        <w:rPr>
          <w:rFonts w:hint="eastAsia" w:ascii="华康简标题宋" w:hAnsi="华文中宋" w:eastAsia="华康简标题宋"/>
          <w:b/>
          <w:color w:val="auto"/>
          <w:sz w:val="48"/>
        </w:rPr>
      </w:pPr>
      <w:r>
        <w:rPr>
          <w:rFonts w:hint="eastAsia" w:ascii="华康简标题宋" w:hAnsi="华文中宋" w:eastAsia="华康简标题宋"/>
          <w:b/>
          <w:color w:val="auto"/>
          <w:sz w:val="48"/>
        </w:rPr>
        <w:t>东莞市民服务中心三期</w:t>
      </w:r>
    </w:p>
    <w:p>
      <w:pPr>
        <w:jc w:val="center"/>
        <w:rPr>
          <w:rFonts w:hint="default" w:ascii="华康简标题宋" w:hAnsi="华文中宋" w:eastAsia="华康简标题宋"/>
          <w:b/>
          <w:color w:val="auto"/>
          <w:sz w:val="48"/>
          <w:lang w:val="en-US" w:eastAsia="zh-CN"/>
        </w:rPr>
      </w:pPr>
      <w:r>
        <w:rPr>
          <w:rFonts w:hint="eastAsia" w:ascii="华康简标题宋" w:hAnsi="华文中宋" w:eastAsia="华康简标题宋"/>
          <w:b/>
          <w:color w:val="auto"/>
          <w:sz w:val="48"/>
          <w:lang w:val="en-US" w:eastAsia="zh-CN"/>
        </w:rPr>
        <w:t>智能化</w:t>
      </w:r>
      <w:r>
        <w:rPr>
          <w:rFonts w:hint="eastAsia" w:ascii="华康简标题宋" w:hAnsi="华文中宋" w:eastAsia="华康简标题宋" w:cs="Times New Roman"/>
          <w:b/>
          <w:color w:val="auto"/>
          <w:sz w:val="48"/>
          <w:lang w:val="en-US" w:eastAsia="zh-CN"/>
        </w:rPr>
        <w:t>网络工程</w:t>
      </w:r>
      <w:r>
        <w:rPr>
          <w:rFonts w:hint="eastAsia" w:ascii="华康简标题宋" w:hAnsi="华文中宋" w:eastAsia="华康简标题宋"/>
          <w:b/>
          <w:color w:val="auto"/>
          <w:sz w:val="48"/>
          <w:lang w:val="en-US" w:eastAsia="zh-CN"/>
        </w:rPr>
        <w:t>工程</w:t>
      </w:r>
    </w:p>
    <w:p>
      <w:pPr>
        <w:jc w:val="center"/>
        <w:rPr>
          <w:rFonts w:hint="eastAsia" w:ascii="华康简标题宋" w:hAnsi="华文中宋" w:eastAsia="华康简标题宋"/>
          <w:b/>
          <w:color w:val="auto"/>
          <w:sz w:val="48"/>
        </w:rPr>
      </w:pPr>
    </w:p>
    <w:p>
      <w:pPr>
        <w:jc w:val="center"/>
        <w:rPr>
          <w:rFonts w:ascii="仿宋_GB2312" w:hAnsi="宋体" w:eastAsia="仿宋_GB2312"/>
          <w:bCs/>
          <w:color w:val="auto"/>
          <w:sz w:val="32"/>
          <w:u w:val="single"/>
        </w:rPr>
      </w:pPr>
      <w:r>
        <w:rPr>
          <w:rFonts w:hint="eastAsia" w:ascii="仿宋_GB2312" w:hAnsi="宋体" w:eastAsia="仿宋_GB2312"/>
          <w:bCs/>
          <w:color w:val="auto"/>
          <w:sz w:val="32"/>
        </w:rPr>
        <w:t>项目编号：</w:t>
      </w:r>
      <w:r>
        <w:rPr>
          <w:rFonts w:hint="eastAsia" w:ascii="仿宋_GB2312" w:hAnsi="宋体" w:eastAsia="仿宋_GB2312"/>
          <w:bCs/>
          <w:color w:val="auto"/>
          <w:sz w:val="32"/>
          <w:u w:val="single"/>
        </w:rPr>
        <w:t xml:space="preserve"> ZBCG-202</w:t>
      </w:r>
      <w:r>
        <w:rPr>
          <w:rFonts w:hint="eastAsia" w:ascii="仿宋_GB2312" w:hAnsi="宋体" w:eastAsia="仿宋_GB2312"/>
          <w:bCs/>
          <w:color w:val="auto"/>
          <w:sz w:val="32"/>
          <w:u w:val="single"/>
          <w:lang w:val="en-US" w:eastAsia="zh-CN"/>
        </w:rPr>
        <w:t>3</w:t>
      </w:r>
      <w:r>
        <w:rPr>
          <w:rFonts w:hint="eastAsia" w:ascii="仿宋_GB2312" w:hAnsi="宋体" w:eastAsia="仿宋_GB2312"/>
          <w:bCs/>
          <w:color w:val="auto"/>
          <w:sz w:val="32"/>
          <w:u w:val="single"/>
        </w:rPr>
        <w:t>-</w:t>
      </w:r>
      <w:r>
        <w:rPr>
          <w:rFonts w:hint="eastAsia" w:ascii="仿宋_GB2312" w:hAnsi="宋体" w:eastAsia="仿宋_GB2312"/>
          <w:bCs/>
          <w:color w:val="auto"/>
          <w:sz w:val="32"/>
          <w:u w:val="single"/>
          <w:lang w:val="en-US" w:eastAsia="zh-CN"/>
        </w:rPr>
        <w:t xml:space="preserve">25  </w:t>
      </w:r>
    </w:p>
    <w:p>
      <w:pPr>
        <w:rPr>
          <w:rFonts w:hint="eastAsia" w:ascii="黑体" w:eastAsia="黑体"/>
          <w:color w:val="auto"/>
          <w:sz w:val="36"/>
          <w:szCs w:val="36"/>
        </w:rPr>
      </w:pPr>
      <w:r>
        <w:rPr>
          <w:rFonts w:hint="eastAsia" w:ascii="黑体" w:eastAsia="黑体"/>
          <w:color w:val="auto"/>
          <w:sz w:val="36"/>
          <w:szCs w:val="36"/>
        </w:rPr>
        <w:t xml:space="preserve"> </w:t>
      </w:r>
    </w:p>
    <w:p>
      <w:pPr>
        <w:spacing w:line="360" w:lineRule="auto"/>
        <w:jc w:val="center"/>
        <w:rPr>
          <w:rFonts w:hint="eastAsia"/>
          <w:color w:val="auto"/>
        </w:rPr>
      </w:pPr>
      <w:r>
        <w:rPr>
          <w:color w:val="auto"/>
        </w:rPr>
        <w:drawing>
          <wp:inline distT="0" distB="0" distL="114300" distR="114300">
            <wp:extent cx="1612900" cy="1616710"/>
            <wp:effectExtent l="0" t="0" r="6350" b="2540"/>
            <wp:docPr id="1" name="图片 1" descr="莞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莞建标志"/>
                    <pic:cNvPicPr>
                      <a:picLocks noChangeAspect="1"/>
                    </pic:cNvPicPr>
                  </pic:nvPicPr>
                  <pic:blipFill>
                    <a:blip r:embed="rId5"/>
                    <a:stretch>
                      <a:fillRect/>
                    </a:stretch>
                  </pic:blipFill>
                  <pic:spPr>
                    <a:xfrm>
                      <a:off x="0" y="0"/>
                      <a:ext cx="1612900" cy="1616710"/>
                    </a:xfrm>
                    <a:prstGeom prst="rect">
                      <a:avLst/>
                    </a:prstGeom>
                    <a:noFill/>
                    <a:ln>
                      <a:noFill/>
                    </a:ln>
                  </pic:spPr>
                </pic:pic>
              </a:graphicData>
            </a:graphic>
          </wp:inline>
        </w:drawing>
      </w: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jc w:val="center"/>
        <w:rPr>
          <w:rFonts w:hint="eastAsia" w:ascii="仿宋_GB2312" w:hAnsi="宋体" w:eastAsia="仿宋_GB2312"/>
          <w:bCs/>
          <w:color w:val="auto"/>
          <w:sz w:val="32"/>
        </w:rPr>
      </w:pPr>
      <w:r>
        <w:rPr>
          <w:rFonts w:hint="eastAsia" w:ascii="仿宋_GB2312" w:hAnsi="宋体" w:eastAsia="仿宋_GB2312"/>
          <w:bCs/>
          <w:color w:val="auto"/>
          <w:sz w:val="32"/>
        </w:rPr>
        <w:t>东莞市莞城建筑工程有限公司</w:t>
      </w:r>
    </w:p>
    <w:p>
      <w:pPr>
        <w:spacing w:line="360" w:lineRule="auto"/>
        <w:ind w:left="538"/>
        <w:jc w:val="center"/>
        <w:rPr>
          <w:rFonts w:hint="eastAsia" w:eastAsia="黑体"/>
          <w:b/>
          <w:bCs/>
          <w:color w:val="auto"/>
          <w:sz w:val="32"/>
        </w:rPr>
      </w:pPr>
      <w:r>
        <w:rPr>
          <w:rFonts w:hint="eastAsia" w:ascii="仿宋_GB2312" w:hAnsi="宋体" w:eastAsia="仿宋_GB2312"/>
          <w:bCs/>
          <w:color w:val="auto"/>
          <w:sz w:val="32"/>
        </w:rPr>
        <w:t>202</w:t>
      </w:r>
      <w:r>
        <w:rPr>
          <w:rFonts w:hint="eastAsia" w:ascii="仿宋_GB2312" w:hAnsi="宋体" w:eastAsia="仿宋_GB2312"/>
          <w:bCs/>
          <w:color w:val="auto"/>
          <w:sz w:val="32"/>
          <w:lang w:val="en-US" w:eastAsia="zh-CN"/>
        </w:rPr>
        <w:t>3</w:t>
      </w:r>
      <w:r>
        <w:rPr>
          <w:rFonts w:hint="eastAsia" w:ascii="仿宋_GB2312" w:hAnsi="宋体" w:eastAsia="仿宋_GB2312"/>
          <w:bCs/>
          <w:color w:val="auto"/>
          <w:sz w:val="32"/>
        </w:rPr>
        <w:t>年</w:t>
      </w:r>
      <w:r>
        <w:rPr>
          <w:rFonts w:hint="eastAsia" w:ascii="仿宋_GB2312" w:hAnsi="宋体" w:eastAsia="仿宋_GB2312"/>
          <w:bCs/>
          <w:color w:val="auto"/>
          <w:sz w:val="32"/>
          <w:lang w:val="en-US" w:eastAsia="zh-CN"/>
        </w:rPr>
        <w:t>2</w:t>
      </w:r>
      <w:r>
        <w:rPr>
          <w:rFonts w:hint="eastAsia" w:ascii="仿宋_GB2312" w:hAnsi="宋体" w:eastAsia="仿宋_GB2312"/>
          <w:bCs/>
          <w:color w:val="auto"/>
          <w:sz w:val="32"/>
        </w:rPr>
        <w:t>月</w:t>
      </w:r>
    </w:p>
    <w:p>
      <w:pPr>
        <w:jc w:val="center"/>
        <w:rPr>
          <w:rFonts w:eastAsia="黑体"/>
          <w:b/>
          <w:bCs/>
          <w:color w:val="auto"/>
          <w:sz w:val="32"/>
        </w:rPr>
        <w:sectPr>
          <w:footerReference r:id="rId3" w:type="default"/>
          <w:pgSz w:w="11906" w:h="16838"/>
          <w:pgMar w:top="1134" w:right="1418" w:bottom="1134" w:left="1418" w:header="851" w:footer="992" w:gutter="0"/>
          <w:cols w:space="720" w:num="1"/>
          <w:docGrid w:type="lines" w:linePitch="312" w:charSpace="0"/>
        </w:sectPr>
      </w:pPr>
    </w:p>
    <w:p>
      <w:pPr>
        <w:jc w:val="center"/>
        <w:rPr>
          <w:rFonts w:hint="eastAsia" w:eastAsia="黑体"/>
          <w:b/>
          <w:bCs/>
          <w:color w:val="auto"/>
          <w:sz w:val="32"/>
        </w:rPr>
      </w:pPr>
      <w:bookmarkStart w:id="0" w:name="_GoBack"/>
      <w:bookmarkEnd w:id="0"/>
      <w:r>
        <w:rPr>
          <w:rFonts w:hint="eastAsia" w:eastAsia="黑体"/>
          <w:b/>
          <w:bCs/>
          <w:color w:val="auto"/>
          <w:sz w:val="32"/>
        </w:rPr>
        <w:t>采购公告</w:t>
      </w:r>
    </w:p>
    <w:p>
      <w:pPr>
        <w:widowControl/>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至：投标人</w:t>
      </w:r>
    </w:p>
    <w:p>
      <w:pPr>
        <w:widowControl/>
        <w:snapToGrid w:val="0"/>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东莞市莞城建筑工程有限公司就</w:t>
      </w:r>
      <w:r>
        <w:rPr>
          <w:rFonts w:hint="eastAsia" w:ascii="宋体" w:hAnsi="宋体" w:eastAsia="宋体" w:cs="宋体"/>
          <w:color w:val="auto"/>
          <w:kern w:val="0"/>
          <w:sz w:val="24"/>
          <w:szCs w:val="24"/>
          <w:u w:val="single"/>
        </w:rPr>
        <w:t>东莞市民服务中心三期-</w:t>
      </w:r>
      <w:r>
        <w:rPr>
          <w:rFonts w:hint="eastAsia" w:ascii="宋体" w:hAnsi="宋体" w:eastAsia="宋体" w:cs="宋体"/>
          <w:color w:val="auto"/>
          <w:kern w:val="0"/>
          <w:sz w:val="24"/>
          <w:szCs w:val="24"/>
          <w:u w:val="single"/>
          <w:lang w:val="en-US" w:eastAsia="zh-CN"/>
        </w:rPr>
        <w:t xml:space="preserve">智能化网络工程 </w:t>
      </w:r>
      <w:r>
        <w:rPr>
          <w:rFonts w:hint="eastAsia" w:ascii="宋体" w:hAnsi="宋体" w:eastAsia="宋体" w:cs="宋体"/>
          <w:color w:val="auto"/>
          <w:kern w:val="0"/>
          <w:sz w:val="24"/>
          <w:szCs w:val="24"/>
        </w:rPr>
        <w:t>进行</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公开采购 </w:t>
      </w:r>
      <w:r>
        <w:rPr>
          <w:rFonts w:hint="eastAsia" w:ascii="宋体" w:hAnsi="宋体" w:eastAsia="宋体" w:cs="宋体"/>
          <w:color w:val="auto"/>
          <w:kern w:val="0"/>
          <w:sz w:val="24"/>
          <w:szCs w:val="24"/>
        </w:rPr>
        <w:t>现将有关事项说明如下：</w:t>
      </w:r>
    </w:p>
    <w:p>
      <w:pPr>
        <w:widowControl/>
        <w:snapToGrid w:val="0"/>
        <w:spacing w:line="360" w:lineRule="auto"/>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一、项目名称：</w:t>
      </w:r>
      <w:r>
        <w:rPr>
          <w:rFonts w:hint="eastAsia" w:ascii="宋体" w:hAnsi="宋体" w:eastAsia="宋体" w:cs="宋体"/>
          <w:color w:val="auto"/>
          <w:kern w:val="0"/>
          <w:sz w:val="24"/>
          <w:szCs w:val="24"/>
          <w:u w:val="single"/>
        </w:rPr>
        <w:t xml:space="preserve">  东莞市民服务中心三期-</w:t>
      </w:r>
      <w:r>
        <w:rPr>
          <w:rFonts w:hint="eastAsia" w:ascii="宋体" w:hAnsi="宋体" w:eastAsia="宋体" w:cs="宋体"/>
          <w:color w:val="auto"/>
          <w:kern w:val="0"/>
          <w:sz w:val="24"/>
          <w:szCs w:val="24"/>
          <w:u w:val="single"/>
          <w:lang w:val="en-US" w:eastAsia="zh-CN"/>
        </w:rPr>
        <w:t>智能化网络工程</w:t>
      </w:r>
      <w:r>
        <w:rPr>
          <w:rFonts w:hint="eastAsia" w:ascii="宋体" w:hAnsi="宋体" w:eastAsia="宋体" w:cs="宋体"/>
          <w:color w:val="auto"/>
          <w:kern w:val="0"/>
          <w:sz w:val="24"/>
          <w:szCs w:val="24"/>
          <w:u w:val="single"/>
        </w:rPr>
        <w:t xml:space="preserve"> </w:t>
      </w:r>
    </w:p>
    <w:p>
      <w:pPr>
        <w:widowControl/>
        <w:snapToGrid w:val="0"/>
        <w:spacing w:line="360" w:lineRule="auto"/>
        <w:ind w:firstLine="600" w:firstLineChars="25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二、项目编号：</w:t>
      </w:r>
      <w:r>
        <w:rPr>
          <w:rFonts w:hint="eastAsia" w:ascii="宋体" w:hAnsi="宋体" w:eastAsia="宋体" w:cs="宋体"/>
          <w:color w:val="auto"/>
          <w:kern w:val="0"/>
          <w:sz w:val="24"/>
          <w:szCs w:val="24"/>
          <w:u w:val="single"/>
        </w:rPr>
        <w:t xml:space="preserve">         ZBCG-202</w:t>
      </w:r>
      <w:r>
        <w:rPr>
          <w:rFonts w:hint="eastAsia" w:ascii="宋体" w:hAnsi="宋体" w:eastAsia="宋体" w:cs="宋体"/>
          <w:color w:val="auto"/>
          <w:kern w:val="0"/>
          <w:sz w:val="24"/>
          <w:szCs w:val="24"/>
          <w:u w:val="single"/>
          <w:lang w:val="en-US" w:eastAsia="zh-CN"/>
        </w:rPr>
        <w:t>3</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 xml:space="preserve">25  </w:t>
      </w:r>
      <w:r>
        <w:rPr>
          <w:rFonts w:hint="eastAsia" w:ascii="宋体" w:hAnsi="宋体" w:eastAsia="宋体" w:cs="宋体"/>
          <w:color w:val="auto"/>
          <w:kern w:val="0"/>
          <w:sz w:val="24"/>
          <w:szCs w:val="24"/>
          <w:u w:val="single"/>
        </w:rPr>
        <w:t xml:space="preserve">         </w:t>
      </w:r>
    </w:p>
    <w:p>
      <w:pPr>
        <w:widowControl/>
        <w:snapToGrid w:val="0"/>
        <w:spacing w:line="360" w:lineRule="auto"/>
        <w:ind w:firstLine="600" w:firstLineChars="25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三、工程地点：</w:t>
      </w:r>
      <w:r>
        <w:rPr>
          <w:rFonts w:hint="eastAsia" w:ascii="宋体" w:hAnsi="宋体" w:eastAsia="宋体" w:cs="宋体"/>
          <w:color w:val="auto"/>
          <w:kern w:val="0"/>
          <w:sz w:val="24"/>
          <w:szCs w:val="24"/>
          <w:u w:val="single"/>
        </w:rPr>
        <w:t xml:space="preserve">       东莞市南城</w:t>
      </w:r>
      <w:r>
        <w:rPr>
          <w:rFonts w:hint="eastAsia" w:ascii="宋体" w:hAnsi="宋体" w:eastAsia="宋体" w:cs="宋体"/>
          <w:color w:val="auto"/>
          <w:kern w:val="0"/>
          <w:sz w:val="24"/>
          <w:szCs w:val="24"/>
          <w:u w:val="single"/>
          <w:lang w:val="en-US" w:eastAsia="zh-CN"/>
        </w:rPr>
        <w:t>街道</w:t>
      </w:r>
      <w:r>
        <w:rPr>
          <w:rFonts w:hint="eastAsia" w:ascii="宋体" w:hAnsi="宋体" w:eastAsia="宋体" w:cs="宋体"/>
          <w:color w:val="auto"/>
          <w:kern w:val="0"/>
          <w:sz w:val="24"/>
          <w:szCs w:val="24"/>
          <w:u w:val="single"/>
        </w:rPr>
        <w:t xml:space="preserve">           </w:t>
      </w:r>
    </w:p>
    <w:p>
      <w:pPr>
        <w:widowControl/>
        <w:snapToGrid w:val="0"/>
        <w:spacing w:line="360" w:lineRule="auto"/>
        <w:ind w:firstLine="600" w:firstLineChars="250"/>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rPr>
        <w:t>四、本项目</w:t>
      </w:r>
      <w:r>
        <w:rPr>
          <w:rFonts w:hint="eastAsia" w:ascii="宋体" w:hAnsi="宋体" w:eastAsia="宋体" w:cs="宋体"/>
          <w:color w:val="auto"/>
          <w:kern w:val="0"/>
          <w:sz w:val="24"/>
          <w:szCs w:val="24"/>
          <w:lang w:val="en-US" w:eastAsia="zh-CN"/>
        </w:rPr>
        <w:t>采购控制价为</w:t>
      </w:r>
      <w:r>
        <w:rPr>
          <w:rFonts w:hint="eastAsia" w:ascii="宋体" w:hAnsi="宋体" w:eastAsia="宋体" w:cs="宋体"/>
          <w:color w:val="auto"/>
          <w:kern w:val="0"/>
          <w:sz w:val="24"/>
          <w:szCs w:val="24"/>
          <w:u w:val="single"/>
          <w:lang w:val="en-US" w:eastAsia="zh-CN"/>
        </w:rPr>
        <w:t>¥4,817,682.74</w:t>
      </w:r>
      <w:r>
        <w:rPr>
          <w:rFonts w:hint="eastAsia" w:ascii="宋体" w:hAnsi="宋体" w:eastAsia="宋体" w:cs="宋体"/>
          <w:color w:val="auto"/>
          <w:kern w:val="0"/>
          <w:sz w:val="24"/>
          <w:szCs w:val="24"/>
          <w:lang w:val="en-US" w:eastAsia="zh-CN"/>
        </w:rPr>
        <w:t>元（含税9%），（大写）</w:t>
      </w:r>
      <w:r>
        <w:rPr>
          <w:rFonts w:hint="eastAsia" w:ascii="宋体" w:hAnsi="宋体" w:eastAsia="宋体" w:cs="宋体"/>
          <w:color w:val="auto"/>
          <w:kern w:val="0"/>
          <w:sz w:val="24"/>
          <w:szCs w:val="24"/>
          <w:u w:val="single"/>
          <w:lang w:val="en-US" w:eastAsia="zh-CN"/>
        </w:rPr>
        <w:t>肆佰捌拾壹万柒仟陆佰捌拾贰元柒角肆分</w:t>
      </w:r>
      <w:r>
        <w:rPr>
          <w:rFonts w:hint="eastAsia" w:ascii="宋体" w:hAnsi="宋体" w:eastAsia="宋体" w:cs="宋体"/>
          <w:color w:val="auto"/>
          <w:kern w:val="0"/>
          <w:sz w:val="24"/>
          <w:szCs w:val="24"/>
          <w:lang w:val="en-US" w:eastAsia="zh-CN"/>
        </w:rPr>
        <w:t>，其中暂列金额为</w:t>
      </w:r>
      <w:r>
        <w:rPr>
          <w:rFonts w:hint="eastAsia" w:ascii="宋体" w:hAnsi="宋体" w:eastAsia="宋体" w:cs="宋体"/>
          <w:color w:val="auto"/>
          <w:kern w:val="0"/>
          <w:sz w:val="24"/>
          <w:szCs w:val="24"/>
          <w:u w:val="single"/>
          <w:lang w:val="en-US" w:eastAsia="zh-CN"/>
        </w:rPr>
        <w:t xml:space="preserve">¥428,816.93 </w:t>
      </w:r>
      <w:r>
        <w:rPr>
          <w:rFonts w:hint="eastAsia" w:ascii="宋体" w:hAnsi="宋体" w:eastAsia="宋体" w:cs="宋体"/>
          <w:color w:val="auto"/>
          <w:kern w:val="0"/>
          <w:sz w:val="24"/>
          <w:szCs w:val="24"/>
          <w:lang w:val="en-US" w:eastAsia="zh-CN"/>
        </w:rPr>
        <w:t>元（含税9%），（大写）</w:t>
      </w:r>
      <w:r>
        <w:rPr>
          <w:rFonts w:hint="eastAsia" w:ascii="宋体" w:hAnsi="宋体" w:eastAsia="宋体" w:cs="宋体"/>
          <w:color w:val="auto"/>
          <w:kern w:val="0"/>
          <w:sz w:val="24"/>
          <w:szCs w:val="24"/>
          <w:u w:val="single"/>
          <w:lang w:val="en-US" w:eastAsia="zh-CN"/>
        </w:rPr>
        <w:t>肆拾贰万捌仟捌佰壹拾陆元玖角叁分</w:t>
      </w:r>
      <w:r>
        <w:rPr>
          <w:rFonts w:hint="eastAsia" w:ascii="宋体" w:hAnsi="宋体" w:eastAsia="宋体" w:cs="宋体"/>
          <w:color w:val="auto"/>
          <w:kern w:val="0"/>
          <w:sz w:val="24"/>
          <w:szCs w:val="24"/>
          <w:lang w:val="en-US" w:eastAsia="zh-CN"/>
        </w:rPr>
        <w:t>，暂列金额为固定值，不参与下浮，投标人按采购人提供的固定值填报</w:t>
      </w:r>
      <w:r>
        <w:rPr>
          <w:rFonts w:hint="eastAsia" w:ascii="宋体" w:hAnsi="宋体" w:eastAsia="宋体" w:cs="宋体"/>
          <w:color w:val="auto"/>
          <w:kern w:val="0"/>
          <w:sz w:val="24"/>
          <w:szCs w:val="24"/>
          <w:u w:val="none"/>
          <w:lang w:val="en-US" w:eastAsia="zh-CN"/>
        </w:rPr>
        <w:t>；</w:t>
      </w:r>
    </w:p>
    <w:p>
      <w:pPr>
        <w:widowControl/>
        <w:snapToGrid w:val="0"/>
        <w:spacing w:line="360" w:lineRule="auto"/>
        <w:ind w:firstLine="600" w:firstLineChars="250"/>
        <w:rPr>
          <w:rFonts w:hint="default" w:ascii="宋体" w:hAnsi="宋体" w:eastAsia="宋体" w:cs="宋体"/>
          <w:color w:val="auto"/>
          <w:kern w:val="0"/>
          <w:sz w:val="24"/>
          <w:szCs w:val="24"/>
          <w:u w:val="single"/>
          <w:lang w:val="en-US" w:eastAsia="zh-CN"/>
        </w:rPr>
      </w:pPr>
      <w:r>
        <w:rPr>
          <w:rFonts w:hint="eastAsia" w:ascii="宋体" w:hAnsi="宋体" w:eastAsia="宋体" w:cs="宋体"/>
          <w:sz w:val="24"/>
          <w:szCs w:val="24"/>
          <w:lang w:val="en-US" w:eastAsia="zh-CN"/>
        </w:rPr>
        <w:t>参考《2022年东莞市房屋建筑和市政基础设施工程施工公开招标投标中标价情况分析》中2022年智能化工程下浮率19.27%的一半，即</w:t>
      </w:r>
      <w:r>
        <w:rPr>
          <w:rFonts w:hint="eastAsia" w:ascii="宋体" w:hAnsi="宋体" w:eastAsia="宋体" w:cs="宋体"/>
          <w:color w:val="auto"/>
          <w:kern w:val="0"/>
          <w:sz w:val="24"/>
          <w:szCs w:val="24"/>
          <w:u w:val="none"/>
          <w:lang w:val="en-US" w:eastAsia="zh-CN"/>
        </w:rPr>
        <w:t>本项目采购限价下浮率为</w:t>
      </w:r>
      <w:r>
        <w:rPr>
          <w:rFonts w:hint="eastAsia" w:ascii="宋体" w:hAnsi="宋体" w:eastAsia="宋体" w:cs="宋体"/>
          <w:color w:val="auto"/>
          <w:kern w:val="0"/>
          <w:sz w:val="24"/>
          <w:szCs w:val="24"/>
          <w:u w:val="single"/>
          <w:lang w:val="en-US" w:eastAsia="zh-CN"/>
        </w:rPr>
        <w:t>9.635%</w:t>
      </w:r>
      <w:r>
        <w:rPr>
          <w:rFonts w:hint="eastAsia" w:ascii="宋体" w:hAnsi="宋体" w:eastAsia="宋体" w:cs="宋体"/>
          <w:color w:val="auto"/>
          <w:kern w:val="0"/>
          <w:sz w:val="24"/>
          <w:szCs w:val="24"/>
          <w:u w:val="none"/>
          <w:lang w:val="en-US" w:eastAsia="zh-CN"/>
        </w:rPr>
        <w:t>，即</w:t>
      </w:r>
      <w:r>
        <w:rPr>
          <w:rFonts w:hint="eastAsia" w:ascii="宋体" w:hAnsi="宋体" w:eastAsia="宋体" w:cs="宋体"/>
          <w:b/>
          <w:bCs/>
          <w:color w:val="auto"/>
          <w:kern w:val="0"/>
          <w:sz w:val="24"/>
          <w:szCs w:val="24"/>
          <w:u w:val="none"/>
          <w:lang w:val="en-US" w:eastAsia="zh-CN"/>
        </w:rPr>
        <w:t>采购限价</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含税9%</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为</w:t>
      </w:r>
      <w:r>
        <w:rPr>
          <w:rFonts w:hint="eastAsia" w:ascii="宋体" w:hAnsi="宋体" w:eastAsia="宋体" w:cs="宋体"/>
          <w:color w:val="auto"/>
          <w:kern w:val="0"/>
          <w:sz w:val="24"/>
          <w:szCs w:val="24"/>
          <w:u w:val="single"/>
          <w:lang w:val="en-US" w:eastAsia="zh-CN"/>
        </w:rPr>
        <w:t>¥4,394,815.52</w:t>
      </w:r>
      <w:r>
        <w:rPr>
          <w:rFonts w:hint="eastAsia" w:ascii="宋体" w:hAnsi="宋体" w:eastAsia="宋体" w:cs="宋体"/>
          <w:color w:val="auto"/>
          <w:kern w:val="0"/>
          <w:sz w:val="24"/>
          <w:szCs w:val="24"/>
          <w:lang w:val="en-US" w:eastAsia="zh-CN"/>
        </w:rPr>
        <w:t>元，（大写）</w:t>
      </w:r>
      <w:r>
        <w:rPr>
          <w:rFonts w:hint="eastAsia" w:ascii="宋体" w:hAnsi="宋体" w:eastAsia="宋体" w:cs="宋体"/>
          <w:color w:val="auto"/>
          <w:kern w:val="0"/>
          <w:sz w:val="24"/>
          <w:szCs w:val="24"/>
          <w:u w:val="single"/>
          <w:lang w:val="en-US" w:eastAsia="zh-CN"/>
        </w:rPr>
        <w:t>肆佰叁拾玖万肆仟捌佰壹拾伍元伍角贰分；其中本次采购竞价部分工程费用为¥3,965,998.59元（含税9%），暂列金额为¥428,816.93元（含税9%）不竞价，响应人按固定值填表。</w:t>
      </w:r>
    </w:p>
    <w:p>
      <w:pPr>
        <w:widowControl/>
        <w:tabs>
          <w:tab w:val="left" w:pos="361"/>
        </w:tabs>
        <w:snapToGrid w:val="0"/>
        <w:spacing w:line="360" w:lineRule="auto"/>
        <w:ind w:firstLine="480" w:firstLineChars="200"/>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五、工程概况：</w:t>
      </w:r>
      <w:r>
        <w:rPr>
          <w:rFonts w:hint="eastAsia" w:ascii="宋体" w:hAnsi="宋体" w:eastAsia="宋体" w:cs="宋体"/>
          <w:color w:val="auto"/>
          <w:sz w:val="24"/>
          <w:szCs w:val="24"/>
          <w:u w:val="single"/>
        </w:rPr>
        <w:t>本工程地上建筑</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栋，其中地上</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层，</w:t>
      </w:r>
      <w:r>
        <w:rPr>
          <w:rFonts w:hint="eastAsia" w:ascii="宋体" w:hAnsi="宋体" w:eastAsia="宋体" w:cs="宋体"/>
          <w:color w:val="auto"/>
          <w:sz w:val="24"/>
          <w:szCs w:val="24"/>
          <w:u w:val="single"/>
          <w:lang w:val="en-US" w:eastAsia="zh-CN"/>
        </w:rPr>
        <w:t>地下室一层</w:t>
      </w:r>
      <w:r>
        <w:rPr>
          <w:rFonts w:hint="eastAsia" w:ascii="宋体" w:hAnsi="宋体" w:eastAsia="宋体" w:cs="宋体"/>
          <w:color w:val="auto"/>
          <w:sz w:val="24"/>
          <w:szCs w:val="24"/>
          <w:u w:val="single"/>
        </w:rPr>
        <w:t>。总建筑面积为</w:t>
      </w:r>
      <w:r>
        <w:rPr>
          <w:rFonts w:hint="eastAsia" w:ascii="宋体" w:hAnsi="宋体" w:eastAsia="宋体" w:cs="宋体"/>
          <w:color w:val="auto"/>
          <w:sz w:val="24"/>
          <w:szCs w:val="24"/>
          <w:u w:val="single"/>
          <w:lang w:val="en-US" w:eastAsia="zh-CN"/>
        </w:rPr>
        <w:t>56345</w:t>
      </w:r>
      <w:r>
        <w:rPr>
          <w:rFonts w:hint="eastAsia" w:ascii="宋体" w:hAnsi="宋体" w:eastAsia="宋体" w:cs="宋体"/>
          <w:color w:val="auto"/>
          <w:sz w:val="24"/>
          <w:szCs w:val="24"/>
          <w:u w:val="single"/>
        </w:rPr>
        <w:t>平方米，基坑面积为1</w:t>
      </w:r>
      <w:r>
        <w:rPr>
          <w:rFonts w:hint="eastAsia" w:ascii="宋体" w:hAnsi="宋体" w:eastAsia="宋体" w:cs="宋体"/>
          <w:color w:val="auto"/>
          <w:sz w:val="24"/>
          <w:szCs w:val="24"/>
          <w:u w:val="single"/>
          <w:lang w:val="en-US" w:eastAsia="zh-CN"/>
        </w:rPr>
        <w:t>9470</w:t>
      </w:r>
      <w:r>
        <w:rPr>
          <w:rFonts w:hint="eastAsia" w:ascii="宋体" w:hAnsi="宋体" w:eastAsia="宋体" w:cs="宋体"/>
          <w:color w:val="auto"/>
          <w:sz w:val="24"/>
          <w:szCs w:val="24"/>
          <w:u w:val="single"/>
        </w:rPr>
        <w:t>平方米。</w:t>
      </w:r>
      <w:r>
        <w:rPr>
          <w:rFonts w:hint="eastAsia" w:ascii="宋体" w:hAnsi="宋体" w:eastAsia="宋体" w:cs="宋体"/>
          <w:color w:val="auto"/>
          <w:sz w:val="24"/>
          <w:szCs w:val="24"/>
          <w:u w:val="single"/>
          <w:lang w:val="en-US" w:eastAsia="zh-CN"/>
        </w:rPr>
        <w:t>东</w:t>
      </w:r>
      <w:r>
        <w:rPr>
          <w:rFonts w:hint="eastAsia" w:ascii="宋体" w:hAnsi="宋体" w:eastAsia="宋体" w:cs="宋体"/>
          <w:color w:val="auto"/>
          <w:sz w:val="24"/>
          <w:szCs w:val="24"/>
          <w:u w:val="single"/>
        </w:rPr>
        <w:t>莞市民服务中心三期</w:t>
      </w:r>
      <w:r>
        <w:rPr>
          <w:rFonts w:hint="eastAsia" w:ascii="宋体" w:hAnsi="宋体" w:eastAsia="宋体" w:cs="宋体"/>
          <w:color w:val="auto"/>
          <w:sz w:val="24"/>
          <w:szCs w:val="24"/>
          <w:u w:val="none"/>
        </w:rPr>
        <w:t>-1_6号</w:t>
      </w:r>
      <w:r>
        <w:rPr>
          <w:rFonts w:hint="eastAsia" w:ascii="宋体" w:hAnsi="宋体" w:eastAsia="宋体" w:cs="宋体"/>
          <w:color w:val="auto"/>
          <w:sz w:val="24"/>
          <w:szCs w:val="24"/>
          <w:u w:val="single"/>
        </w:rPr>
        <w:t>商业、文娱楼</w:t>
      </w:r>
      <w:r>
        <w:rPr>
          <w:rFonts w:hint="eastAsia" w:ascii="宋体" w:hAnsi="宋体" w:eastAsia="宋体" w:cs="宋体"/>
          <w:color w:val="auto"/>
          <w:sz w:val="24"/>
          <w:szCs w:val="24"/>
          <w:u w:val="single"/>
          <w:lang w:val="en-US" w:eastAsia="zh-CN"/>
        </w:rPr>
        <w:t>建筑面积各29903.18平方米，建筑高度22.3米，最大跨度19.2米；</w:t>
      </w:r>
      <w:r>
        <w:rPr>
          <w:rFonts w:hint="eastAsia" w:ascii="宋体" w:hAnsi="宋体" w:eastAsia="宋体" w:cs="宋体"/>
          <w:color w:val="auto"/>
          <w:sz w:val="24"/>
          <w:szCs w:val="24"/>
          <w:u w:val="none"/>
        </w:rPr>
        <w:t>7号</w:t>
      </w:r>
      <w:r>
        <w:rPr>
          <w:rFonts w:hint="eastAsia" w:ascii="宋体" w:hAnsi="宋体" w:eastAsia="宋体" w:cs="宋体"/>
          <w:color w:val="auto"/>
          <w:sz w:val="24"/>
          <w:szCs w:val="24"/>
          <w:u w:val="single"/>
        </w:rPr>
        <w:t>商业、文娱楼</w:t>
      </w:r>
      <w:r>
        <w:rPr>
          <w:rFonts w:hint="eastAsia" w:ascii="宋体" w:hAnsi="宋体" w:eastAsia="宋体" w:cs="宋体"/>
          <w:color w:val="auto"/>
          <w:sz w:val="24"/>
          <w:szCs w:val="24"/>
          <w:u w:val="single"/>
          <w:lang w:val="en-US" w:eastAsia="zh-CN"/>
        </w:rPr>
        <w:t>建筑面积10019.15平方米，建筑高度22.3米，最大跨度27.1米；</w:t>
      </w:r>
      <w:r>
        <w:rPr>
          <w:rFonts w:hint="eastAsia" w:ascii="宋体" w:hAnsi="宋体" w:eastAsia="宋体" w:cs="宋体"/>
          <w:color w:val="auto"/>
          <w:sz w:val="24"/>
          <w:szCs w:val="24"/>
          <w:u w:val="none"/>
          <w:lang w:val="en-US" w:eastAsia="zh-CN"/>
        </w:rPr>
        <w:t>8号</w:t>
      </w:r>
      <w:r>
        <w:rPr>
          <w:rFonts w:hint="eastAsia" w:ascii="宋体" w:hAnsi="宋体" w:eastAsia="宋体" w:cs="宋体"/>
          <w:color w:val="auto"/>
          <w:sz w:val="24"/>
          <w:szCs w:val="24"/>
          <w:u w:val="single"/>
          <w:lang w:val="en-US" w:eastAsia="zh-CN"/>
        </w:rPr>
        <w:t>地下室建筑面积17273.28平方米，建筑高度22.3米，最大跨度10.8米。</w:t>
      </w:r>
    </w:p>
    <w:p>
      <w:pPr>
        <w:widowControl/>
        <w:snapToGrid w:val="0"/>
        <w:spacing w:line="360" w:lineRule="auto"/>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六、工程范围：</w:t>
      </w:r>
    </w:p>
    <w:p>
      <w:pPr>
        <w:widowControl/>
        <w:snapToGrid w:val="0"/>
        <w:spacing w:line="360" w:lineRule="auto"/>
        <w:ind w:firstLine="480" w:firstLineChars="200"/>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本工程所示智能化网络工程全部工作，包括UPS电源工程、建筑能效监管系统、建筑设备监控系统、线槽、桥架工程、公共网综合布线系统、光纤入户系统、信息网络系统、机房照明工程、机房工程、其他零星工程、安全文明施工、报建验收等全部工作，详见分部分项工程量清单及施工图纸。具体内容按照施工图纸、图纸会审、设计变更通知，采购人修改通知等设计文件，并按照相关标准规范、施工组织设计、专项施工方案、分项工程技术交底等有关技术文件的要求施工，确保工程验收质量，并有义务协助工程通过主管部门验收合格。</w:t>
      </w:r>
    </w:p>
    <w:p>
      <w:pPr>
        <w:numPr>
          <w:ilvl w:val="0"/>
          <w:numId w:val="0"/>
        </w:numPr>
        <w:tabs>
          <w:tab w:val="left" w:pos="7560"/>
        </w:tabs>
        <w:spacing w:line="360" w:lineRule="auto"/>
        <w:ind w:leftChars="0" w:firstLine="480" w:firstLineChars="200"/>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1、智能化网络分包工程编制范围：除界限划分及特别内容说明以外，其余按图从配电间及各类机房开始，施工至各用电末端。包括配电箱、机柜、线槽、光缆及终端盒、桥架、配管、终端设备等内容的采购安装，以及预留、预埋管、盒、孔洞并安装完孔洞堵补等；主要包含以下系统工程：①UPS电源工程：本次范围包含：UPS配电间出线至各楼层UPS配电箱的所有管线。②建筑能效监管系统：本次范围包括：从消防控制室出线至末端的所有管线和设备，包含前端采集设备及管理后台（智能水电表除外）。③建筑设备监控系统：本次范围包括：从消防控制室出线至末端的所有管线和设备，包括管线、主控制器箱和后管理设备等。④线槽、桥架工程：本次范围包括：从弱电机房出线至各楼层的所有线槽、桥架。⑤公共网综合布线系统：本次范围包括：从网络机房出线至各楼层弱电井的所有管线与设备，包括无线AP、光纤配线架、室内单模光缆、管线等。⑥光纤入户系统：本次范围包括：从弱电机房出线至各楼层弱电箱的所有皮线光纤和管线，包含弱电箱及供电。⑦信息网络系统：本次范围包括：从网络机房出线至末端的所有管线和设备，包含核心交换机、OLT设备、ONU终端、网络安全设备等。⑧机房照明工程：本次范围包括：计算网络机房、消防控制室里的所有照明设备和管线等。⑨机房工程：本次范围包括：计算网络机房、消防控制室里的所有设备、管线、防雷接地等，包含机房装修、UPS、精密空调等。⑩其他零星工程， 建筑防雷、接地系统及安全措施等；除界限划分及特别内容说明以外，其余按图从配电间及各类机房开始，施工至各用电末端。包括配电箱、机柜、线槽、光缆及终端盒、桥架、配管、终端设备等内容的采购安装，以及预留、预埋管、盒、孔洞并安装完孔洞堵补等。</w:t>
      </w:r>
    </w:p>
    <w:p>
      <w:pPr>
        <w:widowControl/>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u w:val="none"/>
          <w:lang w:val="en-US" w:eastAsia="zh-CN"/>
        </w:rPr>
        <w:t>2、</w:t>
      </w:r>
      <w:r>
        <w:rPr>
          <w:rFonts w:hint="eastAsia" w:ascii="宋体" w:hAnsi="宋体" w:eastAsia="宋体" w:cs="宋体"/>
          <w:color w:val="auto"/>
          <w:kern w:val="0"/>
          <w:sz w:val="24"/>
          <w:szCs w:val="24"/>
          <w:lang w:val="en-US" w:eastAsia="zh-CN"/>
        </w:rPr>
        <w:t>安全文明施工项目：完成分包范围相关的安全文明施工。项目现场安全文明施工（配备分包安全员），场容场貌维护、材料堆放整理、现场防火、垃圾清运、安全防护用品、应急预案、非正常情况施工防护、施工扬尘污染防治等费用，现场保洁等相关工作。</w:t>
      </w:r>
    </w:p>
    <w:p>
      <w:pPr>
        <w:numPr>
          <w:ilvl w:val="0"/>
          <w:numId w:val="0"/>
        </w:numPr>
        <w:tabs>
          <w:tab w:val="left" w:pos="7560"/>
        </w:tabs>
        <w:spacing w:line="360"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rPr>
        <w:t>3、项目资料：包括不限于质检及安检等资料的编制及报送、技术支持及相关方案编制、专家送审等、协助项目部对外业务管理协调等。</w:t>
      </w:r>
      <w:r>
        <w:rPr>
          <w:rFonts w:hint="eastAsia" w:ascii="宋体" w:hAnsi="宋体" w:eastAsia="宋体" w:cs="宋体"/>
          <w:color w:val="auto"/>
          <w:kern w:val="0"/>
          <w:sz w:val="24"/>
          <w:szCs w:val="24"/>
          <w:highlight w:val="none"/>
          <w:lang w:val="en-US" w:eastAsia="zh-CN"/>
        </w:rPr>
        <w:t>本合同范围内工程完工后，一个月内应提交一套符合东莞市建设工程电子档案线上审查通过的资料，确保按时按质完成项目验收相关资料。</w:t>
      </w:r>
    </w:p>
    <w:p>
      <w:pPr>
        <w:numPr>
          <w:ilvl w:val="0"/>
          <w:numId w:val="0"/>
        </w:numPr>
        <w:tabs>
          <w:tab w:val="left" w:pos="7560"/>
        </w:tabs>
        <w:spacing w:line="360" w:lineRule="auto"/>
        <w:ind w:leftChars="0"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lang w:val="en-US" w:eastAsia="zh-CN"/>
        </w:rPr>
        <w:t>暂列金额工程：按采购人要求完成设计深化，深化设计方案经采购人确认后方可实施，由此增加的工程费用通过暂列金额列支，通过合同变更计入结算价。</w:t>
      </w:r>
    </w:p>
    <w:p>
      <w:pPr>
        <w:numPr>
          <w:ilvl w:val="0"/>
          <w:numId w:val="0"/>
        </w:numPr>
        <w:tabs>
          <w:tab w:val="left" w:pos="7560"/>
        </w:tabs>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rPr>
        <w:t>七、与其他(分包)专业界限（范围）划分及特别内容说明：</w:t>
      </w:r>
    </w:p>
    <w:p>
      <w:pPr>
        <w:numPr>
          <w:ilvl w:val="0"/>
          <w:numId w:val="0"/>
        </w:numPr>
        <w:tabs>
          <w:tab w:val="left" w:pos="7560"/>
        </w:tabs>
        <w:spacing w:line="360" w:lineRule="auto"/>
        <w:ind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中标人及其他专业分包单位按照图纸及规范预留的洞口，非图纸及规范预留洞口的封堵，由中标人及专业单位自行负责；因中标人原因的开槽由中标人自行封堵。上述非中标人范围内的工作，若采购人需由中标人负责处理的，中标人应无条件施工，但费用需另行签证计算。     </w:t>
      </w:r>
    </w:p>
    <w:p>
      <w:pPr>
        <w:numPr>
          <w:ilvl w:val="0"/>
          <w:numId w:val="0"/>
        </w:numPr>
        <w:tabs>
          <w:tab w:val="left" w:pos="7560"/>
        </w:tabs>
        <w:spacing w:line="360" w:lineRule="auto"/>
        <w:ind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八</w:t>
      </w:r>
      <w:r>
        <w:rPr>
          <w:rFonts w:hint="eastAsia" w:ascii="宋体" w:hAnsi="宋体" w:eastAsia="宋体" w:cs="宋体"/>
          <w:color w:val="auto"/>
          <w:kern w:val="0"/>
          <w:sz w:val="24"/>
          <w:szCs w:val="24"/>
          <w:lang w:val="en-US" w:eastAsia="zh-CN"/>
        </w:rPr>
        <w:t>、承包方式：</w:t>
      </w:r>
    </w:p>
    <w:p>
      <w:pPr>
        <w:widowControl/>
        <w:snapToGrid w:val="0"/>
        <w:spacing w:line="360" w:lineRule="auto"/>
        <w:ind w:left="0" w:leftChars="0"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包辅材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包小型机械设备（承包人提供的设备除外）、包小型机械设备操作用工、包施工用水电设备及相关费用、包保险费用、包税金、包工期、包质量、包安全生产、包现场文明施工、包</w:t>
      </w:r>
      <w:r>
        <w:rPr>
          <w:rFonts w:hint="eastAsia" w:ascii="宋体" w:hAnsi="宋体" w:eastAsia="宋体" w:cs="宋体"/>
          <w:color w:val="auto"/>
          <w:kern w:val="0"/>
          <w:sz w:val="24"/>
          <w:szCs w:val="24"/>
          <w:highlight w:val="none"/>
          <w:lang w:val="en-US" w:eastAsia="zh-CN"/>
        </w:rPr>
        <w:t>制安</w:t>
      </w:r>
      <w:r>
        <w:rPr>
          <w:rFonts w:hint="eastAsia" w:ascii="宋体" w:hAnsi="宋体" w:eastAsia="宋体" w:cs="宋体"/>
          <w:color w:val="auto"/>
          <w:kern w:val="0"/>
          <w:sz w:val="24"/>
          <w:szCs w:val="24"/>
          <w:highlight w:val="none"/>
        </w:rPr>
        <w:t>、包验收、包签证、包结算、包风险、包与其他分包单位的配合等。</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九</w:t>
      </w:r>
      <w:r>
        <w:rPr>
          <w:rFonts w:hint="eastAsia" w:ascii="宋体" w:hAnsi="宋体" w:eastAsia="宋体" w:cs="宋体"/>
          <w:color w:val="auto"/>
          <w:kern w:val="0"/>
          <w:sz w:val="24"/>
          <w:szCs w:val="24"/>
        </w:rPr>
        <w:t>、工期：</w:t>
      </w:r>
      <w:r>
        <w:rPr>
          <w:rFonts w:hint="eastAsia" w:ascii="宋体" w:hAnsi="宋体" w:eastAsia="宋体" w:cs="宋体"/>
          <w:color w:val="auto"/>
          <w:kern w:val="0"/>
          <w:sz w:val="24"/>
          <w:szCs w:val="24"/>
          <w:highlight w:val="none"/>
        </w:rPr>
        <w:t>计划开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竣工日期：</w:t>
      </w:r>
      <w:r>
        <w:rPr>
          <w:rFonts w:hint="eastAsia" w:ascii="宋体" w:hAnsi="宋体" w:eastAsia="宋体" w:cs="宋体"/>
          <w:color w:val="auto"/>
          <w:kern w:val="0"/>
          <w:sz w:val="24"/>
          <w:szCs w:val="24"/>
          <w:highlight w:val="none"/>
          <w:u w:val="single"/>
        </w:rPr>
        <w:t>202</w:t>
      </w:r>
      <w:r>
        <w:rPr>
          <w:rFonts w:hint="eastAsia" w:ascii="宋体" w:hAnsi="宋体" w:eastAsia="宋体" w:cs="宋体"/>
          <w:color w:val="auto"/>
          <w:kern w:val="0"/>
          <w:sz w:val="24"/>
          <w:szCs w:val="24"/>
          <w:highlight w:val="none"/>
          <w:u w:val="single"/>
          <w:lang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rPr>
        <w:t>日至</w:t>
      </w:r>
      <w:r>
        <w:rPr>
          <w:rFonts w:hint="eastAsia" w:ascii="宋体" w:hAnsi="宋体" w:eastAsia="宋体" w:cs="宋体"/>
          <w:color w:val="auto"/>
          <w:kern w:val="0"/>
          <w:sz w:val="24"/>
          <w:szCs w:val="24"/>
          <w:highlight w:val="none"/>
          <w:u w:val="single"/>
        </w:rPr>
        <w:t>202</w:t>
      </w: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12</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31</w:t>
      </w:r>
      <w:r>
        <w:rPr>
          <w:rFonts w:hint="eastAsia" w:ascii="宋体" w:hAnsi="宋体" w:eastAsia="宋体" w:cs="宋体"/>
          <w:color w:val="auto"/>
          <w:kern w:val="0"/>
          <w:sz w:val="24"/>
          <w:szCs w:val="24"/>
          <w:highlight w:val="none"/>
        </w:rPr>
        <w:t>日，暂定</w:t>
      </w:r>
      <w:r>
        <w:rPr>
          <w:rFonts w:hint="eastAsia" w:ascii="宋体" w:hAnsi="宋体" w:eastAsia="宋体" w:cs="宋体"/>
          <w:color w:val="auto"/>
          <w:kern w:val="0"/>
          <w:sz w:val="24"/>
          <w:szCs w:val="24"/>
          <w:highlight w:val="none"/>
          <w:u w:val="single"/>
          <w:lang w:val="en-US" w:eastAsia="zh-CN"/>
        </w:rPr>
        <w:t>270</w:t>
      </w:r>
      <w:r>
        <w:rPr>
          <w:rFonts w:hint="eastAsia" w:ascii="宋体" w:hAnsi="宋体" w:eastAsia="宋体" w:cs="宋体"/>
          <w:color w:val="auto"/>
          <w:kern w:val="0"/>
          <w:sz w:val="24"/>
          <w:szCs w:val="24"/>
          <w:highlight w:val="none"/>
        </w:rPr>
        <w:t>日历天，具体施工时间根据项目部施工进度安排。</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十</w:t>
      </w:r>
      <w:r>
        <w:rPr>
          <w:rFonts w:hint="eastAsia" w:ascii="宋体" w:hAnsi="宋体" w:eastAsia="宋体" w:cs="宋体"/>
          <w:color w:val="auto"/>
          <w:kern w:val="0"/>
          <w:sz w:val="24"/>
          <w:szCs w:val="24"/>
        </w:rPr>
        <w:t>、投标文件的递交时间及开标地点：以密封形式于</w:t>
      </w:r>
      <w:r>
        <w:rPr>
          <w:rFonts w:hint="eastAsia" w:ascii="宋体" w:hAnsi="宋体" w:eastAsia="宋体" w:cs="宋体"/>
          <w:color w:val="auto"/>
          <w:kern w:val="0"/>
          <w:sz w:val="24"/>
          <w:szCs w:val="24"/>
          <w:u w:val="single"/>
          <w:lang w:val="en-US" w:eastAsia="zh-CN"/>
        </w:rPr>
        <w:t>2023</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lang w:val="en-US" w:eastAsia="zh-CN"/>
        </w:rPr>
        <w:t>3</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lang w:val="en-US" w:eastAsia="zh-CN"/>
        </w:rPr>
        <w:t>6</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u w:val="single"/>
          <w:lang w:val="en-US" w:eastAsia="zh-CN"/>
        </w:rPr>
        <w:t xml:space="preserve">15 </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u w:val="single"/>
          <w:lang w:val="en-US" w:eastAsia="zh-CN"/>
        </w:rPr>
        <w:t>30</w:t>
      </w:r>
      <w:r>
        <w:rPr>
          <w:rFonts w:hint="eastAsia" w:ascii="宋体" w:hAnsi="宋体" w:eastAsia="宋体" w:cs="宋体"/>
          <w:color w:val="auto"/>
          <w:kern w:val="0"/>
          <w:sz w:val="24"/>
          <w:szCs w:val="24"/>
        </w:rPr>
        <w:t>分前递交，截止时间为</w:t>
      </w:r>
      <w:r>
        <w:rPr>
          <w:rFonts w:hint="eastAsia" w:ascii="宋体" w:hAnsi="宋体" w:eastAsia="宋体" w:cs="宋体"/>
          <w:color w:val="auto"/>
          <w:kern w:val="0"/>
          <w:sz w:val="24"/>
          <w:szCs w:val="24"/>
          <w:u w:val="single"/>
          <w:lang w:val="en-US" w:eastAsia="zh-CN"/>
        </w:rPr>
        <w:t>2023</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lang w:val="en-US" w:eastAsia="zh-CN"/>
        </w:rPr>
        <w:t>3</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lang w:val="en-US" w:eastAsia="zh-CN"/>
        </w:rPr>
        <w:t>6</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u w:val="single"/>
          <w:lang w:val="en-US" w:eastAsia="zh-CN"/>
        </w:rPr>
        <w:t xml:space="preserve">15 </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u w:val="single"/>
          <w:lang w:val="en-US" w:eastAsia="zh-CN"/>
        </w:rPr>
        <w:t>30</w:t>
      </w:r>
      <w:r>
        <w:rPr>
          <w:rFonts w:hint="eastAsia" w:ascii="宋体" w:hAnsi="宋体" w:eastAsia="宋体" w:cs="宋体"/>
          <w:color w:val="auto"/>
          <w:kern w:val="0"/>
          <w:sz w:val="24"/>
          <w:szCs w:val="24"/>
        </w:rPr>
        <w:t>分，所有应答文件必须在规定的应答截止时间前按规定地址送达</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，逾期恕不接受。</w:t>
      </w:r>
    </w:p>
    <w:p>
      <w:pPr>
        <w:widowControl/>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开标地址：东莞市南城</w:t>
      </w:r>
      <w:r>
        <w:rPr>
          <w:rFonts w:hint="eastAsia" w:ascii="宋体" w:hAnsi="宋体" w:eastAsia="宋体" w:cs="宋体"/>
          <w:color w:val="auto"/>
          <w:kern w:val="0"/>
          <w:sz w:val="24"/>
          <w:szCs w:val="24"/>
          <w:lang w:val="en-US" w:eastAsia="zh-CN"/>
        </w:rPr>
        <w:t>街道城市风景街</w:t>
      </w:r>
      <w:r>
        <w:rPr>
          <w:rFonts w:hint="eastAsia" w:ascii="宋体" w:hAnsi="宋体" w:eastAsia="宋体" w:cs="宋体"/>
          <w:color w:val="auto"/>
          <w:kern w:val="0"/>
          <w:sz w:val="24"/>
          <w:szCs w:val="24"/>
        </w:rPr>
        <w:t>9栋5层莞建公司开标室（东莞市地震局旧址）。</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、注意事项：</w:t>
      </w:r>
    </w:p>
    <w:p>
      <w:pPr>
        <w:widowControl/>
        <w:snapToGrid w:val="0"/>
        <w:spacing w:line="360" w:lineRule="auto"/>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1、投标人必须全面响应采购文件要求，投标人任何附加条件采购人一律不接受或视为废标。</w:t>
      </w:r>
    </w:p>
    <w:p>
      <w:pPr>
        <w:widowControl/>
        <w:snapToGrid w:val="0"/>
        <w:spacing w:line="360" w:lineRule="auto"/>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2、中标人严禁有挂靠或者违法转包行为。</w:t>
      </w:r>
    </w:p>
    <w:p>
      <w:pPr>
        <w:widowControl/>
        <w:snapToGrid w:val="0"/>
        <w:spacing w:line="360" w:lineRule="auto"/>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3、质量要求：现行的施工规范要求。</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w:t>
      </w:r>
      <w:r>
        <w:rPr>
          <w:rFonts w:hint="eastAsia" w:ascii="宋体" w:hAnsi="宋体" w:eastAsia="宋体" w:cs="宋体"/>
          <w:color w:val="auto"/>
          <w:kern w:val="0"/>
          <w:sz w:val="24"/>
          <w:szCs w:val="24"/>
          <w:lang w:val="en-US" w:eastAsia="zh-CN"/>
        </w:rPr>
        <w:t>二</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采购</w:t>
      </w:r>
      <w:r>
        <w:rPr>
          <w:rFonts w:hint="eastAsia" w:ascii="宋体" w:hAnsi="宋体" w:eastAsia="宋体" w:cs="宋体"/>
          <w:color w:val="auto"/>
          <w:kern w:val="0"/>
          <w:sz w:val="24"/>
          <w:szCs w:val="24"/>
        </w:rPr>
        <w:t>文件获取：莞建</w:t>
      </w:r>
      <w:r>
        <w:rPr>
          <w:rFonts w:hint="eastAsia" w:ascii="宋体" w:hAnsi="宋体" w:eastAsia="宋体" w:cs="宋体"/>
          <w:color w:val="auto"/>
          <w:sz w:val="24"/>
          <w:szCs w:val="24"/>
        </w:rPr>
        <w:t>公司官网（http:/</w:t>
      </w:r>
      <w:r>
        <w:rPr>
          <w:rFonts w:hint="eastAsia" w:ascii="宋体" w:hAnsi="宋体" w:eastAsia="宋体" w:cs="宋体"/>
          <w:color w:val="auto"/>
          <w:sz w:val="24"/>
          <w:szCs w:val="24"/>
          <w:lang w:val="en-US" w:eastAsia="zh-CN"/>
        </w:rPr>
        <w:t>www.</w:t>
      </w:r>
      <w:r>
        <w:rPr>
          <w:rFonts w:hint="eastAsia" w:ascii="宋体" w:hAnsi="宋体" w:eastAsia="宋体" w:cs="宋体"/>
          <w:color w:val="auto"/>
          <w:sz w:val="24"/>
          <w:szCs w:val="24"/>
        </w:rPr>
        <w:t>dggcc.cn）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东实集团官网（http://</w:t>
      </w:r>
      <w:r>
        <w:rPr>
          <w:rFonts w:hint="eastAsia" w:ascii="宋体" w:hAnsi="宋体" w:eastAsia="宋体" w:cs="宋体"/>
          <w:color w:val="auto"/>
          <w:sz w:val="24"/>
          <w:szCs w:val="24"/>
          <w:lang w:val="en-US" w:eastAsia="zh-CN"/>
        </w:rPr>
        <w:t>www.</w:t>
      </w:r>
      <w:r>
        <w:rPr>
          <w:rFonts w:hint="eastAsia" w:ascii="宋体" w:hAnsi="宋体" w:eastAsia="宋体" w:cs="宋体"/>
          <w:color w:val="auto"/>
          <w:sz w:val="24"/>
          <w:szCs w:val="24"/>
        </w:rPr>
        <w:t>dgsy.com.cn）</w:t>
      </w:r>
      <w:r>
        <w:rPr>
          <w:rFonts w:hint="eastAsia" w:ascii="宋体" w:hAnsi="宋体" w:eastAsia="宋体" w:cs="宋体"/>
          <w:color w:val="auto"/>
          <w:kern w:val="0"/>
          <w:sz w:val="24"/>
          <w:szCs w:val="24"/>
        </w:rPr>
        <w:t>。</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w:t>
      </w:r>
      <w:r>
        <w:rPr>
          <w:rFonts w:hint="eastAsia" w:ascii="宋体" w:hAnsi="宋体" w:eastAsia="宋体" w:cs="宋体"/>
          <w:color w:val="auto"/>
          <w:kern w:val="0"/>
          <w:sz w:val="24"/>
          <w:szCs w:val="24"/>
          <w:lang w:val="en-US" w:eastAsia="zh-CN"/>
        </w:rPr>
        <w:t>三</w:t>
      </w:r>
      <w:r>
        <w:rPr>
          <w:rFonts w:hint="eastAsia" w:ascii="宋体" w:hAnsi="宋体" w:eastAsia="宋体" w:cs="宋体"/>
          <w:color w:val="auto"/>
          <w:kern w:val="0"/>
          <w:sz w:val="24"/>
          <w:szCs w:val="24"/>
        </w:rPr>
        <w:t xml:space="preserve">、有关此次采购答疑事宜，按下列地址以书面或电话形式向采购人查询：  </w:t>
      </w:r>
    </w:p>
    <w:p>
      <w:pPr>
        <w:widowControl/>
        <w:snapToGrid w:val="0"/>
        <w:spacing w:line="360" w:lineRule="auto"/>
        <w:ind w:firstLine="960" w:firstLineChars="4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采购人：东莞市莞城建筑工程有限公司</w:t>
      </w:r>
    </w:p>
    <w:p>
      <w:pPr>
        <w:widowControl/>
        <w:snapToGrid w:val="0"/>
        <w:spacing w:line="360" w:lineRule="auto"/>
        <w:ind w:firstLine="960" w:firstLineChars="4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地址：东莞市南城区城市风景街9栋5层莞建公司（东莞市地震局旧址）。</w:t>
      </w:r>
    </w:p>
    <w:p>
      <w:pPr>
        <w:widowControl/>
        <w:snapToGrid w:val="0"/>
        <w:spacing w:line="360" w:lineRule="auto"/>
        <w:ind w:firstLine="960" w:firstLineChars="4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联系人：麦</w:t>
      </w:r>
      <w:r>
        <w:rPr>
          <w:rFonts w:hint="eastAsia" w:ascii="宋体" w:hAnsi="宋体" w:eastAsia="宋体" w:cs="宋体"/>
          <w:color w:val="auto"/>
          <w:kern w:val="0"/>
          <w:sz w:val="24"/>
          <w:szCs w:val="24"/>
          <w:lang w:val="en-US" w:eastAsia="zh-CN"/>
        </w:rPr>
        <w:t>工</w:t>
      </w:r>
      <w:r>
        <w:rPr>
          <w:rFonts w:hint="eastAsia" w:ascii="宋体" w:hAnsi="宋体" w:eastAsia="宋体" w:cs="宋体"/>
          <w:color w:val="auto"/>
          <w:kern w:val="0"/>
          <w:sz w:val="24"/>
          <w:szCs w:val="24"/>
        </w:rPr>
        <w:t xml:space="preserve">                   邮政编码：511400 </w:t>
      </w:r>
    </w:p>
    <w:p>
      <w:pPr>
        <w:widowControl/>
        <w:snapToGrid w:val="0"/>
        <w:spacing w:line="360" w:lineRule="auto"/>
        <w:ind w:firstLine="960" w:firstLineChars="400"/>
        <w:rPr>
          <w:rFonts w:hint="eastAsia"/>
          <w:color w:val="auto"/>
          <w:kern w:val="0"/>
          <w:szCs w:val="21"/>
        </w:rPr>
      </w:pPr>
      <w:r>
        <w:rPr>
          <w:rFonts w:hint="eastAsia" w:ascii="宋体" w:hAnsi="宋体" w:eastAsia="宋体" w:cs="宋体"/>
          <w:color w:val="auto"/>
          <w:kern w:val="0"/>
          <w:sz w:val="24"/>
          <w:szCs w:val="24"/>
        </w:rPr>
        <w:t>联系方式：18807696638          传真： 0769-39009090</w:t>
      </w:r>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2010609000101010101"/>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0D8E19BF"/>
    <w:rsid w:val="0D8E19BF"/>
    <w:rsid w:val="21E464DA"/>
    <w:rsid w:val="6D897B6A"/>
    <w:rsid w:val="7FC7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6"/>
    <w:semiHidden/>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标题 2 Char"/>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2495</Words>
  <Characters>2747</Characters>
  <Lines>0</Lines>
  <Paragraphs>0</Paragraphs>
  <TotalTime>2</TotalTime>
  <ScaleCrop>false</ScaleCrop>
  <LinksUpToDate>false</LinksUpToDate>
  <CharactersWithSpaces>2843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2023-03-02T13:07:00Z</dcterms:created>
  <dc:creator>MCmai</dc:creator>
  <cp:lastModifiedBy>MCmai</cp:lastModifiedBy>
  <dcterms:modified xsi:type="dcterms:W3CDTF">2023-03-02T13:26:24Z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DDAA51F4A78B4F09BF6791C4A70B09BE</vt:lpwstr>
  </property>
</Properties>
</file>