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120" w:after="120" w:line="276" w:lineRule="auto"/>
        <w:jc w:val="center"/>
        <w:rPr>
          <w:rFonts w:eastAsia="华文中宋"/>
          <w:color w:val="auto"/>
          <w:sz w:val="44"/>
          <w:szCs w:val="44"/>
        </w:rPr>
      </w:pPr>
      <w:r>
        <w:rPr>
          <w:rFonts w:hint="eastAsia" w:eastAsia="华文中宋"/>
          <w:color w:val="auto"/>
          <w:sz w:val="44"/>
          <w:szCs w:val="44"/>
        </w:rPr>
        <w:t>竞争性磋商文件</w:t>
      </w:r>
    </w:p>
    <w:p>
      <w:pPr>
        <w:keepNext w:val="0"/>
        <w:keepLines w:val="0"/>
        <w:pageBreakBefore w:val="0"/>
        <w:kinsoku/>
        <w:wordWrap/>
        <w:overflowPunct/>
        <w:topLinePunct w:val="0"/>
        <w:autoSpaceDE/>
        <w:autoSpaceDN/>
        <w:bidi w:val="0"/>
        <w:spacing w:line="276" w:lineRule="auto"/>
        <w:ind w:firstLine="640" w:firstLineChars="200"/>
        <w:jc w:val="left"/>
        <w:textAlignment w:val="auto"/>
        <w:rPr>
          <w:rFonts w:eastAsia="仿宋_GB2312"/>
          <w:color w:val="auto"/>
          <w:sz w:val="32"/>
          <w:szCs w:val="32"/>
        </w:rPr>
      </w:pPr>
      <w:r>
        <w:rPr>
          <w:rFonts w:hint="eastAsia" w:eastAsia="仿宋_GB2312"/>
          <w:color w:val="auto"/>
          <w:sz w:val="32"/>
          <w:szCs w:val="32"/>
          <w:u w:val="single"/>
          <w:lang w:eastAsia="zh-CN"/>
        </w:rPr>
        <w:t>东莞市</w:t>
      </w:r>
      <w:r>
        <w:rPr>
          <w:rFonts w:hint="eastAsia" w:eastAsia="仿宋_GB2312"/>
          <w:color w:val="auto"/>
          <w:sz w:val="32"/>
          <w:szCs w:val="32"/>
          <w:u w:val="single"/>
          <w:lang w:val="en-US" w:eastAsia="zh-CN"/>
        </w:rPr>
        <w:t>莞城建筑工程</w:t>
      </w:r>
      <w:r>
        <w:rPr>
          <w:rFonts w:hint="eastAsia" w:eastAsia="仿宋_GB2312"/>
          <w:color w:val="auto"/>
          <w:sz w:val="32"/>
          <w:szCs w:val="32"/>
          <w:u w:val="single"/>
          <w:lang w:eastAsia="zh-CN"/>
        </w:rPr>
        <w:t>有限公司</w:t>
      </w:r>
      <w:r>
        <w:rPr>
          <w:rFonts w:hint="eastAsia" w:eastAsia="仿宋_GB2312"/>
          <w:color w:val="auto"/>
          <w:sz w:val="32"/>
          <w:szCs w:val="32"/>
        </w:rPr>
        <w:t>需采购一家</w:t>
      </w:r>
      <w:r>
        <w:rPr>
          <w:rFonts w:hint="eastAsia" w:eastAsia="仿宋_GB2312"/>
          <w:color w:val="auto"/>
          <w:sz w:val="32"/>
          <w:szCs w:val="32"/>
          <w:u w:val="single"/>
        </w:rPr>
        <w:t>监测服务</w:t>
      </w:r>
      <w:r>
        <w:rPr>
          <w:rFonts w:hint="eastAsia" w:eastAsia="仿宋_GB2312"/>
          <w:color w:val="auto"/>
          <w:sz w:val="32"/>
          <w:szCs w:val="32"/>
        </w:rPr>
        <w:t>单位，现将相关情况介绍如下：</w:t>
      </w:r>
    </w:p>
    <w:p>
      <w:pPr>
        <w:keepNext w:val="0"/>
        <w:keepLines w:val="0"/>
        <w:pageBreakBefore w:val="0"/>
        <w:kinsoku/>
        <w:wordWrap/>
        <w:overflowPunct/>
        <w:topLinePunct w:val="0"/>
        <w:autoSpaceDE/>
        <w:autoSpaceDN/>
        <w:bidi w:val="0"/>
        <w:adjustRightInd w:val="0"/>
        <w:snapToGrid w:val="0"/>
        <w:spacing w:line="276" w:lineRule="auto"/>
        <w:ind w:firstLine="640" w:firstLineChars="200"/>
        <w:textAlignment w:val="auto"/>
        <w:outlineLvl w:val="1"/>
        <w:rPr>
          <w:rFonts w:eastAsia="黑体"/>
          <w:color w:val="auto"/>
          <w:sz w:val="32"/>
          <w:szCs w:val="32"/>
        </w:rPr>
      </w:pPr>
      <w:r>
        <w:rPr>
          <w:rFonts w:hint="eastAsia" w:eastAsia="黑体"/>
          <w:color w:val="auto"/>
          <w:sz w:val="32"/>
          <w:szCs w:val="32"/>
        </w:rPr>
        <w:t>一、项目名称及内容</w:t>
      </w:r>
    </w:p>
    <w:p>
      <w:pPr>
        <w:keepNext w:val="0"/>
        <w:keepLines w:val="0"/>
        <w:pageBreakBefore w:val="0"/>
        <w:kinsoku/>
        <w:wordWrap/>
        <w:overflowPunct/>
        <w:topLinePunct w:val="0"/>
        <w:autoSpaceDE/>
        <w:autoSpaceDN/>
        <w:bidi w:val="0"/>
        <w:adjustRightInd w:val="0"/>
        <w:snapToGrid w:val="0"/>
        <w:spacing w:line="276" w:lineRule="auto"/>
        <w:ind w:firstLine="640" w:firstLineChars="200"/>
        <w:textAlignment w:val="auto"/>
        <w:rPr>
          <w:rFonts w:eastAsia="仿宋_GB2312"/>
          <w:color w:val="auto"/>
          <w:sz w:val="32"/>
          <w:szCs w:val="32"/>
          <w:u w:val="none"/>
        </w:rPr>
      </w:pPr>
      <w:r>
        <w:rPr>
          <w:rFonts w:eastAsia="仿宋_GB2312"/>
          <w:color w:val="auto"/>
          <w:sz w:val="32"/>
          <w:szCs w:val="32"/>
          <w:u w:val="none"/>
        </w:rPr>
        <w:t>1</w:t>
      </w:r>
      <w:r>
        <w:rPr>
          <w:rFonts w:hint="eastAsia" w:eastAsia="仿宋_GB2312"/>
          <w:color w:val="auto"/>
          <w:sz w:val="32"/>
          <w:szCs w:val="32"/>
          <w:u w:val="none"/>
        </w:rPr>
        <w:t>、项目名称：</w:t>
      </w:r>
      <w:r>
        <w:rPr>
          <w:rFonts w:hint="eastAsia" w:eastAsia="仿宋_GB2312"/>
          <w:color w:val="auto"/>
          <w:sz w:val="32"/>
          <w:szCs w:val="32"/>
          <w:u w:val="single"/>
          <w:lang w:eastAsia="zh-CN"/>
        </w:rPr>
        <w:t>广东省东莞市城区配套物流仓储建设项目</w:t>
      </w:r>
      <w:r>
        <w:rPr>
          <w:rFonts w:hint="eastAsia" w:eastAsia="仿宋_GB2312"/>
          <w:color w:val="auto"/>
          <w:sz w:val="32"/>
          <w:szCs w:val="32"/>
          <w:u w:val="single"/>
          <w:lang w:val="en-US" w:eastAsia="zh-CN"/>
        </w:rPr>
        <w:t>-</w:t>
      </w:r>
      <w:r>
        <w:rPr>
          <w:rFonts w:hint="eastAsia" w:eastAsia="仿宋_GB2312"/>
          <w:color w:val="auto"/>
          <w:sz w:val="32"/>
          <w:szCs w:val="32"/>
          <w:u w:val="single"/>
          <w:lang w:eastAsia="zh-CN"/>
        </w:rPr>
        <w:t>第三方基坑监测服务</w:t>
      </w:r>
      <w:r>
        <w:rPr>
          <w:rFonts w:hint="eastAsia" w:eastAsia="仿宋_GB2312"/>
          <w:color w:val="auto"/>
          <w:sz w:val="32"/>
          <w:szCs w:val="32"/>
          <w:u w:val="none"/>
        </w:rPr>
        <w:t>；</w:t>
      </w:r>
    </w:p>
    <w:p>
      <w:pPr>
        <w:keepNext w:val="0"/>
        <w:keepLines w:val="0"/>
        <w:pageBreakBefore w:val="0"/>
        <w:kinsoku/>
        <w:wordWrap/>
        <w:overflowPunct/>
        <w:topLinePunct w:val="0"/>
        <w:autoSpaceDE/>
        <w:autoSpaceDN/>
        <w:bidi w:val="0"/>
        <w:adjustRightInd w:val="0"/>
        <w:snapToGrid w:val="0"/>
        <w:spacing w:line="276" w:lineRule="auto"/>
        <w:ind w:firstLine="640" w:firstLineChars="200"/>
        <w:textAlignment w:val="auto"/>
        <w:rPr>
          <w:rFonts w:hint="eastAsia" w:eastAsia="仿宋_GB2312"/>
          <w:color w:val="auto"/>
          <w:sz w:val="32"/>
          <w:szCs w:val="32"/>
          <w:u w:val="none"/>
        </w:rPr>
      </w:pPr>
      <w:r>
        <w:rPr>
          <w:rFonts w:eastAsia="仿宋_GB2312"/>
          <w:color w:val="auto"/>
          <w:sz w:val="32"/>
          <w:szCs w:val="32"/>
          <w:u w:val="none"/>
        </w:rPr>
        <w:t>2</w:t>
      </w:r>
      <w:r>
        <w:rPr>
          <w:rFonts w:hint="eastAsia" w:eastAsia="仿宋_GB2312"/>
          <w:color w:val="auto"/>
          <w:sz w:val="32"/>
          <w:szCs w:val="32"/>
          <w:u w:val="none"/>
        </w:rPr>
        <w:t>、采购范围：</w:t>
      </w:r>
    </w:p>
    <w:p>
      <w:pPr>
        <w:keepNext w:val="0"/>
        <w:keepLines w:val="0"/>
        <w:pageBreakBefore w:val="0"/>
        <w:kinsoku/>
        <w:wordWrap/>
        <w:overflowPunct/>
        <w:topLinePunct w:val="0"/>
        <w:bidi w:val="0"/>
        <w:snapToGrid/>
        <w:spacing w:line="360" w:lineRule="auto"/>
        <w:ind w:firstLine="640" w:firstLineChars="200"/>
        <w:textAlignment w:val="auto"/>
        <w:rPr>
          <w:rFonts w:hint="eastAsia" w:eastAsia="仿宋_GB2312"/>
          <w:color w:val="auto"/>
          <w:sz w:val="32"/>
          <w:szCs w:val="32"/>
          <w:u w:val="none"/>
          <w:lang w:val="en-US" w:eastAsia="zh-CN"/>
        </w:rPr>
      </w:pPr>
      <w:r>
        <w:rPr>
          <w:rFonts w:hint="eastAsia" w:eastAsia="仿宋_GB2312"/>
          <w:color w:val="auto"/>
          <w:sz w:val="32"/>
          <w:szCs w:val="32"/>
          <w:u w:val="none"/>
          <w:lang w:eastAsia="zh-CN"/>
        </w:rPr>
        <w:t>（</w:t>
      </w:r>
      <w:r>
        <w:rPr>
          <w:rFonts w:hint="eastAsia" w:eastAsia="仿宋_GB2312"/>
          <w:color w:val="auto"/>
          <w:sz w:val="32"/>
          <w:szCs w:val="32"/>
          <w:u w:val="none"/>
          <w:lang w:val="en-US" w:eastAsia="zh-CN"/>
        </w:rPr>
        <w:t>1</w:t>
      </w:r>
      <w:r>
        <w:rPr>
          <w:rFonts w:hint="eastAsia" w:eastAsia="仿宋_GB2312"/>
          <w:color w:val="auto"/>
          <w:sz w:val="32"/>
          <w:szCs w:val="32"/>
          <w:u w:val="none"/>
          <w:lang w:eastAsia="zh-CN"/>
        </w:rPr>
        <w:t>）</w:t>
      </w:r>
      <w:r>
        <w:rPr>
          <w:rFonts w:hint="eastAsia" w:eastAsia="仿宋_GB2312"/>
          <w:color w:val="auto"/>
          <w:sz w:val="32"/>
          <w:szCs w:val="32"/>
          <w:u w:val="none"/>
          <w:lang w:val="en-US" w:eastAsia="zh-CN"/>
        </w:rPr>
        <w:t>水平位移、沉降工作基点埋设、现场监测及成果整理等。</w:t>
      </w:r>
    </w:p>
    <w:p>
      <w:pPr>
        <w:keepNext w:val="0"/>
        <w:keepLines w:val="0"/>
        <w:pageBreakBefore w:val="0"/>
        <w:kinsoku/>
        <w:wordWrap/>
        <w:overflowPunct/>
        <w:topLinePunct w:val="0"/>
        <w:bidi w:val="0"/>
        <w:snapToGrid/>
        <w:spacing w:line="360" w:lineRule="auto"/>
        <w:ind w:firstLine="640" w:firstLineChars="200"/>
        <w:textAlignment w:val="auto"/>
        <w:rPr>
          <w:rFonts w:hint="eastAsia" w:eastAsia="仿宋_GB2312"/>
          <w:color w:val="auto"/>
          <w:sz w:val="32"/>
          <w:szCs w:val="32"/>
          <w:u w:val="none"/>
          <w:lang w:val="en-US" w:eastAsia="zh-CN"/>
        </w:rPr>
      </w:pPr>
      <w:r>
        <w:rPr>
          <w:rFonts w:hint="eastAsia" w:eastAsia="仿宋_GB2312"/>
          <w:color w:val="auto"/>
          <w:sz w:val="32"/>
          <w:szCs w:val="32"/>
          <w:u w:val="none"/>
          <w:lang w:val="en-US" w:eastAsia="zh-CN"/>
        </w:rPr>
        <w:t>（2）坑顶沉降观测点埋设、现场监测及成果整理等。</w:t>
      </w:r>
    </w:p>
    <w:p>
      <w:pPr>
        <w:keepNext w:val="0"/>
        <w:keepLines w:val="0"/>
        <w:pageBreakBefore w:val="0"/>
        <w:kinsoku/>
        <w:wordWrap/>
        <w:overflowPunct/>
        <w:topLinePunct w:val="0"/>
        <w:bidi w:val="0"/>
        <w:snapToGrid/>
        <w:spacing w:line="360" w:lineRule="auto"/>
        <w:ind w:firstLine="640" w:firstLineChars="200"/>
        <w:textAlignment w:val="auto"/>
        <w:rPr>
          <w:rFonts w:hint="eastAsia" w:eastAsia="仿宋_GB2312"/>
          <w:color w:val="auto"/>
          <w:sz w:val="32"/>
          <w:szCs w:val="32"/>
          <w:u w:val="none"/>
          <w:lang w:val="en-US" w:eastAsia="zh-CN"/>
        </w:rPr>
      </w:pPr>
      <w:r>
        <w:rPr>
          <w:rFonts w:hint="eastAsia" w:eastAsia="仿宋_GB2312"/>
          <w:color w:val="auto"/>
          <w:sz w:val="32"/>
          <w:szCs w:val="32"/>
          <w:u w:val="none"/>
          <w:lang w:val="en-US" w:eastAsia="zh-CN"/>
        </w:rPr>
        <w:t>（3）坑顶位移观测点埋设、现场监测及成果整理等。</w:t>
      </w:r>
    </w:p>
    <w:p>
      <w:pPr>
        <w:keepNext w:val="0"/>
        <w:keepLines w:val="0"/>
        <w:pageBreakBefore w:val="0"/>
        <w:kinsoku/>
        <w:wordWrap/>
        <w:overflowPunct/>
        <w:topLinePunct w:val="0"/>
        <w:bidi w:val="0"/>
        <w:snapToGrid/>
        <w:spacing w:line="360" w:lineRule="auto"/>
        <w:ind w:firstLine="640" w:firstLineChars="200"/>
        <w:textAlignment w:val="auto"/>
        <w:rPr>
          <w:rFonts w:hint="eastAsia" w:eastAsia="仿宋_GB2312"/>
          <w:color w:val="auto"/>
          <w:sz w:val="32"/>
          <w:szCs w:val="32"/>
          <w:u w:val="none"/>
          <w:lang w:val="en-US" w:eastAsia="zh-CN"/>
        </w:rPr>
      </w:pPr>
      <w:r>
        <w:rPr>
          <w:rFonts w:hint="eastAsia" w:eastAsia="仿宋_GB2312"/>
          <w:color w:val="auto"/>
          <w:sz w:val="32"/>
          <w:szCs w:val="32"/>
          <w:u w:val="none"/>
          <w:lang w:val="en-US" w:eastAsia="zh-CN"/>
        </w:rPr>
        <w:t>（4）周边道路、管线沉降观测点埋设、现场监测及成果整理等。</w:t>
      </w:r>
    </w:p>
    <w:p>
      <w:pPr>
        <w:keepNext w:val="0"/>
        <w:keepLines w:val="0"/>
        <w:pageBreakBefore w:val="0"/>
        <w:kinsoku/>
        <w:wordWrap/>
        <w:overflowPunct/>
        <w:topLinePunct w:val="0"/>
        <w:bidi w:val="0"/>
        <w:snapToGrid/>
        <w:spacing w:line="360" w:lineRule="auto"/>
        <w:ind w:firstLine="640" w:firstLineChars="200"/>
        <w:textAlignment w:val="auto"/>
        <w:rPr>
          <w:rFonts w:hint="eastAsia" w:eastAsia="仿宋_GB2312"/>
          <w:color w:val="auto"/>
          <w:sz w:val="32"/>
          <w:szCs w:val="32"/>
          <w:u w:val="none"/>
          <w:lang w:val="en-US" w:eastAsia="zh-CN"/>
        </w:rPr>
      </w:pPr>
      <w:r>
        <w:rPr>
          <w:rFonts w:hint="eastAsia" w:eastAsia="仿宋_GB2312"/>
          <w:color w:val="auto"/>
          <w:sz w:val="32"/>
          <w:szCs w:val="32"/>
          <w:u w:val="none"/>
          <w:lang w:val="en-US" w:eastAsia="zh-CN"/>
        </w:rPr>
        <w:t>（5）锚索应力监测点埋设、现场监测及成果整理等。</w:t>
      </w:r>
    </w:p>
    <w:p>
      <w:pPr>
        <w:keepNext w:val="0"/>
        <w:keepLines w:val="0"/>
        <w:pageBreakBefore w:val="0"/>
        <w:kinsoku/>
        <w:wordWrap/>
        <w:overflowPunct/>
        <w:topLinePunct w:val="0"/>
        <w:bidi w:val="0"/>
        <w:snapToGrid/>
        <w:spacing w:line="360" w:lineRule="auto"/>
        <w:ind w:firstLine="640" w:firstLineChars="200"/>
        <w:textAlignment w:val="auto"/>
        <w:rPr>
          <w:rFonts w:hint="eastAsia" w:eastAsia="仿宋_GB2312"/>
          <w:color w:val="auto"/>
          <w:sz w:val="32"/>
          <w:szCs w:val="32"/>
          <w:u w:val="none"/>
          <w:lang w:val="en-US" w:eastAsia="zh-CN"/>
        </w:rPr>
      </w:pPr>
      <w:r>
        <w:rPr>
          <w:rFonts w:hint="eastAsia" w:eastAsia="仿宋_GB2312"/>
          <w:color w:val="auto"/>
          <w:sz w:val="32"/>
          <w:szCs w:val="32"/>
          <w:u w:val="none"/>
          <w:lang w:val="en-US" w:eastAsia="zh-CN"/>
        </w:rPr>
        <w:t>（6）地下水位孔、深层水平位移监测点埋设、现场监测及成果整理等</w:t>
      </w:r>
    </w:p>
    <w:p>
      <w:pPr>
        <w:keepNext w:val="0"/>
        <w:keepLines w:val="0"/>
        <w:pageBreakBefore w:val="0"/>
        <w:kinsoku/>
        <w:wordWrap/>
        <w:overflowPunct/>
        <w:topLinePunct w:val="0"/>
        <w:bidi w:val="0"/>
        <w:snapToGrid/>
        <w:spacing w:line="360" w:lineRule="auto"/>
        <w:ind w:firstLine="640" w:firstLineChars="200"/>
        <w:textAlignment w:val="auto"/>
        <w:rPr>
          <w:rFonts w:hint="eastAsia" w:eastAsia="仿宋_GB2312"/>
          <w:color w:val="auto"/>
          <w:sz w:val="32"/>
          <w:szCs w:val="32"/>
          <w:u w:val="none"/>
          <w:lang w:val="en-US" w:eastAsia="zh-CN"/>
        </w:rPr>
      </w:pPr>
      <w:r>
        <w:rPr>
          <w:rFonts w:hint="eastAsia" w:eastAsia="仿宋_GB2312"/>
          <w:color w:val="auto"/>
          <w:sz w:val="32"/>
          <w:szCs w:val="32"/>
          <w:u w:val="none"/>
          <w:lang w:val="en-US" w:eastAsia="zh-CN"/>
        </w:rPr>
        <w:t>（7）基坑监测详细要求见附件2《广东省东莞市城区配套物流仓储建设项目-基坑监测平面布置图》。该项目启用基坑工程安全监测信息管理平台，乙方统一接入东莞市住建局建科所“东莞市基坑工程安全监测预警平台”，将各项监测数据上传至东莞市基坑工程安全监测预警平台、进行信息化监测。</w:t>
      </w:r>
    </w:p>
    <w:p>
      <w:pPr>
        <w:keepNext w:val="0"/>
        <w:keepLines w:val="0"/>
        <w:pageBreakBefore w:val="0"/>
        <w:kinsoku/>
        <w:wordWrap/>
        <w:overflowPunct/>
        <w:topLinePunct w:val="0"/>
        <w:bidi w:val="0"/>
        <w:snapToGrid/>
        <w:spacing w:line="360" w:lineRule="auto"/>
        <w:ind w:firstLine="640" w:firstLineChars="200"/>
        <w:textAlignment w:val="auto"/>
        <w:rPr>
          <w:rFonts w:hint="eastAsia" w:eastAsia="仿宋_GB2312"/>
          <w:color w:val="auto"/>
          <w:sz w:val="32"/>
          <w:szCs w:val="32"/>
          <w:u w:val="none"/>
          <w:lang w:val="en-US" w:eastAsia="zh-CN"/>
        </w:rPr>
      </w:pPr>
      <w:r>
        <w:rPr>
          <w:rFonts w:hint="eastAsia" w:eastAsia="仿宋_GB2312"/>
          <w:color w:val="auto"/>
          <w:sz w:val="32"/>
          <w:szCs w:val="32"/>
          <w:u w:val="none"/>
          <w:lang w:val="en-US" w:eastAsia="zh-CN"/>
        </w:rPr>
        <w:t>（8）监测频率：满足附件2《广东省东莞市城区配套物流仓储建设项目-基坑监测平面布置图》中的要求以及经甲方和监理单位确认的基坑监测方案。</w:t>
      </w:r>
    </w:p>
    <w:p>
      <w:pPr>
        <w:keepNext w:val="0"/>
        <w:keepLines w:val="0"/>
        <w:pageBreakBefore w:val="0"/>
        <w:kinsoku/>
        <w:wordWrap/>
        <w:overflowPunct/>
        <w:topLinePunct w:val="0"/>
        <w:bidi w:val="0"/>
        <w:snapToGrid/>
        <w:spacing w:line="360" w:lineRule="auto"/>
        <w:ind w:firstLine="640" w:firstLineChars="200"/>
        <w:textAlignment w:val="auto"/>
        <w:rPr>
          <w:rFonts w:hint="eastAsia" w:eastAsia="仿宋_GB2312"/>
          <w:color w:val="auto"/>
          <w:sz w:val="32"/>
          <w:szCs w:val="32"/>
          <w:u w:val="none"/>
          <w:lang w:val="en-US" w:eastAsia="zh-CN"/>
        </w:rPr>
      </w:pPr>
      <w:r>
        <w:rPr>
          <w:rFonts w:hint="eastAsia" w:eastAsia="仿宋_GB2312"/>
          <w:color w:val="auto"/>
          <w:sz w:val="32"/>
          <w:szCs w:val="32"/>
          <w:u w:val="none"/>
          <w:lang w:val="en-US" w:eastAsia="zh-CN"/>
        </w:rPr>
        <w:t>（9）所有的监测成果文件须满足当地政府相关部门的要求、审核归档等。</w:t>
      </w:r>
    </w:p>
    <w:p>
      <w:pPr>
        <w:keepNext w:val="0"/>
        <w:keepLines w:val="0"/>
        <w:pageBreakBefore w:val="0"/>
        <w:kinsoku/>
        <w:wordWrap/>
        <w:overflowPunct/>
        <w:topLinePunct w:val="0"/>
        <w:bidi w:val="0"/>
        <w:snapToGrid/>
        <w:spacing w:line="360" w:lineRule="auto"/>
        <w:ind w:firstLine="640" w:firstLineChars="200"/>
        <w:textAlignment w:val="auto"/>
        <w:rPr>
          <w:rFonts w:hint="eastAsia" w:eastAsia="仿宋_GB2312"/>
          <w:color w:val="auto"/>
          <w:sz w:val="32"/>
          <w:szCs w:val="32"/>
          <w:u w:val="none"/>
          <w:lang w:val="en-US" w:eastAsia="zh-CN"/>
        </w:rPr>
      </w:pPr>
      <w:r>
        <w:rPr>
          <w:rFonts w:hint="eastAsia" w:eastAsia="仿宋_GB2312"/>
          <w:color w:val="auto"/>
          <w:sz w:val="32"/>
          <w:szCs w:val="32"/>
          <w:u w:val="none"/>
          <w:lang w:val="en-US" w:eastAsia="zh-CN"/>
        </w:rPr>
        <w:t xml:space="preserve">（10）本工程基坑监测数量为暂定数量，乙方需按照甲方提供的有关图纸及其他技术资料编制基坑监测方案，基坑监测方案须经相关部门专家论证后并经甲方、监理单位共同确认后方可执行。  </w:t>
      </w:r>
    </w:p>
    <w:p>
      <w:pPr>
        <w:keepNext w:val="0"/>
        <w:keepLines w:val="0"/>
        <w:pageBreakBefore w:val="0"/>
        <w:kinsoku/>
        <w:wordWrap/>
        <w:overflowPunct/>
        <w:topLinePunct w:val="0"/>
        <w:autoSpaceDE/>
        <w:autoSpaceDN/>
        <w:bidi w:val="0"/>
        <w:adjustRightInd w:val="0"/>
        <w:snapToGrid w:val="0"/>
        <w:spacing w:line="276" w:lineRule="auto"/>
        <w:ind w:firstLine="640" w:firstLineChars="200"/>
        <w:textAlignment w:val="auto"/>
        <w:rPr>
          <w:rFonts w:eastAsia="仿宋_GB2312"/>
          <w:color w:val="auto"/>
          <w:sz w:val="32"/>
          <w:szCs w:val="32"/>
          <w:u w:val="none"/>
        </w:rPr>
      </w:pPr>
      <w:r>
        <w:rPr>
          <w:rFonts w:eastAsia="仿宋_GB2312"/>
          <w:color w:val="auto"/>
          <w:sz w:val="32"/>
          <w:szCs w:val="32"/>
          <w:u w:val="none"/>
        </w:rPr>
        <w:t>3</w:t>
      </w:r>
      <w:r>
        <w:rPr>
          <w:rFonts w:hint="eastAsia" w:eastAsia="仿宋_GB2312"/>
          <w:color w:val="auto"/>
          <w:sz w:val="32"/>
          <w:szCs w:val="32"/>
          <w:u w:val="none"/>
        </w:rPr>
        <w:t>、项目地点：</w:t>
      </w:r>
      <w:r>
        <w:rPr>
          <w:rFonts w:eastAsia="仿宋_GB2312"/>
          <w:color w:val="auto"/>
          <w:sz w:val="32"/>
          <w:szCs w:val="32"/>
          <w:u w:val="single"/>
        </w:rPr>
        <w:t xml:space="preserve"> </w:t>
      </w:r>
      <w:r>
        <w:rPr>
          <w:rFonts w:hint="eastAsia" w:eastAsia="仿宋_GB2312"/>
          <w:color w:val="auto"/>
          <w:sz w:val="32"/>
          <w:szCs w:val="32"/>
          <w:u w:val="single"/>
        </w:rPr>
        <w:t>东莞市</w:t>
      </w:r>
      <w:r>
        <w:rPr>
          <w:rFonts w:hint="eastAsia" w:eastAsia="仿宋_GB2312"/>
          <w:color w:val="auto"/>
          <w:sz w:val="32"/>
          <w:szCs w:val="32"/>
          <w:u w:val="single"/>
          <w:lang w:val="en-US" w:eastAsia="zh-CN"/>
        </w:rPr>
        <w:t xml:space="preserve"> </w:t>
      </w:r>
      <w:r>
        <w:rPr>
          <w:rFonts w:hint="eastAsia" w:eastAsia="仿宋_GB2312"/>
          <w:color w:val="auto"/>
          <w:sz w:val="32"/>
          <w:szCs w:val="32"/>
          <w:u w:val="none"/>
        </w:rPr>
        <w:t>；</w:t>
      </w:r>
    </w:p>
    <w:p>
      <w:pPr>
        <w:keepNext w:val="0"/>
        <w:keepLines w:val="0"/>
        <w:pageBreakBefore w:val="0"/>
        <w:kinsoku/>
        <w:wordWrap/>
        <w:overflowPunct/>
        <w:topLinePunct w:val="0"/>
        <w:autoSpaceDE/>
        <w:autoSpaceDN/>
        <w:bidi w:val="0"/>
        <w:adjustRightInd w:val="0"/>
        <w:snapToGrid w:val="0"/>
        <w:spacing w:line="276" w:lineRule="auto"/>
        <w:ind w:firstLine="640" w:firstLineChars="200"/>
        <w:textAlignment w:val="auto"/>
        <w:rPr>
          <w:rFonts w:eastAsia="仿宋_GB2312"/>
          <w:color w:val="auto"/>
          <w:sz w:val="32"/>
          <w:szCs w:val="32"/>
          <w:u w:val="none"/>
        </w:rPr>
      </w:pPr>
      <w:r>
        <w:rPr>
          <w:rFonts w:eastAsia="仿宋_GB2312"/>
          <w:color w:val="auto"/>
          <w:sz w:val="32"/>
          <w:szCs w:val="32"/>
          <w:u w:val="none"/>
        </w:rPr>
        <w:t>4</w:t>
      </w:r>
      <w:r>
        <w:rPr>
          <w:rFonts w:hint="eastAsia" w:eastAsia="仿宋_GB2312"/>
          <w:color w:val="auto"/>
          <w:sz w:val="32"/>
          <w:szCs w:val="32"/>
          <w:u w:val="none"/>
        </w:rPr>
        <w:t>、服务时间（供货时间</w:t>
      </w:r>
      <w:r>
        <w:rPr>
          <w:rFonts w:eastAsia="仿宋_GB2312"/>
          <w:color w:val="auto"/>
          <w:sz w:val="32"/>
          <w:szCs w:val="32"/>
          <w:u w:val="none"/>
        </w:rPr>
        <w:t>/</w:t>
      </w:r>
      <w:r>
        <w:rPr>
          <w:rFonts w:hint="eastAsia" w:eastAsia="仿宋_GB2312"/>
          <w:color w:val="auto"/>
          <w:sz w:val="32"/>
          <w:szCs w:val="32"/>
          <w:u w:val="none"/>
        </w:rPr>
        <w:t>工期）：</w:t>
      </w:r>
    </w:p>
    <w:p>
      <w:pPr>
        <w:keepNext w:val="0"/>
        <w:keepLines w:val="0"/>
        <w:pageBreakBefore w:val="0"/>
        <w:kinsoku/>
        <w:wordWrap/>
        <w:overflowPunct/>
        <w:topLinePunct w:val="0"/>
        <w:autoSpaceDE/>
        <w:autoSpaceDN/>
        <w:bidi w:val="0"/>
        <w:adjustRightInd w:val="0"/>
        <w:snapToGrid w:val="0"/>
        <w:spacing w:line="276" w:lineRule="auto"/>
        <w:ind w:firstLine="640" w:firstLineChars="200"/>
        <w:textAlignment w:val="auto"/>
        <w:rPr>
          <w:rFonts w:hint="eastAsia" w:eastAsia="仿宋_GB2312"/>
          <w:color w:val="auto"/>
          <w:sz w:val="32"/>
          <w:szCs w:val="32"/>
          <w:u w:val="single"/>
        </w:rPr>
      </w:pPr>
      <w:r>
        <w:rPr>
          <w:rFonts w:hint="eastAsia" w:eastAsia="仿宋_GB2312"/>
          <w:color w:val="auto"/>
          <w:sz w:val="32"/>
          <w:szCs w:val="32"/>
          <w:u w:val="single"/>
          <w:lang w:eastAsia="zh-CN"/>
        </w:rPr>
        <w:t>（</w:t>
      </w:r>
      <w:r>
        <w:rPr>
          <w:rFonts w:hint="eastAsia" w:eastAsia="仿宋_GB2312"/>
          <w:color w:val="auto"/>
          <w:sz w:val="32"/>
          <w:szCs w:val="32"/>
          <w:u w:val="single"/>
          <w:lang w:val="en-US" w:eastAsia="zh-CN"/>
        </w:rPr>
        <w:t>1</w:t>
      </w:r>
      <w:r>
        <w:rPr>
          <w:rFonts w:hint="eastAsia" w:eastAsia="仿宋_GB2312"/>
          <w:color w:val="auto"/>
          <w:sz w:val="32"/>
          <w:szCs w:val="32"/>
          <w:u w:val="single"/>
          <w:lang w:eastAsia="zh-CN"/>
        </w:rPr>
        <w:t>）</w:t>
      </w:r>
      <w:r>
        <w:rPr>
          <w:rFonts w:hint="eastAsia" w:eastAsia="仿宋_GB2312"/>
          <w:color w:val="auto"/>
          <w:sz w:val="32"/>
          <w:szCs w:val="32"/>
          <w:u w:val="single"/>
        </w:rPr>
        <w:t>收到甲方发出的中标通知书后10个工作日内，基坑监测方案通过东莞市建筑科学研究所专家论证评审并完成相关备案工作；</w:t>
      </w:r>
    </w:p>
    <w:p>
      <w:pPr>
        <w:keepNext w:val="0"/>
        <w:keepLines w:val="0"/>
        <w:pageBreakBefore w:val="0"/>
        <w:kinsoku/>
        <w:wordWrap/>
        <w:overflowPunct/>
        <w:topLinePunct w:val="0"/>
        <w:autoSpaceDE/>
        <w:autoSpaceDN/>
        <w:bidi w:val="0"/>
        <w:adjustRightInd w:val="0"/>
        <w:snapToGrid w:val="0"/>
        <w:spacing w:line="276" w:lineRule="auto"/>
        <w:ind w:firstLine="640" w:firstLineChars="200"/>
        <w:textAlignment w:val="auto"/>
        <w:rPr>
          <w:rFonts w:eastAsia="仿宋_GB2312"/>
          <w:color w:val="auto"/>
          <w:sz w:val="32"/>
          <w:szCs w:val="32"/>
          <w:u w:val="single"/>
        </w:rPr>
      </w:pPr>
      <w:r>
        <w:rPr>
          <w:rFonts w:hint="eastAsia" w:eastAsia="仿宋_GB2312"/>
          <w:color w:val="auto"/>
          <w:sz w:val="32"/>
          <w:szCs w:val="32"/>
          <w:u w:val="single"/>
          <w:lang w:eastAsia="zh-CN"/>
        </w:rPr>
        <w:t>（</w:t>
      </w:r>
      <w:r>
        <w:rPr>
          <w:rFonts w:hint="eastAsia" w:eastAsia="仿宋_GB2312"/>
          <w:color w:val="auto"/>
          <w:sz w:val="32"/>
          <w:szCs w:val="32"/>
          <w:u w:val="single"/>
          <w:lang w:val="en-US" w:eastAsia="zh-CN"/>
        </w:rPr>
        <w:t>2</w:t>
      </w:r>
      <w:r>
        <w:rPr>
          <w:rFonts w:hint="eastAsia" w:eastAsia="仿宋_GB2312"/>
          <w:color w:val="auto"/>
          <w:sz w:val="32"/>
          <w:szCs w:val="32"/>
          <w:u w:val="single"/>
          <w:lang w:eastAsia="zh-CN"/>
        </w:rPr>
        <w:t>）</w:t>
      </w:r>
      <w:r>
        <w:rPr>
          <w:rFonts w:hint="eastAsia" w:eastAsia="仿宋_GB2312"/>
          <w:color w:val="auto"/>
          <w:sz w:val="32"/>
          <w:szCs w:val="32"/>
          <w:u w:val="single"/>
        </w:rPr>
        <w:t>基坑监测服务期涵盖整个从基坑开挖到回填正负零暂定120天，具体开工日期以甲方书面通知为准。</w:t>
      </w:r>
    </w:p>
    <w:p>
      <w:pPr>
        <w:keepNext w:val="0"/>
        <w:keepLines w:val="0"/>
        <w:pageBreakBefore w:val="0"/>
        <w:kinsoku/>
        <w:wordWrap/>
        <w:overflowPunct/>
        <w:topLinePunct w:val="0"/>
        <w:autoSpaceDE/>
        <w:autoSpaceDN/>
        <w:bidi w:val="0"/>
        <w:adjustRightInd w:val="0"/>
        <w:snapToGrid w:val="0"/>
        <w:spacing w:line="276" w:lineRule="auto"/>
        <w:ind w:firstLine="640" w:firstLineChars="200"/>
        <w:textAlignment w:val="auto"/>
        <w:outlineLvl w:val="1"/>
        <w:rPr>
          <w:rFonts w:eastAsia="黑体"/>
          <w:color w:val="auto"/>
          <w:sz w:val="32"/>
          <w:szCs w:val="32"/>
        </w:rPr>
      </w:pPr>
      <w:r>
        <w:rPr>
          <w:rFonts w:hint="eastAsia" w:eastAsia="黑体"/>
          <w:color w:val="auto"/>
          <w:sz w:val="32"/>
          <w:szCs w:val="32"/>
        </w:rPr>
        <w:t>二、项目发布</w:t>
      </w:r>
    </w:p>
    <w:p>
      <w:pPr>
        <w:keepNext w:val="0"/>
        <w:keepLines w:val="0"/>
        <w:pageBreakBefore w:val="0"/>
        <w:kinsoku/>
        <w:wordWrap/>
        <w:overflowPunct/>
        <w:topLinePunct w:val="0"/>
        <w:autoSpaceDE/>
        <w:autoSpaceDN/>
        <w:bidi w:val="0"/>
        <w:adjustRightInd w:val="0"/>
        <w:snapToGrid w:val="0"/>
        <w:spacing w:line="276" w:lineRule="auto"/>
        <w:ind w:firstLine="640" w:firstLineChars="200"/>
        <w:textAlignment w:val="auto"/>
        <w:rPr>
          <w:rFonts w:eastAsia="仿宋_GB2312"/>
          <w:color w:val="auto"/>
          <w:sz w:val="32"/>
          <w:szCs w:val="32"/>
        </w:rPr>
      </w:pPr>
      <w:r>
        <w:rPr>
          <w:rFonts w:hint="eastAsia" w:eastAsia="仿宋_GB2312"/>
          <w:color w:val="auto"/>
          <w:sz w:val="32"/>
          <w:szCs w:val="32"/>
        </w:rPr>
        <w:t>本采购项目信息在东莞实业投资控股集团有限公司网站（</w:t>
      </w:r>
      <w:r>
        <w:rPr>
          <w:rFonts w:eastAsia="仿宋_GB2312"/>
          <w:color w:val="auto"/>
          <w:sz w:val="32"/>
          <w:szCs w:val="32"/>
        </w:rPr>
        <w:t>http://www.dgsy.com.cn/</w:t>
      </w:r>
      <w:r>
        <w:rPr>
          <w:rFonts w:hint="eastAsia" w:eastAsia="仿宋_GB2312"/>
          <w:color w:val="auto"/>
          <w:sz w:val="32"/>
          <w:szCs w:val="32"/>
        </w:rPr>
        <w:t>）</w:t>
      </w:r>
      <w:r>
        <w:rPr>
          <w:rFonts w:hint="eastAsia" w:eastAsia="仿宋_GB2312"/>
          <w:color w:val="auto"/>
          <w:sz w:val="32"/>
          <w:szCs w:val="32"/>
          <w:lang w:val="en-US" w:eastAsia="zh-CN"/>
        </w:rPr>
        <w:t>及莞建公司官网（http://www.dggcc.cn）</w:t>
      </w:r>
      <w:r>
        <w:rPr>
          <w:rFonts w:hint="eastAsia" w:eastAsia="仿宋_GB2312"/>
          <w:color w:val="auto"/>
          <w:sz w:val="32"/>
          <w:szCs w:val="32"/>
        </w:rPr>
        <w:t>发布。</w:t>
      </w:r>
    </w:p>
    <w:p>
      <w:pPr>
        <w:keepNext w:val="0"/>
        <w:keepLines w:val="0"/>
        <w:pageBreakBefore w:val="0"/>
        <w:kinsoku/>
        <w:wordWrap/>
        <w:overflowPunct/>
        <w:topLinePunct w:val="0"/>
        <w:autoSpaceDE/>
        <w:autoSpaceDN/>
        <w:bidi w:val="0"/>
        <w:adjustRightInd w:val="0"/>
        <w:snapToGrid w:val="0"/>
        <w:spacing w:line="276" w:lineRule="auto"/>
        <w:ind w:firstLine="640" w:firstLineChars="200"/>
        <w:textAlignment w:val="auto"/>
        <w:outlineLvl w:val="1"/>
        <w:rPr>
          <w:rFonts w:eastAsia="黑体"/>
          <w:color w:val="auto"/>
          <w:sz w:val="32"/>
          <w:szCs w:val="32"/>
        </w:rPr>
      </w:pPr>
      <w:r>
        <w:rPr>
          <w:rFonts w:eastAsia="黑体"/>
          <w:color w:val="auto"/>
          <w:sz w:val="32"/>
          <w:szCs w:val="32"/>
        </w:rPr>
        <w:sym w:font="Wingdings" w:char="F0AB"/>
      </w:r>
      <w:r>
        <w:rPr>
          <w:rFonts w:hint="eastAsia" w:eastAsia="黑体"/>
          <w:color w:val="auto"/>
          <w:sz w:val="32"/>
          <w:szCs w:val="32"/>
        </w:rPr>
        <w:t>三、响应人资格要求</w:t>
      </w:r>
    </w:p>
    <w:p>
      <w:pPr>
        <w:keepNext w:val="0"/>
        <w:keepLines w:val="0"/>
        <w:pageBreakBefore w:val="0"/>
        <w:kinsoku/>
        <w:wordWrap/>
        <w:overflowPunct/>
        <w:topLinePunct w:val="0"/>
        <w:autoSpaceDE/>
        <w:autoSpaceDN/>
        <w:bidi w:val="0"/>
        <w:adjustRightInd w:val="0"/>
        <w:snapToGrid w:val="0"/>
        <w:spacing w:line="276" w:lineRule="auto"/>
        <w:ind w:firstLine="640" w:firstLineChars="200"/>
        <w:textAlignment w:val="auto"/>
        <w:rPr>
          <w:rFonts w:hint="eastAsia" w:eastAsia="仿宋_GB2312"/>
          <w:color w:val="auto"/>
          <w:sz w:val="32"/>
          <w:szCs w:val="32"/>
        </w:rPr>
      </w:pPr>
      <w:r>
        <w:rPr>
          <w:rFonts w:eastAsia="仿宋_GB2312"/>
          <w:color w:val="auto"/>
          <w:sz w:val="32"/>
          <w:szCs w:val="32"/>
        </w:rPr>
        <w:t>1</w:t>
      </w:r>
      <w:r>
        <w:rPr>
          <w:rFonts w:hint="eastAsia" w:eastAsia="仿宋_GB2312"/>
          <w:color w:val="auto"/>
          <w:sz w:val="32"/>
          <w:szCs w:val="32"/>
        </w:rPr>
        <w:t>、响应人必须是具有独立承担民事责任能力的企业或事业单位法人或其它组织。【提供《营业执照》复印件（加盖公章）或《事业单位法人证书》复印件（加盖公章）或其他主体证书复印件（加盖公章）】。</w:t>
      </w:r>
    </w:p>
    <w:p>
      <w:pPr>
        <w:spacing w:line="400" w:lineRule="exact"/>
        <w:ind w:firstLine="640" w:firstLineChars="200"/>
        <w:rPr>
          <w:rFonts w:hint="eastAsia" w:ascii="仿宋" w:hAnsi="仿宋" w:eastAsia="仿宋"/>
          <w:color w:val="auto"/>
          <w:sz w:val="32"/>
          <w:szCs w:val="32"/>
        </w:rPr>
      </w:pPr>
      <w:r>
        <w:rPr>
          <w:rFonts w:hint="eastAsia" w:ascii="仿宋" w:hAnsi="仿宋" w:eastAsia="仿宋"/>
          <w:color w:val="auto"/>
          <w:sz w:val="32"/>
          <w:szCs w:val="32"/>
        </w:rPr>
        <w:t>2、资质要求：响应人须具备</w:t>
      </w:r>
      <w:r>
        <w:rPr>
          <w:rFonts w:hint="eastAsia" w:ascii="仿宋" w:hAnsi="仿宋" w:eastAsia="仿宋"/>
          <w:color w:val="auto"/>
          <w:sz w:val="32"/>
          <w:szCs w:val="32"/>
          <w:u w:val="single"/>
        </w:rPr>
        <w:t>岩土勘察专业类岩土工程物探测试检测监测乙级和工程测量乙级及以上资质且该资质在有效范围内。</w:t>
      </w:r>
      <w:r>
        <w:rPr>
          <w:rFonts w:hint="eastAsia" w:ascii="仿宋" w:hAnsi="仿宋" w:eastAsia="仿宋"/>
          <w:color w:val="auto"/>
          <w:sz w:val="32"/>
          <w:szCs w:val="32"/>
        </w:rPr>
        <w:t>【提供资质证书复印件（加盖公章）】</w:t>
      </w:r>
    </w:p>
    <w:p>
      <w:pPr>
        <w:keepNext w:val="0"/>
        <w:keepLines w:val="0"/>
        <w:pageBreakBefore w:val="0"/>
        <w:kinsoku/>
        <w:wordWrap/>
        <w:overflowPunct/>
        <w:topLinePunct w:val="0"/>
        <w:autoSpaceDE/>
        <w:autoSpaceDN/>
        <w:bidi w:val="0"/>
        <w:adjustRightInd w:val="0"/>
        <w:snapToGrid w:val="0"/>
        <w:spacing w:line="276" w:lineRule="auto"/>
        <w:ind w:firstLine="640" w:firstLineChars="200"/>
        <w:textAlignment w:val="auto"/>
        <w:rPr>
          <w:rFonts w:eastAsia="仿宋_GB2312"/>
          <w:color w:val="auto"/>
          <w:sz w:val="32"/>
          <w:szCs w:val="32"/>
        </w:rPr>
      </w:pPr>
      <w:r>
        <w:rPr>
          <w:rFonts w:hint="eastAsia" w:ascii="仿宋" w:hAnsi="仿宋" w:eastAsia="仿宋"/>
          <w:color w:val="auto"/>
          <w:sz w:val="32"/>
          <w:szCs w:val="32"/>
          <w:highlight w:val="none"/>
          <w:lang w:val="en-US" w:eastAsia="zh-CN"/>
        </w:rPr>
        <w:t>3</w:t>
      </w:r>
      <w:r>
        <w:rPr>
          <w:rFonts w:hint="eastAsia" w:eastAsia="仿宋_GB2312"/>
          <w:color w:val="auto"/>
          <w:sz w:val="32"/>
          <w:szCs w:val="32"/>
        </w:rPr>
        <w:t>、未被列入东实集团供应商黑名单。</w:t>
      </w:r>
    </w:p>
    <w:p>
      <w:pPr>
        <w:keepNext w:val="0"/>
        <w:keepLines w:val="0"/>
        <w:pageBreakBefore w:val="0"/>
        <w:kinsoku/>
        <w:wordWrap/>
        <w:overflowPunct/>
        <w:topLinePunct w:val="0"/>
        <w:autoSpaceDE/>
        <w:autoSpaceDN/>
        <w:bidi w:val="0"/>
        <w:adjustRightInd w:val="0"/>
        <w:snapToGrid w:val="0"/>
        <w:spacing w:line="276" w:lineRule="auto"/>
        <w:ind w:firstLine="640" w:firstLineChars="200"/>
        <w:textAlignment w:val="auto"/>
        <w:outlineLvl w:val="1"/>
        <w:rPr>
          <w:rFonts w:eastAsia="黑体"/>
          <w:color w:val="auto"/>
          <w:sz w:val="32"/>
          <w:szCs w:val="32"/>
        </w:rPr>
      </w:pPr>
      <w:r>
        <w:rPr>
          <w:rFonts w:hint="eastAsia" w:eastAsia="黑体"/>
          <w:color w:val="auto"/>
          <w:sz w:val="32"/>
          <w:szCs w:val="32"/>
        </w:rPr>
        <w:t>四、采购内容及要求</w:t>
      </w:r>
    </w:p>
    <w:p>
      <w:pPr>
        <w:keepNext w:val="0"/>
        <w:keepLines w:val="0"/>
        <w:pageBreakBefore w:val="0"/>
        <w:kinsoku/>
        <w:wordWrap/>
        <w:overflowPunct/>
        <w:topLinePunct w:val="0"/>
        <w:autoSpaceDE/>
        <w:autoSpaceDN/>
        <w:bidi w:val="0"/>
        <w:spacing w:line="276" w:lineRule="auto"/>
        <w:ind w:firstLine="640" w:firstLineChars="200"/>
        <w:textAlignment w:val="auto"/>
        <w:rPr>
          <w:rFonts w:eastAsia="仿宋_GB2312"/>
          <w:color w:val="auto"/>
          <w:sz w:val="32"/>
          <w:szCs w:val="32"/>
          <w:u w:val="none"/>
        </w:rPr>
      </w:pPr>
      <w:r>
        <w:rPr>
          <w:rFonts w:hint="eastAsia" w:eastAsia="仿宋_GB2312"/>
          <w:color w:val="auto"/>
          <w:sz w:val="32"/>
          <w:szCs w:val="32"/>
          <w:u w:val="none"/>
        </w:rPr>
        <w:t>具体要求详见本磋商文件《用户需求书》。响应人须仔细阅读本用户需求书，因未详细了解本用户需求书造成报价项目遗漏，由响应人自行负责。</w:t>
      </w:r>
    </w:p>
    <w:p>
      <w:pPr>
        <w:keepNext w:val="0"/>
        <w:keepLines w:val="0"/>
        <w:pageBreakBefore w:val="0"/>
        <w:kinsoku/>
        <w:wordWrap/>
        <w:overflowPunct/>
        <w:topLinePunct w:val="0"/>
        <w:autoSpaceDE/>
        <w:autoSpaceDN/>
        <w:bidi w:val="0"/>
        <w:adjustRightInd w:val="0"/>
        <w:snapToGrid w:val="0"/>
        <w:spacing w:line="276" w:lineRule="auto"/>
        <w:ind w:firstLine="640" w:firstLineChars="200"/>
        <w:textAlignment w:val="auto"/>
        <w:outlineLvl w:val="1"/>
        <w:rPr>
          <w:rFonts w:eastAsia="黑体"/>
          <w:color w:val="auto"/>
          <w:sz w:val="32"/>
          <w:szCs w:val="32"/>
          <w:u w:val="none"/>
        </w:rPr>
      </w:pPr>
      <w:r>
        <w:rPr>
          <w:rFonts w:hint="eastAsia" w:eastAsia="黑体"/>
          <w:color w:val="auto"/>
          <w:sz w:val="32"/>
          <w:szCs w:val="32"/>
          <w:u w:val="none"/>
        </w:rPr>
        <w:t>五、完成时间</w:t>
      </w:r>
    </w:p>
    <w:p>
      <w:pPr>
        <w:keepNext w:val="0"/>
        <w:keepLines w:val="0"/>
        <w:pageBreakBefore w:val="0"/>
        <w:kinsoku/>
        <w:wordWrap/>
        <w:overflowPunct/>
        <w:topLinePunct w:val="0"/>
        <w:autoSpaceDE/>
        <w:autoSpaceDN/>
        <w:bidi w:val="0"/>
        <w:spacing w:line="276" w:lineRule="auto"/>
        <w:ind w:firstLine="640" w:firstLineChars="200"/>
        <w:textAlignment w:val="auto"/>
        <w:rPr>
          <w:rFonts w:eastAsia="仿宋_GB2312"/>
          <w:color w:val="auto"/>
          <w:sz w:val="32"/>
          <w:szCs w:val="32"/>
          <w:u w:val="none"/>
        </w:rPr>
      </w:pPr>
      <w:bookmarkStart w:id="0" w:name="_Hlk38897553"/>
      <w:r>
        <w:rPr>
          <w:rFonts w:hint="eastAsia" w:eastAsia="仿宋_GB2312"/>
          <w:color w:val="auto"/>
          <w:sz w:val="32"/>
          <w:szCs w:val="32"/>
          <w:u w:val="none"/>
        </w:rPr>
        <w:t>详见合同文本。</w:t>
      </w:r>
      <w:bookmarkEnd w:id="0"/>
    </w:p>
    <w:p>
      <w:pPr>
        <w:keepNext w:val="0"/>
        <w:keepLines w:val="0"/>
        <w:pageBreakBefore w:val="0"/>
        <w:kinsoku/>
        <w:wordWrap/>
        <w:overflowPunct/>
        <w:topLinePunct w:val="0"/>
        <w:autoSpaceDE/>
        <w:autoSpaceDN/>
        <w:bidi w:val="0"/>
        <w:adjustRightInd w:val="0"/>
        <w:snapToGrid w:val="0"/>
        <w:spacing w:line="276" w:lineRule="auto"/>
        <w:ind w:firstLine="640" w:firstLineChars="200"/>
        <w:textAlignment w:val="auto"/>
        <w:outlineLvl w:val="1"/>
        <w:rPr>
          <w:rFonts w:eastAsia="黑体"/>
          <w:color w:val="auto"/>
          <w:sz w:val="32"/>
          <w:szCs w:val="32"/>
          <w:u w:val="none"/>
        </w:rPr>
      </w:pPr>
      <w:r>
        <w:rPr>
          <w:rFonts w:hint="eastAsia" w:eastAsia="黑体"/>
          <w:color w:val="auto"/>
          <w:sz w:val="32"/>
          <w:szCs w:val="32"/>
          <w:u w:val="none"/>
        </w:rPr>
        <w:t>六、支付方式</w:t>
      </w:r>
    </w:p>
    <w:p>
      <w:pPr>
        <w:keepNext w:val="0"/>
        <w:keepLines w:val="0"/>
        <w:pageBreakBefore w:val="0"/>
        <w:kinsoku/>
        <w:wordWrap/>
        <w:overflowPunct/>
        <w:topLinePunct w:val="0"/>
        <w:autoSpaceDE/>
        <w:autoSpaceDN/>
        <w:bidi w:val="0"/>
        <w:adjustRightInd w:val="0"/>
        <w:snapToGrid w:val="0"/>
        <w:spacing w:line="276" w:lineRule="auto"/>
        <w:ind w:firstLine="640" w:firstLineChars="200"/>
        <w:textAlignment w:val="auto"/>
        <w:outlineLvl w:val="1"/>
        <w:rPr>
          <w:rFonts w:eastAsia="仿宋_GB2312"/>
          <w:color w:val="auto"/>
          <w:sz w:val="32"/>
          <w:szCs w:val="32"/>
          <w:u w:val="none"/>
        </w:rPr>
      </w:pPr>
      <w:r>
        <w:rPr>
          <w:rFonts w:hint="eastAsia" w:eastAsia="仿宋_GB2312"/>
          <w:color w:val="auto"/>
          <w:sz w:val="32"/>
          <w:szCs w:val="32"/>
          <w:u w:val="none"/>
        </w:rPr>
        <w:t>详见合同文本。</w:t>
      </w:r>
    </w:p>
    <w:p>
      <w:pPr>
        <w:keepNext w:val="0"/>
        <w:keepLines w:val="0"/>
        <w:pageBreakBefore w:val="0"/>
        <w:kinsoku/>
        <w:wordWrap/>
        <w:overflowPunct/>
        <w:topLinePunct w:val="0"/>
        <w:autoSpaceDE/>
        <w:autoSpaceDN/>
        <w:bidi w:val="0"/>
        <w:adjustRightInd w:val="0"/>
        <w:snapToGrid w:val="0"/>
        <w:spacing w:line="276" w:lineRule="auto"/>
        <w:ind w:firstLine="640" w:firstLineChars="200"/>
        <w:textAlignment w:val="auto"/>
        <w:outlineLvl w:val="1"/>
        <w:rPr>
          <w:rFonts w:eastAsia="黑体"/>
          <w:color w:val="auto"/>
          <w:sz w:val="32"/>
          <w:szCs w:val="32"/>
        </w:rPr>
      </w:pPr>
      <w:r>
        <w:rPr>
          <w:rFonts w:hint="eastAsia" w:eastAsia="黑体"/>
          <w:color w:val="auto"/>
          <w:sz w:val="32"/>
          <w:szCs w:val="32"/>
        </w:rPr>
        <w:t>七、报价</w:t>
      </w:r>
    </w:p>
    <w:p>
      <w:pPr>
        <w:keepNext w:val="0"/>
        <w:keepLines w:val="0"/>
        <w:pageBreakBefore w:val="0"/>
        <w:kinsoku/>
        <w:wordWrap/>
        <w:overflowPunct/>
        <w:topLinePunct w:val="0"/>
        <w:autoSpaceDE/>
        <w:autoSpaceDN/>
        <w:bidi w:val="0"/>
        <w:spacing w:line="276" w:lineRule="auto"/>
        <w:ind w:firstLine="640" w:firstLineChars="200"/>
        <w:textAlignment w:val="auto"/>
        <w:rPr>
          <w:rFonts w:hint="eastAsia" w:eastAsia="仿宋_GB2312"/>
          <w:color w:val="auto"/>
          <w:sz w:val="32"/>
          <w:szCs w:val="32"/>
        </w:rPr>
      </w:pPr>
      <w:r>
        <w:rPr>
          <w:rFonts w:hint="eastAsia" w:eastAsia="仿宋_GB2312"/>
          <w:color w:val="auto"/>
          <w:sz w:val="32"/>
          <w:szCs w:val="32"/>
        </w:rPr>
        <w:t>采购限价：</w:t>
      </w:r>
      <w:r>
        <w:rPr>
          <w:rFonts w:eastAsia="仿宋_GB2312"/>
          <w:color w:val="auto"/>
          <w:sz w:val="32"/>
          <w:szCs w:val="32"/>
        </w:rPr>
        <w:t>¥</w:t>
      </w:r>
      <w:r>
        <w:rPr>
          <w:rFonts w:hint="eastAsia" w:eastAsia="仿宋_GB2312"/>
          <w:color w:val="auto"/>
          <w:sz w:val="32"/>
          <w:szCs w:val="32"/>
          <w:lang w:val="en-US" w:eastAsia="zh-CN"/>
        </w:rPr>
        <w:t xml:space="preserve"> </w:t>
      </w:r>
      <w:r>
        <w:rPr>
          <w:rFonts w:hint="eastAsia" w:eastAsia="仿宋_GB2312"/>
          <w:color w:val="auto"/>
          <w:sz w:val="32"/>
          <w:szCs w:val="32"/>
          <w:u w:val="single"/>
        </w:rPr>
        <w:t>396586.40</w:t>
      </w:r>
      <w:r>
        <w:rPr>
          <w:rFonts w:hint="eastAsia" w:eastAsia="仿宋_GB2312"/>
          <w:color w:val="auto"/>
          <w:sz w:val="32"/>
          <w:szCs w:val="32"/>
        </w:rPr>
        <w:t>元（含税）。</w:t>
      </w:r>
    </w:p>
    <w:p>
      <w:pPr>
        <w:keepNext w:val="0"/>
        <w:keepLines w:val="0"/>
        <w:pageBreakBefore w:val="0"/>
        <w:kinsoku/>
        <w:wordWrap/>
        <w:overflowPunct/>
        <w:topLinePunct w:val="0"/>
        <w:autoSpaceDE/>
        <w:autoSpaceDN/>
        <w:bidi w:val="0"/>
        <w:spacing w:line="276" w:lineRule="auto"/>
        <w:ind w:firstLine="640" w:firstLineChars="200"/>
        <w:textAlignment w:val="auto"/>
        <w:rPr>
          <w:rFonts w:hint="eastAsia" w:eastAsia="仿宋_GB2312"/>
          <w:color w:val="auto"/>
          <w:sz w:val="32"/>
          <w:szCs w:val="32"/>
          <w:u w:val="single"/>
          <w:lang w:eastAsia="zh-CN"/>
        </w:rPr>
      </w:pPr>
      <w:r>
        <w:rPr>
          <w:rFonts w:hint="eastAsia" w:eastAsia="仿宋_GB2312"/>
          <w:color w:val="auto"/>
          <w:sz w:val="32"/>
          <w:szCs w:val="32"/>
        </w:rPr>
        <w:t>本项目发包方式</w:t>
      </w:r>
      <w:r>
        <w:rPr>
          <w:rFonts w:hint="eastAsia" w:eastAsia="仿宋_GB2312"/>
          <w:color w:val="auto"/>
          <w:sz w:val="32"/>
          <w:szCs w:val="32"/>
          <w:lang w:eastAsia="zh-CN"/>
        </w:rPr>
        <w:t>：</w:t>
      </w:r>
      <w:r>
        <w:rPr>
          <w:rFonts w:hint="eastAsia" w:eastAsia="仿宋_GB2312"/>
          <w:color w:val="auto"/>
          <w:sz w:val="32"/>
          <w:szCs w:val="32"/>
          <w:lang w:val="en-US" w:eastAsia="zh-CN"/>
        </w:rPr>
        <w:t>基坑监测</w:t>
      </w:r>
      <w:r>
        <w:rPr>
          <w:rFonts w:hint="eastAsia" w:eastAsia="仿宋_GB2312"/>
          <w:color w:val="auto"/>
          <w:sz w:val="32"/>
          <w:szCs w:val="32"/>
          <w:lang w:eastAsia="zh-CN"/>
        </w:rPr>
        <w:t>服务费含税总价暂定为</w:t>
      </w:r>
      <w:r>
        <w:rPr>
          <w:rFonts w:hint="eastAsia" w:eastAsia="仿宋_GB2312"/>
          <w:color w:val="auto"/>
          <w:sz w:val="32"/>
          <w:szCs w:val="32"/>
          <w:u w:val="single"/>
          <w:lang w:eastAsia="zh-CN"/>
        </w:rPr>
        <w:t xml:space="preserve"> ￥    元（大写人民币：     </w:t>
      </w:r>
      <w:r>
        <w:rPr>
          <w:rFonts w:hint="eastAsia" w:eastAsia="仿宋_GB2312"/>
          <w:color w:val="auto"/>
          <w:sz w:val="32"/>
          <w:szCs w:val="32"/>
          <w:lang w:eastAsia="zh-CN"/>
        </w:rPr>
        <w:t>），（含税</w:t>
      </w:r>
      <w:r>
        <w:rPr>
          <w:rFonts w:hint="eastAsia" w:eastAsia="仿宋_GB2312"/>
          <w:color w:val="auto"/>
          <w:sz w:val="32"/>
          <w:szCs w:val="32"/>
          <w:u w:val="single"/>
          <w:lang w:eastAsia="zh-CN"/>
        </w:rPr>
        <w:t xml:space="preserve">   %</w:t>
      </w:r>
      <w:r>
        <w:rPr>
          <w:rFonts w:hint="eastAsia" w:eastAsia="仿宋_GB2312"/>
          <w:color w:val="auto"/>
          <w:sz w:val="32"/>
          <w:szCs w:val="32"/>
          <w:lang w:eastAsia="zh-CN"/>
        </w:rPr>
        <w:t>增值税专用发票）。最终费用以实际完成工作量乘以综合单价乘以收费系数</w:t>
      </w:r>
      <w:r>
        <w:rPr>
          <w:rFonts w:hint="eastAsia" w:eastAsia="仿宋_GB2312"/>
          <w:color w:val="auto"/>
          <w:sz w:val="32"/>
          <w:szCs w:val="32"/>
          <w:u w:val="single"/>
          <w:lang w:eastAsia="zh-CN"/>
        </w:rPr>
        <w:t xml:space="preserve">      </w:t>
      </w:r>
      <w:r>
        <w:rPr>
          <w:rFonts w:hint="eastAsia" w:eastAsia="仿宋_GB2312"/>
          <w:color w:val="auto"/>
          <w:sz w:val="32"/>
          <w:szCs w:val="32"/>
          <w:lang w:eastAsia="zh-CN"/>
        </w:rPr>
        <w:t>计费，综合单价参考《工程勘察设计收费标准（2002年修订本）》及《广东省房屋建筑和市政工程质量安全检测收费指导价》。最终结算价不超投标报价。</w:t>
      </w:r>
    </w:p>
    <w:p>
      <w:pPr>
        <w:keepNext w:val="0"/>
        <w:keepLines w:val="0"/>
        <w:pageBreakBefore w:val="0"/>
        <w:kinsoku/>
        <w:wordWrap/>
        <w:overflowPunct/>
        <w:topLinePunct w:val="0"/>
        <w:autoSpaceDE/>
        <w:autoSpaceDN/>
        <w:bidi w:val="0"/>
        <w:spacing w:line="276" w:lineRule="auto"/>
        <w:ind w:firstLine="643" w:firstLineChars="200"/>
        <w:textAlignment w:val="auto"/>
        <w:rPr>
          <w:rFonts w:hint="eastAsia"/>
          <w:color w:val="auto"/>
        </w:rPr>
      </w:pPr>
      <w:r>
        <w:rPr>
          <w:rFonts w:hint="eastAsia" w:eastAsia="仿宋_GB2312"/>
          <w:b/>
          <w:bCs/>
          <w:color w:val="auto"/>
          <w:sz w:val="32"/>
          <w:szCs w:val="32"/>
        </w:rPr>
        <w:t>基坑监测服务收费系数的有效区间：0.00≤基坑监测服务收费系数</w:t>
      </w:r>
      <w:r>
        <w:rPr>
          <w:rFonts w:hint="eastAsia" w:ascii="宋体" w:hAnsi="宋体" w:eastAsia="宋体" w:cs="宋体"/>
          <w:bCs/>
          <w:color w:val="auto"/>
          <w:sz w:val="21"/>
          <w:szCs w:val="21"/>
        </w:rPr>
        <w:t>≤</w:t>
      </w:r>
      <w:r>
        <w:rPr>
          <w:rFonts w:hint="eastAsia" w:eastAsia="仿宋_GB2312"/>
          <w:b/>
          <w:bCs/>
          <w:color w:val="auto"/>
          <w:sz w:val="32"/>
          <w:szCs w:val="32"/>
        </w:rPr>
        <w:t>0.</w:t>
      </w:r>
      <w:r>
        <w:rPr>
          <w:rFonts w:hint="eastAsia" w:eastAsia="仿宋_GB2312"/>
          <w:b/>
          <w:bCs/>
          <w:color w:val="auto"/>
          <w:sz w:val="32"/>
          <w:szCs w:val="32"/>
          <w:lang w:val="en-US" w:eastAsia="zh-CN"/>
        </w:rPr>
        <w:t>8</w:t>
      </w:r>
      <w:r>
        <w:rPr>
          <w:rFonts w:hint="eastAsia" w:eastAsia="仿宋_GB2312"/>
          <w:b/>
          <w:bCs/>
          <w:color w:val="auto"/>
          <w:sz w:val="32"/>
          <w:szCs w:val="32"/>
        </w:rPr>
        <w:t>0，供应商在报价一览表上填报的基坑监测服务收费系数必须在上述有效区间内，否则其投标文件作无效投标文件处理。</w:t>
      </w:r>
    </w:p>
    <w:p>
      <w:pPr>
        <w:keepNext w:val="0"/>
        <w:keepLines w:val="0"/>
        <w:pageBreakBefore w:val="0"/>
        <w:kinsoku/>
        <w:wordWrap/>
        <w:overflowPunct/>
        <w:topLinePunct w:val="0"/>
        <w:autoSpaceDE/>
        <w:autoSpaceDN/>
        <w:bidi w:val="0"/>
        <w:adjustRightInd w:val="0"/>
        <w:snapToGrid w:val="0"/>
        <w:spacing w:line="276" w:lineRule="auto"/>
        <w:ind w:firstLine="640" w:firstLineChars="200"/>
        <w:textAlignment w:val="auto"/>
        <w:outlineLvl w:val="1"/>
        <w:rPr>
          <w:rFonts w:eastAsia="黑体"/>
          <w:color w:val="auto"/>
          <w:sz w:val="32"/>
          <w:szCs w:val="32"/>
        </w:rPr>
      </w:pPr>
      <w:r>
        <w:rPr>
          <w:rFonts w:hint="eastAsia" w:eastAsia="黑体"/>
          <w:color w:val="auto"/>
          <w:sz w:val="32"/>
          <w:szCs w:val="32"/>
        </w:rPr>
        <w:t>八、评标、定标</w:t>
      </w:r>
    </w:p>
    <w:p>
      <w:pPr>
        <w:keepNext w:val="0"/>
        <w:keepLines w:val="0"/>
        <w:pageBreakBefore w:val="0"/>
        <w:kinsoku/>
        <w:wordWrap/>
        <w:overflowPunct/>
        <w:topLinePunct w:val="0"/>
        <w:autoSpaceDE/>
        <w:autoSpaceDN/>
        <w:bidi w:val="0"/>
        <w:spacing w:line="276" w:lineRule="auto"/>
        <w:ind w:firstLine="640" w:firstLineChars="200"/>
        <w:textAlignment w:val="auto"/>
        <w:rPr>
          <w:rFonts w:eastAsia="仿宋_GB2312"/>
          <w:color w:val="auto"/>
          <w:sz w:val="32"/>
          <w:szCs w:val="32"/>
          <w:u w:val="none"/>
        </w:rPr>
      </w:pPr>
      <w:r>
        <w:rPr>
          <w:rFonts w:hint="eastAsia" w:eastAsia="仿宋_GB2312"/>
          <w:color w:val="auto"/>
          <w:sz w:val="32"/>
          <w:szCs w:val="32"/>
          <w:u w:val="none"/>
        </w:rPr>
        <w:t>1、开标：采购人代表主持，各响应人现场参与（磋商小组回避）。</w:t>
      </w:r>
    </w:p>
    <w:p>
      <w:pPr>
        <w:keepNext w:val="0"/>
        <w:keepLines w:val="0"/>
        <w:pageBreakBefore w:val="0"/>
        <w:kinsoku/>
        <w:wordWrap/>
        <w:overflowPunct/>
        <w:topLinePunct w:val="0"/>
        <w:autoSpaceDE/>
        <w:autoSpaceDN/>
        <w:bidi w:val="0"/>
        <w:spacing w:line="276" w:lineRule="auto"/>
        <w:ind w:firstLine="640" w:firstLineChars="200"/>
        <w:textAlignment w:val="auto"/>
        <w:rPr>
          <w:rFonts w:eastAsia="仿宋_GB2312"/>
          <w:color w:val="auto"/>
          <w:sz w:val="32"/>
          <w:szCs w:val="32"/>
          <w:u w:val="none"/>
        </w:rPr>
      </w:pPr>
      <w:r>
        <w:rPr>
          <w:rFonts w:hint="eastAsia" w:eastAsia="仿宋_GB2312"/>
          <w:color w:val="auto"/>
          <w:sz w:val="32"/>
          <w:szCs w:val="32"/>
          <w:u w:val="none"/>
        </w:rPr>
        <w:t>2、开标后，采购人组建的磋商小组将集中与各响应人一一进行一轮或多轮的磋商。在磋商过程中，磋商小组可以根据磋商文件和磋商情况实质性变动采购需求中的技术、服务要求以及合同草案条款，但不得变动磋商文件中的其他内容，并以书面形式通知所有参加磋商的响应人。磋商结束后，磋商小组应当要求所有实质性响应的供应商在规定时间内提交最后报价，除法律法规规定的允许的情况外，提交最后报价的供应商不得少于3家。最后报价是响应文件的有效组成部分。（最后报价原则上不应高于第一次报价）。</w:t>
      </w:r>
    </w:p>
    <w:p>
      <w:pPr>
        <w:keepNext w:val="0"/>
        <w:keepLines w:val="0"/>
        <w:pageBreakBefore w:val="0"/>
        <w:kinsoku/>
        <w:wordWrap/>
        <w:overflowPunct/>
        <w:topLinePunct w:val="0"/>
        <w:autoSpaceDE/>
        <w:autoSpaceDN/>
        <w:bidi w:val="0"/>
        <w:spacing w:line="276" w:lineRule="auto"/>
        <w:ind w:firstLine="640" w:firstLineChars="200"/>
        <w:textAlignment w:val="auto"/>
        <w:rPr>
          <w:rFonts w:eastAsia="仿宋_GB2312"/>
          <w:color w:val="auto"/>
          <w:sz w:val="32"/>
          <w:szCs w:val="32"/>
          <w:u w:val="none"/>
        </w:rPr>
      </w:pPr>
      <w:r>
        <w:rPr>
          <w:rFonts w:hint="eastAsia" w:eastAsia="仿宋_GB2312"/>
          <w:color w:val="auto"/>
          <w:sz w:val="32"/>
          <w:szCs w:val="32"/>
          <w:u w:val="none"/>
        </w:rPr>
        <w:t>3、定标原则：采取综合评标办法。按照本磋商文件中规定的评审方法和</w:t>
      </w:r>
      <w:r>
        <w:rPr>
          <w:rFonts w:hint="eastAsia" w:eastAsia="仿宋_GB2312"/>
          <w:color w:val="auto"/>
          <w:sz w:val="32"/>
          <w:szCs w:val="32"/>
          <w:u w:val="none"/>
          <w:lang w:val="en-US" w:eastAsia="zh-CN"/>
        </w:rPr>
        <w:t>评分</w:t>
      </w:r>
      <w:r>
        <w:rPr>
          <w:rFonts w:hint="eastAsia" w:eastAsia="仿宋_GB2312"/>
          <w:color w:val="auto"/>
          <w:sz w:val="32"/>
          <w:szCs w:val="32"/>
          <w:u w:val="none"/>
        </w:rPr>
        <w:t>标准，对符合性审查合格的响应文件进行价格、商务和技术的评估，综合比较与评价（详见第二部分 评分标准）。将各响应人的商务得分、技术得分和价格得分相加得出其综合得分；</w:t>
      </w:r>
      <w:r>
        <w:rPr>
          <w:rFonts w:hint="eastAsia" w:eastAsia="仿宋_GB2312"/>
          <w:color w:val="auto"/>
          <w:sz w:val="32"/>
          <w:szCs w:val="32"/>
          <w:u w:val="none"/>
          <w:lang w:val="en-US" w:eastAsia="zh-CN"/>
        </w:rPr>
        <w:t>再</w:t>
      </w:r>
      <w:r>
        <w:rPr>
          <w:rFonts w:hint="eastAsia" w:eastAsia="仿宋_GB2312"/>
          <w:color w:val="auto"/>
          <w:sz w:val="32"/>
          <w:szCs w:val="32"/>
          <w:u w:val="none"/>
        </w:rPr>
        <w:t>将各综合得分由高到低顺序排列，综合得分最高的响应人为第一成交候选人，综合得分次高的响应人为第二成交候选人。</w:t>
      </w:r>
    </w:p>
    <w:p>
      <w:pPr>
        <w:keepNext w:val="0"/>
        <w:keepLines w:val="0"/>
        <w:pageBreakBefore w:val="0"/>
        <w:kinsoku/>
        <w:wordWrap/>
        <w:overflowPunct/>
        <w:topLinePunct w:val="0"/>
        <w:autoSpaceDE/>
        <w:autoSpaceDN/>
        <w:bidi w:val="0"/>
        <w:spacing w:line="276" w:lineRule="auto"/>
        <w:ind w:firstLine="640" w:firstLineChars="200"/>
        <w:textAlignment w:val="auto"/>
        <w:rPr>
          <w:rFonts w:eastAsia="仿宋_GB2312"/>
          <w:color w:val="auto"/>
          <w:sz w:val="32"/>
          <w:szCs w:val="32"/>
          <w:u w:val="none"/>
        </w:rPr>
      </w:pPr>
      <w:r>
        <w:rPr>
          <w:rFonts w:hint="eastAsia" w:eastAsia="仿宋_GB2312"/>
          <w:color w:val="auto"/>
          <w:sz w:val="32"/>
          <w:szCs w:val="32"/>
          <w:u w:val="none"/>
        </w:rPr>
        <w:t>磋商完成后，招标采购工作小组将相关磋商情况按程序审批并确定成交人。</w:t>
      </w:r>
    </w:p>
    <w:p>
      <w:pPr>
        <w:keepNext w:val="0"/>
        <w:keepLines w:val="0"/>
        <w:pageBreakBefore w:val="0"/>
        <w:kinsoku/>
        <w:wordWrap/>
        <w:overflowPunct/>
        <w:topLinePunct w:val="0"/>
        <w:autoSpaceDE/>
        <w:autoSpaceDN/>
        <w:bidi w:val="0"/>
        <w:adjustRightInd w:val="0"/>
        <w:snapToGrid w:val="0"/>
        <w:spacing w:line="276" w:lineRule="auto"/>
        <w:ind w:firstLine="640" w:firstLineChars="200"/>
        <w:textAlignment w:val="auto"/>
        <w:outlineLvl w:val="1"/>
        <w:rPr>
          <w:rFonts w:eastAsia="黑体"/>
          <w:color w:val="auto"/>
          <w:sz w:val="32"/>
          <w:szCs w:val="32"/>
        </w:rPr>
      </w:pPr>
      <w:r>
        <w:rPr>
          <w:rFonts w:hint="eastAsia" w:eastAsia="黑体"/>
          <w:color w:val="auto"/>
          <w:sz w:val="32"/>
          <w:szCs w:val="32"/>
        </w:rPr>
        <w:t>九、采取的合同文本</w:t>
      </w:r>
    </w:p>
    <w:p>
      <w:pPr>
        <w:keepNext w:val="0"/>
        <w:keepLines w:val="0"/>
        <w:pageBreakBefore w:val="0"/>
        <w:kinsoku/>
        <w:wordWrap/>
        <w:overflowPunct/>
        <w:topLinePunct w:val="0"/>
        <w:autoSpaceDE/>
        <w:autoSpaceDN/>
        <w:bidi w:val="0"/>
        <w:spacing w:line="276" w:lineRule="auto"/>
        <w:ind w:firstLine="640" w:firstLineChars="200"/>
        <w:textAlignment w:val="auto"/>
        <w:rPr>
          <w:rFonts w:eastAsia="仿宋_GB2312"/>
          <w:color w:val="auto"/>
          <w:sz w:val="32"/>
          <w:szCs w:val="32"/>
        </w:rPr>
      </w:pPr>
      <w:r>
        <w:rPr>
          <w:rFonts w:hint="eastAsia" w:eastAsia="仿宋_GB2312"/>
          <w:color w:val="auto"/>
          <w:sz w:val="32"/>
          <w:szCs w:val="32"/>
        </w:rPr>
        <w:t>合同签订的依据为磋商文件、响应文件及补充说明等。确定成交人后，成交人在</w:t>
      </w:r>
      <w:r>
        <w:rPr>
          <w:rFonts w:hint="eastAsia" w:eastAsia="仿宋_GB2312"/>
          <w:color w:val="auto"/>
          <w:sz w:val="32"/>
          <w:szCs w:val="32"/>
          <w:u w:val="single"/>
        </w:rPr>
        <w:t>3</w:t>
      </w:r>
      <w:r>
        <w:rPr>
          <w:rFonts w:eastAsia="仿宋_GB2312"/>
          <w:color w:val="auto"/>
          <w:sz w:val="32"/>
          <w:szCs w:val="32"/>
          <w:u w:val="single"/>
        </w:rPr>
        <w:t>0</w:t>
      </w:r>
      <w:r>
        <w:rPr>
          <w:rFonts w:hint="eastAsia" w:eastAsia="仿宋_GB2312"/>
          <w:color w:val="auto"/>
          <w:sz w:val="32"/>
          <w:szCs w:val="32"/>
        </w:rPr>
        <w:t>天内与采购人签订合同。</w:t>
      </w:r>
    </w:p>
    <w:p>
      <w:pPr>
        <w:keepNext w:val="0"/>
        <w:keepLines w:val="0"/>
        <w:pageBreakBefore w:val="0"/>
        <w:kinsoku/>
        <w:wordWrap/>
        <w:overflowPunct/>
        <w:topLinePunct w:val="0"/>
        <w:autoSpaceDE/>
        <w:autoSpaceDN/>
        <w:bidi w:val="0"/>
        <w:spacing w:line="276" w:lineRule="auto"/>
        <w:ind w:firstLine="640" w:firstLineChars="200"/>
        <w:textAlignment w:val="auto"/>
        <w:rPr>
          <w:rFonts w:eastAsia="仿宋_GB2312"/>
          <w:color w:val="auto"/>
          <w:sz w:val="32"/>
          <w:szCs w:val="32"/>
        </w:rPr>
      </w:pPr>
      <w:r>
        <w:rPr>
          <w:rFonts w:hint="eastAsia" w:eastAsia="仿宋_GB2312"/>
          <w:color w:val="auto"/>
          <w:sz w:val="32"/>
          <w:szCs w:val="32"/>
        </w:rPr>
        <w:t>成交人收款前需向采购人提供请款材料和开具合法有效等额的增值税专用发票，否则采购人有权拒绝付款。</w:t>
      </w:r>
    </w:p>
    <w:p>
      <w:pPr>
        <w:keepNext w:val="0"/>
        <w:keepLines w:val="0"/>
        <w:pageBreakBefore w:val="0"/>
        <w:kinsoku/>
        <w:wordWrap/>
        <w:overflowPunct/>
        <w:topLinePunct w:val="0"/>
        <w:autoSpaceDE/>
        <w:autoSpaceDN/>
        <w:bidi w:val="0"/>
        <w:adjustRightInd w:val="0"/>
        <w:snapToGrid w:val="0"/>
        <w:spacing w:line="276" w:lineRule="auto"/>
        <w:ind w:firstLine="640" w:firstLineChars="200"/>
        <w:textAlignment w:val="auto"/>
        <w:outlineLvl w:val="1"/>
        <w:rPr>
          <w:rFonts w:eastAsia="黑体"/>
          <w:color w:val="auto"/>
          <w:sz w:val="32"/>
          <w:szCs w:val="32"/>
        </w:rPr>
      </w:pPr>
      <w:r>
        <w:rPr>
          <w:rFonts w:eastAsia="黑体"/>
          <w:color w:val="auto"/>
          <w:sz w:val="32"/>
          <w:szCs w:val="32"/>
        </w:rPr>
        <w:sym w:font="Wingdings" w:char="F0AB"/>
      </w:r>
      <w:r>
        <w:rPr>
          <w:rFonts w:hint="eastAsia" w:eastAsia="黑体"/>
          <w:color w:val="auto"/>
          <w:sz w:val="32"/>
          <w:szCs w:val="32"/>
        </w:rPr>
        <w:t>十、响应文件的组成部分（响应文件本项资料如有不全，则作无效报价处理）</w:t>
      </w:r>
    </w:p>
    <w:p>
      <w:pPr>
        <w:keepNext w:val="0"/>
        <w:keepLines w:val="0"/>
        <w:pageBreakBefore w:val="0"/>
        <w:numPr>
          <w:ilvl w:val="0"/>
          <w:numId w:val="3"/>
        </w:numPr>
        <w:kinsoku/>
        <w:wordWrap/>
        <w:overflowPunct/>
        <w:topLinePunct w:val="0"/>
        <w:autoSpaceDE/>
        <w:autoSpaceDN/>
        <w:bidi w:val="0"/>
        <w:spacing w:line="276" w:lineRule="auto"/>
        <w:ind w:firstLine="640" w:firstLineChars="200"/>
        <w:textAlignment w:val="auto"/>
        <w:rPr>
          <w:rFonts w:eastAsia="仿宋_GB2312"/>
          <w:color w:val="auto"/>
          <w:sz w:val="32"/>
          <w:szCs w:val="32"/>
        </w:rPr>
      </w:pPr>
      <w:r>
        <w:rPr>
          <w:rFonts w:hint="eastAsia" w:eastAsia="仿宋_GB2312"/>
          <w:color w:val="auto"/>
          <w:sz w:val="32"/>
          <w:szCs w:val="32"/>
        </w:rPr>
        <w:t>报价函（模板）；</w:t>
      </w:r>
    </w:p>
    <w:p>
      <w:pPr>
        <w:keepNext w:val="0"/>
        <w:keepLines w:val="0"/>
        <w:pageBreakBefore w:val="0"/>
        <w:numPr>
          <w:ilvl w:val="0"/>
          <w:numId w:val="3"/>
        </w:numPr>
        <w:kinsoku/>
        <w:wordWrap/>
        <w:overflowPunct/>
        <w:topLinePunct w:val="0"/>
        <w:autoSpaceDE/>
        <w:autoSpaceDN/>
        <w:bidi w:val="0"/>
        <w:spacing w:line="276" w:lineRule="auto"/>
        <w:ind w:firstLine="640" w:firstLineChars="200"/>
        <w:textAlignment w:val="auto"/>
        <w:rPr>
          <w:rFonts w:eastAsia="仿宋_GB2312"/>
          <w:color w:val="auto"/>
          <w:sz w:val="32"/>
          <w:szCs w:val="32"/>
        </w:rPr>
      </w:pPr>
      <w:r>
        <w:rPr>
          <w:rFonts w:hint="eastAsia" w:eastAsia="仿宋_GB2312"/>
          <w:color w:val="auto"/>
          <w:sz w:val="32"/>
          <w:szCs w:val="32"/>
        </w:rPr>
        <w:t>商务部分（相关要求详见第二部分评分标准要求）；</w:t>
      </w:r>
    </w:p>
    <w:p>
      <w:pPr>
        <w:keepNext w:val="0"/>
        <w:keepLines w:val="0"/>
        <w:pageBreakBefore w:val="0"/>
        <w:numPr>
          <w:ilvl w:val="0"/>
          <w:numId w:val="3"/>
        </w:numPr>
        <w:kinsoku/>
        <w:wordWrap/>
        <w:overflowPunct/>
        <w:topLinePunct w:val="0"/>
        <w:autoSpaceDE/>
        <w:autoSpaceDN/>
        <w:bidi w:val="0"/>
        <w:spacing w:line="276" w:lineRule="auto"/>
        <w:ind w:firstLine="640" w:firstLineChars="200"/>
        <w:textAlignment w:val="auto"/>
        <w:rPr>
          <w:rFonts w:eastAsia="仿宋_GB2312"/>
          <w:color w:val="auto"/>
          <w:sz w:val="32"/>
          <w:szCs w:val="32"/>
        </w:rPr>
      </w:pPr>
      <w:r>
        <w:rPr>
          <w:rFonts w:hint="eastAsia" w:eastAsia="仿宋_GB2312"/>
          <w:color w:val="auto"/>
          <w:sz w:val="32"/>
          <w:szCs w:val="32"/>
        </w:rPr>
        <w:t>技术部分（相关要求详见第二部分评分标准要求）；</w:t>
      </w:r>
    </w:p>
    <w:p>
      <w:pPr>
        <w:keepNext w:val="0"/>
        <w:keepLines w:val="0"/>
        <w:pageBreakBefore w:val="0"/>
        <w:numPr>
          <w:ilvl w:val="0"/>
          <w:numId w:val="3"/>
        </w:numPr>
        <w:kinsoku/>
        <w:wordWrap/>
        <w:overflowPunct/>
        <w:topLinePunct w:val="0"/>
        <w:autoSpaceDE/>
        <w:autoSpaceDN/>
        <w:bidi w:val="0"/>
        <w:spacing w:line="276" w:lineRule="auto"/>
        <w:ind w:firstLine="640" w:firstLineChars="200"/>
        <w:textAlignment w:val="auto"/>
        <w:rPr>
          <w:rFonts w:eastAsia="仿宋_GB2312"/>
          <w:color w:val="auto"/>
          <w:sz w:val="32"/>
          <w:szCs w:val="32"/>
        </w:rPr>
      </w:pPr>
      <w:r>
        <w:rPr>
          <w:rFonts w:hint="eastAsia" w:eastAsia="仿宋_GB2312"/>
          <w:color w:val="auto"/>
          <w:sz w:val="32"/>
          <w:szCs w:val="32"/>
        </w:rPr>
        <w:t>法人证明（模板）以及法人身份证复印件；</w:t>
      </w:r>
    </w:p>
    <w:p>
      <w:pPr>
        <w:keepNext w:val="0"/>
        <w:keepLines w:val="0"/>
        <w:pageBreakBefore w:val="0"/>
        <w:kinsoku/>
        <w:wordWrap/>
        <w:overflowPunct/>
        <w:topLinePunct w:val="0"/>
        <w:autoSpaceDE/>
        <w:autoSpaceDN/>
        <w:bidi w:val="0"/>
        <w:spacing w:line="276" w:lineRule="auto"/>
        <w:ind w:firstLine="640" w:firstLineChars="200"/>
        <w:textAlignment w:val="auto"/>
        <w:rPr>
          <w:rFonts w:eastAsia="仿宋_GB2312"/>
          <w:color w:val="auto"/>
          <w:sz w:val="32"/>
          <w:szCs w:val="32"/>
        </w:rPr>
      </w:pPr>
      <w:r>
        <w:rPr>
          <w:rFonts w:hint="eastAsia" w:eastAsia="仿宋_GB2312"/>
          <w:color w:val="auto"/>
          <w:sz w:val="32"/>
          <w:szCs w:val="32"/>
        </w:rPr>
        <w:t>5、法人授权书（模板）及被委托人身份证复印件；</w:t>
      </w:r>
    </w:p>
    <w:p>
      <w:pPr>
        <w:keepNext w:val="0"/>
        <w:keepLines w:val="0"/>
        <w:pageBreakBefore w:val="0"/>
        <w:kinsoku/>
        <w:wordWrap/>
        <w:overflowPunct/>
        <w:topLinePunct w:val="0"/>
        <w:autoSpaceDE/>
        <w:autoSpaceDN/>
        <w:bidi w:val="0"/>
        <w:spacing w:line="276" w:lineRule="auto"/>
        <w:ind w:firstLine="640" w:firstLineChars="200"/>
        <w:textAlignment w:val="auto"/>
        <w:rPr>
          <w:rFonts w:eastAsia="仿宋_GB2312"/>
          <w:color w:val="auto"/>
          <w:sz w:val="32"/>
          <w:szCs w:val="32"/>
        </w:rPr>
      </w:pPr>
      <w:r>
        <w:rPr>
          <w:rFonts w:hint="eastAsia" w:eastAsia="仿宋_GB2312"/>
          <w:color w:val="auto"/>
          <w:sz w:val="32"/>
          <w:szCs w:val="32"/>
        </w:rPr>
        <w:t>6、承诺函（模板）；</w:t>
      </w:r>
    </w:p>
    <w:p>
      <w:pPr>
        <w:keepNext w:val="0"/>
        <w:keepLines w:val="0"/>
        <w:pageBreakBefore w:val="0"/>
        <w:kinsoku/>
        <w:wordWrap/>
        <w:overflowPunct/>
        <w:topLinePunct w:val="0"/>
        <w:autoSpaceDE/>
        <w:autoSpaceDN/>
        <w:bidi w:val="0"/>
        <w:spacing w:line="276" w:lineRule="auto"/>
        <w:ind w:firstLine="640" w:firstLineChars="200"/>
        <w:textAlignment w:val="auto"/>
        <w:rPr>
          <w:rFonts w:eastAsia="仿宋_GB2312"/>
          <w:color w:val="auto"/>
          <w:sz w:val="32"/>
          <w:szCs w:val="32"/>
        </w:rPr>
      </w:pPr>
      <w:r>
        <w:rPr>
          <w:rFonts w:hint="eastAsia" w:eastAsia="仿宋_GB2312"/>
          <w:color w:val="auto"/>
          <w:sz w:val="32"/>
          <w:szCs w:val="32"/>
        </w:rPr>
        <w:t>7、响应人认为需要提供的其他资料。</w:t>
      </w:r>
    </w:p>
    <w:p>
      <w:pPr>
        <w:keepNext w:val="0"/>
        <w:keepLines w:val="0"/>
        <w:pageBreakBefore w:val="0"/>
        <w:kinsoku/>
        <w:wordWrap/>
        <w:overflowPunct/>
        <w:topLinePunct w:val="0"/>
        <w:autoSpaceDE/>
        <w:autoSpaceDN/>
        <w:bidi w:val="0"/>
        <w:spacing w:line="276" w:lineRule="auto"/>
        <w:ind w:firstLine="640" w:firstLineChars="200"/>
        <w:textAlignment w:val="auto"/>
        <w:rPr>
          <w:rFonts w:eastAsia="仿宋_GB2312"/>
          <w:color w:val="auto"/>
          <w:sz w:val="32"/>
          <w:szCs w:val="32"/>
        </w:rPr>
      </w:pPr>
      <w:r>
        <w:rPr>
          <w:rFonts w:hint="eastAsia" w:eastAsia="仿宋_GB2312"/>
          <w:color w:val="auto"/>
          <w:sz w:val="32"/>
          <w:szCs w:val="32"/>
        </w:rPr>
        <w:t>响应人须严格按照采购人提供的表单格式报价，响应文件必须装订完整，于骑缝处加盖投标单位企业公章。装有响应文件的文件袋须贴有密封条，于骑缝处加盖企业公章。</w:t>
      </w:r>
      <w:r>
        <w:rPr>
          <w:rFonts w:hint="eastAsia" w:eastAsia="仿宋_GB2312"/>
          <w:b/>
          <w:bCs/>
          <w:color w:val="auto"/>
          <w:sz w:val="32"/>
          <w:szCs w:val="32"/>
        </w:rPr>
        <w:t>价格部分、商务部分、技术部分必须单独密封（按以上密封要求执行），否则按密封性不符合要求处理，采购人将拒绝接收响应文件。</w:t>
      </w:r>
    </w:p>
    <w:p>
      <w:pPr>
        <w:keepNext w:val="0"/>
        <w:keepLines w:val="0"/>
        <w:pageBreakBefore w:val="0"/>
        <w:kinsoku/>
        <w:wordWrap/>
        <w:overflowPunct/>
        <w:topLinePunct w:val="0"/>
        <w:autoSpaceDE/>
        <w:autoSpaceDN/>
        <w:bidi w:val="0"/>
        <w:adjustRightInd w:val="0"/>
        <w:snapToGrid w:val="0"/>
        <w:spacing w:line="276" w:lineRule="auto"/>
        <w:ind w:firstLine="640" w:firstLineChars="200"/>
        <w:textAlignment w:val="auto"/>
        <w:outlineLvl w:val="1"/>
        <w:rPr>
          <w:rFonts w:eastAsia="黑体"/>
          <w:color w:val="auto"/>
          <w:sz w:val="32"/>
          <w:szCs w:val="32"/>
        </w:rPr>
      </w:pPr>
      <w:r>
        <w:rPr>
          <w:rFonts w:hint="eastAsia" w:eastAsia="黑体"/>
          <w:color w:val="auto"/>
          <w:sz w:val="32"/>
          <w:szCs w:val="32"/>
        </w:rPr>
        <w:t>十一、响应文件份数</w:t>
      </w:r>
    </w:p>
    <w:p>
      <w:pPr>
        <w:keepNext w:val="0"/>
        <w:keepLines w:val="0"/>
        <w:pageBreakBefore w:val="0"/>
        <w:kinsoku/>
        <w:wordWrap/>
        <w:overflowPunct/>
        <w:topLinePunct w:val="0"/>
        <w:autoSpaceDE/>
        <w:autoSpaceDN/>
        <w:bidi w:val="0"/>
        <w:spacing w:line="276" w:lineRule="auto"/>
        <w:ind w:firstLine="640" w:firstLineChars="200"/>
        <w:textAlignment w:val="auto"/>
        <w:rPr>
          <w:rFonts w:eastAsia="仿宋_GB2312"/>
          <w:color w:val="auto"/>
          <w:sz w:val="32"/>
          <w:szCs w:val="32"/>
        </w:rPr>
      </w:pPr>
      <w:r>
        <w:rPr>
          <w:rFonts w:hint="eastAsia" w:eastAsia="仿宋_GB2312"/>
          <w:color w:val="auto"/>
          <w:sz w:val="32"/>
          <w:szCs w:val="32"/>
        </w:rPr>
        <w:t>正本一份，并提供响应文件扫描件电子版（U盘）。</w:t>
      </w:r>
    </w:p>
    <w:p>
      <w:pPr>
        <w:keepNext w:val="0"/>
        <w:keepLines w:val="0"/>
        <w:pageBreakBefore w:val="0"/>
        <w:kinsoku/>
        <w:wordWrap/>
        <w:overflowPunct/>
        <w:topLinePunct w:val="0"/>
        <w:autoSpaceDE/>
        <w:autoSpaceDN/>
        <w:bidi w:val="0"/>
        <w:adjustRightInd w:val="0"/>
        <w:snapToGrid w:val="0"/>
        <w:spacing w:line="276" w:lineRule="auto"/>
        <w:ind w:firstLine="640" w:firstLineChars="200"/>
        <w:textAlignment w:val="auto"/>
        <w:outlineLvl w:val="1"/>
        <w:rPr>
          <w:rFonts w:eastAsia="黑体"/>
          <w:color w:val="auto"/>
          <w:sz w:val="32"/>
          <w:szCs w:val="32"/>
        </w:rPr>
      </w:pPr>
      <w:r>
        <w:rPr>
          <w:rFonts w:hint="eastAsia" w:eastAsia="黑体"/>
          <w:color w:val="auto"/>
          <w:sz w:val="32"/>
          <w:szCs w:val="32"/>
        </w:rPr>
        <w:t>十二、开标时间及地址</w:t>
      </w:r>
    </w:p>
    <w:p>
      <w:pPr>
        <w:keepNext w:val="0"/>
        <w:keepLines w:val="0"/>
        <w:pageBreakBefore w:val="0"/>
        <w:kinsoku/>
        <w:wordWrap/>
        <w:overflowPunct/>
        <w:topLinePunct w:val="0"/>
        <w:autoSpaceDE/>
        <w:autoSpaceDN/>
        <w:bidi w:val="0"/>
        <w:spacing w:line="276" w:lineRule="auto"/>
        <w:ind w:firstLine="643" w:firstLineChars="200"/>
        <w:textAlignment w:val="auto"/>
        <w:rPr>
          <w:rFonts w:eastAsia="仿宋_GB2312"/>
          <w:b/>
          <w:color w:val="auto"/>
          <w:sz w:val="32"/>
          <w:szCs w:val="32"/>
        </w:rPr>
      </w:pPr>
      <w:r>
        <w:rPr>
          <w:rFonts w:eastAsia="仿宋_GB2312"/>
          <w:b/>
          <w:color w:val="auto"/>
          <w:sz w:val="32"/>
          <w:szCs w:val="32"/>
        </w:rPr>
        <w:t>1</w:t>
      </w:r>
      <w:r>
        <w:rPr>
          <w:rFonts w:hint="eastAsia" w:eastAsia="仿宋_GB2312"/>
          <w:b/>
          <w:color w:val="auto"/>
          <w:sz w:val="32"/>
          <w:szCs w:val="32"/>
        </w:rPr>
        <w:t>、开标时间：</w:t>
      </w:r>
      <w:r>
        <w:rPr>
          <w:rFonts w:eastAsia="仿宋_GB2312"/>
          <w:b/>
          <w:color w:val="auto"/>
          <w:sz w:val="32"/>
          <w:szCs w:val="32"/>
          <w:u w:val="single"/>
        </w:rPr>
        <w:t>20</w:t>
      </w:r>
      <w:r>
        <w:rPr>
          <w:rFonts w:hint="eastAsia" w:eastAsia="仿宋_GB2312"/>
          <w:b/>
          <w:color w:val="auto"/>
          <w:sz w:val="32"/>
          <w:szCs w:val="32"/>
          <w:u w:val="single"/>
        </w:rPr>
        <w:t>2</w:t>
      </w:r>
      <w:r>
        <w:rPr>
          <w:rFonts w:hint="eastAsia" w:eastAsia="仿宋_GB2312"/>
          <w:b/>
          <w:color w:val="auto"/>
          <w:sz w:val="32"/>
          <w:szCs w:val="32"/>
          <w:u w:val="single"/>
          <w:lang w:val="en-US" w:eastAsia="zh-CN"/>
        </w:rPr>
        <w:t>3</w:t>
      </w:r>
      <w:r>
        <w:rPr>
          <w:rFonts w:hint="eastAsia" w:eastAsia="仿宋_GB2312"/>
          <w:b/>
          <w:color w:val="auto"/>
          <w:sz w:val="32"/>
          <w:szCs w:val="32"/>
        </w:rPr>
        <w:t>年</w:t>
      </w:r>
      <w:r>
        <w:rPr>
          <w:rFonts w:hint="eastAsia" w:eastAsia="仿宋_GB2312"/>
          <w:b/>
          <w:color w:val="auto"/>
          <w:sz w:val="32"/>
          <w:szCs w:val="32"/>
          <w:u w:val="single"/>
          <w:lang w:val="en-US" w:eastAsia="zh-CN"/>
        </w:rPr>
        <w:t>2</w:t>
      </w:r>
      <w:r>
        <w:rPr>
          <w:rFonts w:hint="eastAsia" w:eastAsia="仿宋_GB2312"/>
          <w:b/>
          <w:color w:val="auto"/>
          <w:sz w:val="32"/>
          <w:szCs w:val="32"/>
        </w:rPr>
        <w:t>月</w:t>
      </w:r>
      <w:r>
        <w:rPr>
          <w:rFonts w:hint="eastAsia" w:eastAsia="仿宋_GB2312"/>
          <w:b/>
          <w:color w:val="auto"/>
          <w:sz w:val="32"/>
          <w:szCs w:val="32"/>
          <w:u w:val="single"/>
          <w:lang w:val="en-US" w:eastAsia="zh-CN"/>
        </w:rPr>
        <w:t>26</w:t>
      </w:r>
      <w:r>
        <w:rPr>
          <w:rFonts w:hint="eastAsia" w:eastAsia="仿宋_GB2312"/>
          <w:b/>
          <w:color w:val="auto"/>
          <w:sz w:val="32"/>
          <w:szCs w:val="32"/>
        </w:rPr>
        <w:t>日（星期</w:t>
      </w:r>
      <w:r>
        <w:rPr>
          <w:rFonts w:hint="eastAsia" w:eastAsia="仿宋_GB2312"/>
          <w:b/>
          <w:color w:val="auto"/>
          <w:sz w:val="32"/>
          <w:szCs w:val="32"/>
          <w:lang w:val="en-US" w:eastAsia="zh-CN"/>
        </w:rPr>
        <w:t>日</w:t>
      </w:r>
      <w:r>
        <w:rPr>
          <w:rFonts w:hint="eastAsia" w:eastAsia="仿宋_GB2312"/>
          <w:b/>
          <w:color w:val="auto"/>
          <w:sz w:val="32"/>
          <w:szCs w:val="32"/>
        </w:rPr>
        <w:t>）</w:t>
      </w:r>
      <w:r>
        <w:rPr>
          <w:rFonts w:hint="eastAsia" w:eastAsia="仿宋_GB2312"/>
          <w:b/>
          <w:color w:val="auto"/>
          <w:sz w:val="32"/>
          <w:szCs w:val="32"/>
          <w:lang w:val="en-US" w:eastAsia="zh-CN"/>
        </w:rPr>
        <w:t>下</w:t>
      </w:r>
      <w:r>
        <w:rPr>
          <w:rFonts w:hint="eastAsia" w:eastAsia="仿宋_GB2312"/>
          <w:b/>
          <w:color w:val="auto"/>
          <w:sz w:val="32"/>
          <w:szCs w:val="32"/>
        </w:rPr>
        <w:t>午</w:t>
      </w:r>
      <w:r>
        <w:rPr>
          <w:rFonts w:hint="eastAsia" w:eastAsia="仿宋_GB2312"/>
          <w:b/>
          <w:color w:val="auto"/>
          <w:sz w:val="32"/>
          <w:szCs w:val="32"/>
          <w:u w:val="single"/>
          <w:lang w:val="en-US" w:eastAsia="zh-CN"/>
        </w:rPr>
        <w:t>14:50</w:t>
      </w:r>
      <w:r>
        <w:rPr>
          <w:rFonts w:hint="eastAsia" w:eastAsia="仿宋_GB2312"/>
          <w:b/>
          <w:color w:val="auto"/>
          <w:sz w:val="32"/>
          <w:szCs w:val="32"/>
        </w:rPr>
        <w:t>。</w:t>
      </w:r>
    </w:p>
    <w:p>
      <w:pPr>
        <w:keepNext w:val="0"/>
        <w:keepLines w:val="0"/>
        <w:pageBreakBefore w:val="0"/>
        <w:kinsoku/>
        <w:wordWrap/>
        <w:overflowPunct/>
        <w:topLinePunct w:val="0"/>
        <w:autoSpaceDE/>
        <w:autoSpaceDN/>
        <w:bidi w:val="0"/>
        <w:spacing w:line="276" w:lineRule="auto"/>
        <w:ind w:firstLine="643" w:firstLineChars="200"/>
        <w:textAlignment w:val="auto"/>
        <w:rPr>
          <w:rFonts w:hint="default" w:eastAsia="仿宋_GB2312"/>
          <w:b/>
          <w:color w:val="auto"/>
          <w:sz w:val="32"/>
          <w:szCs w:val="32"/>
          <w:lang w:val="en-US" w:eastAsia="zh-CN"/>
        </w:rPr>
      </w:pPr>
      <w:r>
        <w:rPr>
          <w:rFonts w:eastAsia="仿宋_GB2312"/>
          <w:b/>
          <w:color w:val="auto"/>
          <w:sz w:val="32"/>
          <w:szCs w:val="32"/>
        </w:rPr>
        <w:t>2</w:t>
      </w:r>
      <w:r>
        <w:rPr>
          <w:rFonts w:hint="eastAsia" w:eastAsia="仿宋_GB2312"/>
          <w:b/>
          <w:color w:val="auto"/>
          <w:sz w:val="32"/>
          <w:szCs w:val="32"/>
        </w:rPr>
        <w:t>、开标地址：</w:t>
      </w:r>
      <w:r>
        <w:rPr>
          <w:rFonts w:hint="eastAsia" w:eastAsia="仿宋_GB2312"/>
          <w:b/>
          <w:color w:val="auto"/>
          <w:sz w:val="32"/>
          <w:szCs w:val="32"/>
          <w:u w:val="single"/>
        </w:rPr>
        <w:t>东莞市南城区城市风景街莞城建筑工程有限公司</w:t>
      </w:r>
      <w:r>
        <w:rPr>
          <w:rFonts w:hint="eastAsia" w:eastAsia="仿宋_GB2312"/>
          <w:b/>
          <w:color w:val="auto"/>
          <w:sz w:val="32"/>
          <w:szCs w:val="32"/>
          <w:u w:val="single"/>
          <w:lang w:val="en-US" w:eastAsia="zh-CN"/>
        </w:rPr>
        <w:t>5楼开标室</w:t>
      </w:r>
    </w:p>
    <w:p>
      <w:pPr>
        <w:keepNext w:val="0"/>
        <w:keepLines w:val="0"/>
        <w:pageBreakBefore w:val="0"/>
        <w:kinsoku/>
        <w:wordWrap/>
        <w:overflowPunct/>
        <w:topLinePunct w:val="0"/>
        <w:autoSpaceDE/>
        <w:autoSpaceDN/>
        <w:bidi w:val="0"/>
        <w:spacing w:line="276" w:lineRule="auto"/>
        <w:ind w:firstLine="640" w:firstLineChars="200"/>
        <w:textAlignment w:val="auto"/>
        <w:rPr>
          <w:rFonts w:eastAsia="仿宋_GB2312"/>
          <w:color w:val="auto"/>
          <w:sz w:val="32"/>
          <w:szCs w:val="32"/>
          <w:u w:val="single"/>
        </w:rPr>
      </w:pPr>
      <w:r>
        <w:rPr>
          <w:rFonts w:hint="eastAsia" w:eastAsia="仿宋_GB2312"/>
          <w:color w:val="auto"/>
          <w:sz w:val="32"/>
          <w:szCs w:val="32"/>
        </w:rPr>
        <w:t>联系人：</w:t>
      </w:r>
      <w:r>
        <w:rPr>
          <w:rFonts w:hint="eastAsia" w:eastAsia="仿宋_GB2312"/>
          <w:color w:val="auto"/>
          <w:sz w:val="32"/>
          <w:szCs w:val="32"/>
          <w:u w:val="single"/>
          <w:lang w:val="en-US" w:eastAsia="zh-CN"/>
        </w:rPr>
        <w:t>姚</w:t>
      </w:r>
      <w:r>
        <w:rPr>
          <w:rFonts w:hint="eastAsia" w:eastAsia="仿宋_GB2312"/>
          <w:color w:val="auto"/>
          <w:sz w:val="32"/>
          <w:szCs w:val="32"/>
          <w:u w:val="single"/>
        </w:rPr>
        <w:t>工</w:t>
      </w:r>
    </w:p>
    <w:p>
      <w:pPr>
        <w:keepNext w:val="0"/>
        <w:keepLines w:val="0"/>
        <w:pageBreakBefore w:val="0"/>
        <w:kinsoku/>
        <w:wordWrap/>
        <w:overflowPunct/>
        <w:topLinePunct w:val="0"/>
        <w:autoSpaceDE/>
        <w:autoSpaceDN/>
        <w:bidi w:val="0"/>
        <w:spacing w:line="276" w:lineRule="auto"/>
        <w:ind w:firstLine="640" w:firstLineChars="200"/>
        <w:textAlignment w:val="auto"/>
        <w:rPr>
          <w:rFonts w:hint="default" w:eastAsia="仿宋_GB2312"/>
          <w:color w:val="auto"/>
          <w:sz w:val="32"/>
          <w:szCs w:val="32"/>
          <w:lang w:val="en-US" w:eastAsia="zh-CN"/>
        </w:rPr>
      </w:pPr>
      <w:r>
        <w:rPr>
          <w:rFonts w:hint="eastAsia" w:eastAsia="仿宋_GB2312"/>
          <w:color w:val="auto"/>
          <w:sz w:val="32"/>
          <w:szCs w:val="32"/>
        </w:rPr>
        <w:t>联系电话：</w:t>
      </w:r>
      <w:r>
        <w:rPr>
          <w:rFonts w:hint="eastAsia" w:eastAsia="仿宋_GB2312"/>
          <w:color w:val="auto"/>
          <w:sz w:val="32"/>
          <w:szCs w:val="32"/>
          <w:u w:val="single"/>
          <w:lang w:val="en-US" w:eastAsia="zh-CN"/>
        </w:rPr>
        <w:t>132-6615-9477</w:t>
      </w:r>
    </w:p>
    <w:p>
      <w:pPr>
        <w:keepNext w:val="0"/>
        <w:keepLines w:val="0"/>
        <w:pageBreakBefore w:val="0"/>
        <w:kinsoku/>
        <w:wordWrap/>
        <w:overflowPunct/>
        <w:topLinePunct w:val="0"/>
        <w:autoSpaceDE/>
        <w:autoSpaceDN/>
        <w:bidi w:val="0"/>
        <w:adjustRightInd w:val="0"/>
        <w:snapToGrid w:val="0"/>
        <w:spacing w:line="276" w:lineRule="auto"/>
        <w:ind w:firstLine="640" w:firstLineChars="200"/>
        <w:textAlignment w:val="auto"/>
        <w:outlineLvl w:val="1"/>
        <w:rPr>
          <w:rFonts w:eastAsia="黑体"/>
          <w:color w:val="auto"/>
          <w:sz w:val="32"/>
          <w:szCs w:val="32"/>
        </w:rPr>
      </w:pPr>
      <w:r>
        <w:rPr>
          <w:rFonts w:hint="eastAsia" w:eastAsia="黑体"/>
          <w:color w:val="auto"/>
          <w:sz w:val="32"/>
          <w:szCs w:val="32"/>
        </w:rPr>
        <w:t>十三、注意事项</w:t>
      </w:r>
    </w:p>
    <w:p>
      <w:pPr>
        <w:keepNext w:val="0"/>
        <w:keepLines w:val="0"/>
        <w:pageBreakBefore w:val="0"/>
        <w:kinsoku/>
        <w:wordWrap/>
        <w:overflowPunct/>
        <w:topLinePunct w:val="0"/>
        <w:autoSpaceDE/>
        <w:autoSpaceDN/>
        <w:bidi w:val="0"/>
        <w:spacing w:line="276" w:lineRule="auto"/>
        <w:ind w:firstLine="640" w:firstLineChars="200"/>
        <w:textAlignment w:val="auto"/>
        <w:rPr>
          <w:rFonts w:eastAsia="仿宋_GB2312"/>
          <w:color w:val="auto"/>
          <w:sz w:val="32"/>
          <w:szCs w:val="32"/>
        </w:rPr>
      </w:pPr>
      <w:bookmarkStart w:id="1" w:name="_Hlk517879660"/>
      <w:r>
        <w:rPr>
          <w:rFonts w:eastAsia="仿宋_GB2312"/>
          <w:color w:val="auto"/>
          <w:sz w:val="32"/>
          <w:szCs w:val="32"/>
        </w:rPr>
        <w:t>1</w:t>
      </w:r>
      <w:r>
        <w:rPr>
          <w:rFonts w:hint="eastAsia" w:eastAsia="仿宋_GB2312"/>
          <w:color w:val="auto"/>
          <w:sz w:val="32"/>
          <w:szCs w:val="32"/>
        </w:rPr>
        <w:t>、若响应人未按规定时间将文件送达现场，视为放弃投标资格。</w:t>
      </w:r>
    </w:p>
    <w:p>
      <w:pPr>
        <w:keepNext w:val="0"/>
        <w:keepLines w:val="0"/>
        <w:pageBreakBefore w:val="0"/>
        <w:kinsoku/>
        <w:wordWrap/>
        <w:overflowPunct/>
        <w:topLinePunct w:val="0"/>
        <w:autoSpaceDE/>
        <w:autoSpaceDN/>
        <w:bidi w:val="0"/>
        <w:spacing w:line="276" w:lineRule="auto"/>
        <w:ind w:firstLine="640" w:firstLineChars="200"/>
        <w:textAlignment w:val="auto"/>
        <w:rPr>
          <w:rFonts w:eastAsia="仿宋_GB2312"/>
          <w:color w:val="auto"/>
          <w:sz w:val="32"/>
          <w:szCs w:val="32"/>
        </w:rPr>
      </w:pPr>
      <w:r>
        <w:rPr>
          <w:rFonts w:eastAsia="仿宋_GB2312"/>
          <w:color w:val="auto"/>
          <w:sz w:val="32"/>
          <w:szCs w:val="32"/>
        </w:rPr>
        <w:t>2</w:t>
      </w:r>
      <w:r>
        <w:rPr>
          <w:rFonts w:hint="eastAsia" w:eastAsia="仿宋_GB2312"/>
          <w:color w:val="auto"/>
          <w:sz w:val="32"/>
          <w:szCs w:val="32"/>
        </w:rPr>
        <w:t>、采购人向响应人提供的有关资料和数据，是采购人现有的能使响应人利用的资料，采购人对响应人由此而做出的推论、理解和结论概不负责。</w:t>
      </w:r>
    </w:p>
    <w:p>
      <w:pPr>
        <w:keepNext w:val="0"/>
        <w:keepLines w:val="0"/>
        <w:pageBreakBefore w:val="0"/>
        <w:kinsoku/>
        <w:wordWrap/>
        <w:overflowPunct/>
        <w:topLinePunct w:val="0"/>
        <w:autoSpaceDE/>
        <w:autoSpaceDN/>
        <w:bidi w:val="0"/>
        <w:spacing w:line="276" w:lineRule="auto"/>
        <w:ind w:firstLine="640" w:firstLineChars="200"/>
        <w:textAlignment w:val="auto"/>
        <w:rPr>
          <w:rFonts w:eastAsia="仿宋_GB2312"/>
          <w:color w:val="auto"/>
          <w:sz w:val="32"/>
          <w:szCs w:val="32"/>
        </w:rPr>
      </w:pPr>
      <w:r>
        <w:rPr>
          <w:rFonts w:eastAsia="仿宋_GB2312"/>
          <w:color w:val="auto"/>
          <w:sz w:val="32"/>
          <w:szCs w:val="32"/>
        </w:rPr>
        <w:t>3</w:t>
      </w:r>
      <w:r>
        <w:rPr>
          <w:rFonts w:hint="eastAsia" w:eastAsia="仿宋_GB2312"/>
          <w:color w:val="auto"/>
          <w:sz w:val="32"/>
          <w:szCs w:val="32"/>
        </w:rPr>
        <w:t>、本项目执行过程中将遵循国家、省、市有关法律、法规、标准、技术规范和规范性文件的最新规定。</w:t>
      </w:r>
      <w:bookmarkEnd w:id="1"/>
    </w:p>
    <w:p>
      <w:pPr>
        <w:keepNext w:val="0"/>
        <w:keepLines w:val="0"/>
        <w:pageBreakBefore w:val="0"/>
        <w:widowControl/>
        <w:kinsoku/>
        <w:wordWrap/>
        <w:overflowPunct/>
        <w:topLinePunct w:val="0"/>
        <w:autoSpaceDE/>
        <w:autoSpaceDN/>
        <w:bidi w:val="0"/>
        <w:spacing w:line="276" w:lineRule="auto"/>
        <w:ind w:firstLine="640" w:firstLineChars="200"/>
        <w:jc w:val="left"/>
        <w:textAlignment w:val="auto"/>
        <w:rPr>
          <w:rFonts w:hint="eastAsia" w:eastAsia="仿宋_GB2312"/>
          <w:color w:val="auto"/>
          <w:sz w:val="32"/>
          <w:szCs w:val="32"/>
          <w:lang w:eastAsia="zh-CN"/>
        </w:rPr>
      </w:pPr>
      <w:r>
        <w:rPr>
          <w:rFonts w:eastAsia="仿宋_GB2312"/>
          <w:color w:val="auto"/>
          <w:sz w:val="32"/>
          <w:szCs w:val="32"/>
        </w:rPr>
        <w:t>4</w:t>
      </w:r>
      <w:r>
        <w:rPr>
          <w:rFonts w:hint="eastAsia" w:eastAsia="仿宋_GB2312"/>
          <w:color w:val="auto"/>
          <w:sz w:val="32"/>
          <w:szCs w:val="32"/>
        </w:rPr>
        <w:t>、成交单位对采购文件中技术条款作出的负偏离，采购人如不接受，可要求成交单位以采购文件的要求为准，如成交单位拒绝的，采购人有权取消其成交资格或取消合同。采购人不作任何补偿</w:t>
      </w:r>
      <w:r>
        <w:rPr>
          <w:rFonts w:hint="eastAsia" w:eastAsia="仿宋_GB2312"/>
          <w:color w:val="auto"/>
          <w:sz w:val="32"/>
          <w:szCs w:val="32"/>
          <w:lang w:eastAsia="zh-CN"/>
        </w:rPr>
        <w:t>。</w:t>
      </w:r>
    </w:p>
    <w:p>
      <w:pPr>
        <w:keepNext w:val="0"/>
        <w:keepLines w:val="0"/>
        <w:pageBreakBefore w:val="0"/>
        <w:widowControl/>
        <w:kinsoku/>
        <w:wordWrap/>
        <w:overflowPunct/>
        <w:topLinePunct w:val="0"/>
        <w:autoSpaceDE/>
        <w:autoSpaceDN/>
        <w:bidi w:val="0"/>
        <w:spacing w:line="276" w:lineRule="auto"/>
        <w:ind w:firstLine="640" w:firstLineChars="200"/>
        <w:jc w:val="left"/>
        <w:textAlignment w:val="auto"/>
        <w:rPr>
          <w:rFonts w:eastAsia="仿宋_GB2312"/>
          <w:color w:val="auto"/>
          <w:sz w:val="32"/>
          <w:szCs w:val="32"/>
        </w:rPr>
      </w:pPr>
      <w:bookmarkStart w:id="50" w:name="_GoBack"/>
      <w:bookmarkEnd w:id="50"/>
    </w:p>
    <w:p>
      <w:pPr>
        <w:widowControl/>
        <w:spacing w:line="600" w:lineRule="exact"/>
        <w:jc w:val="left"/>
        <w:rPr>
          <w:rFonts w:hint="eastAsia" w:eastAsia="仿宋_GB2312"/>
          <w:color w:val="auto"/>
          <w:sz w:val="32"/>
          <w:szCs w:val="32"/>
          <w:lang w:eastAsia="zh-CN"/>
        </w:rPr>
      </w:pPr>
    </w:p>
    <w:p>
      <w:pPr>
        <w:spacing w:line="600" w:lineRule="exact"/>
        <w:ind w:firstLine="640" w:firstLineChars="200"/>
        <w:jc w:val="right"/>
        <w:rPr>
          <w:rFonts w:hint="eastAsia" w:eastAsia="仿宋_GB2312"/>
          <w:color w:val="auto"/>
          <w:sz w:val="32"/>
          <w:szCs w:val="32"/>
          <w:u w:val="none"/>
          <w:lang w:eastAsia="zh-CN"/>
        </w:rPr>
      </w:pPr>
      <w:r>
        <w:rPr>
          <w:rFonts w:hint="eastAsia" w:eastAsia="仿宋_GB2312"/>
          <w:color w:val="auto"/>
          <w:sz w:val="32"/>
          <w:szCs w:val="32"/>
          <w:u w:val="none"/>
          <w:lang w:eastAsia="zh-CN"/>
        </w:rPr>
        <w:t>东莞市</w:t>
      </w:r>
      <w:r>
        <w:rPr>
          <w:rFonts w:hint="eastAsia" w:eastAsia="仿宋_GB2312"/>
          <w:color w:val="auto"/>
          <w:sz w:val="32"/>
          <w:szCs w:val="32"/>
          <w:u w:val="none"/>
          <w:lang w:val="en-US" w:eastAsia="zh-CN"/>
        </w:rPr>
        <w:t>莞城建筑工程</w:t>
      </w:r>
      <w:r>
        <w:rPr>
          <w:rFonts w:hint="eastAsia" w:eastAsia="仿宋_GB2312"/>
          <w:color w:val="auto"/>
          <w:sz w:val="32"/>
          <w:szCs w:val="32"/>
          <w:u w:val="none"/>
          <w:lang w:eastAsia="zh-CN"/>
        </w:rPr>
        <w:t>有限公司</w:t>
      </w:r>
    </w:p>
    <w:p>
      <w:pPr>
        <w:wordWrap w:val="0"/>
        <w:spacing w:line="600" w:lineRule="exact"/>
        <w:ind w:firstLine="640" w:firstLineChars="200"/>
        <w:jc w:val="right"/>
        <w:rPr>
          <w:rFonts w:hint="default" w:eastAsia="仿宋_GB2312"/>
          <w:color w:val="auto"/>
          <w:sz w:val="32"/>
          <w:szCs w:val="32"/>
          <w:lang w:val="en-US" w:eastAsia="zh-CN"/>
        </w:rPr>
      </w:pPr>
      <w:r>
        <w:rPr>
          <w:rFonts w:eastAsia="仿宋_GB2312"/>
          <w:color w:val="auto"/>
          <w:sz w:val="32"/>
          <w:szCs w:val="32"/>
          <w:u w:val="single"/>
        </w:rPr>
        <w:t>20</w:t>
      </w:r>
      <w:r>
        <w:rPr>
          <w:rFonts w:hint="eastAsia" w:eastAsia="仿宋_GB2312"/>
          <w:color w:val="auto"/>
          <w:sz w:val="32"/>
          <w:szCs w:val="32"/>
          <w:u w:val="single"/>
        </w:rPr>
        <w:t>2</w:t>
      </w:r>
      <w:r>
        <w:rPr>
          <w:rFonts w:hint="eastAsia" w:eastAsia="仿宋_GB2312"/>
          <w:color w:val="auto"/>
          <w:sz w:val="32"/>
          <w:szCs w:val="32"/>
          <w:u w:val="single"/>
          <w:lang w:val="en-US" w:eastAsia="zh-CN"/>
        </w:rPr>
        <w:t>3</w:t>
      </w:r>
      <w:r>
        <w:rPr>
          <w:rFonts w:hint="eastAsia" w:eastAsia="仿宋_GB2312"/>
          <w:color w:val="auto"/>
          <w:sz w:val="32"/>
          <w:szCs w:val="32"/>
        </w:rPr>
        <w:t>年</w:t>
      </w:r>
      <w:r>
        <w:rPr>
          <w:rFonts w:hint="eastAsia" w:eastAsia="仿宋_GB2312"/>
          <w:color w:val="auto"/>
          <w:sz w:val="32"/>
          <w:szCs w:val="32"/>
          <w:u w:val="single"/>
          <w:lang w:val="en-US" w:eastAsia="zh-CN"/>
        </w:rPr>
        <w:t>2</w:t>
      </w:r>
      <w:r>
        <w:rPr>
          <w:rFonts w:hint="eastAsia" w:eastAsia="仿宋_GB2312"/>
          <w:color w:val="auto"/>
          <w:sz w:val="32"/>
          <w:szCs w:val="32"/>
        </w:rPr>
        <w:t>月</w:t>
      </w:r>
      <w:r>
        <w:rPr>
          <w:rFonts w:hint="eastAsia" w:eastAsia="仿宋_GB2312"/>
          <w:color w:val="auto"/>
          <w:sz w:val="32"/>
          <w:szCs w:val="32"/>
          <w:u w:val="single"/>
          <w:lang w:val="en-US" w:eastAsia="zh-CN"/>
        </w:rPr>
        <w:t>21</w:t>
      </w:r>
      <w:r>
        <w:rPr>
          <w:rFonts w:hint="eastAsia" w:eastAsia="仿宋_GB2312"/>
          <w:color w:val="auto"/>
          <w:sz w:val="32"/>
          <w:szCs w:val="32"/>
        </w:rPr>
        <w:t>日</w:t>
      </w:r>
      <w:r>
        <w:rPr>
          <w:rFonts w:hint="eastAsia" w:eastAsia="仿宋_GB2312"/>
          <w:color w:val="auto"/>
          <w:sz w:val="32"/>
          <w:szCs w:val="32"/>
          <w:lang w:val="en-US" w:eastAsia="zh-CN"/>
        </w:rPr>
        <w:t xml:space="preserve">   </w:t>
      </w:r>
    </w:p>
    <w:p>
      <w:pPr>
        <w:widowControl/>
        <w:spacing w:line="600" w:lineRule="exact"/>
        <w:ind w:firstLine="640" w:firstLineChars="200"/>
        <w:jc w:val="left"/>
        <w:rPr>
          <w:rFonts w:hint="eastAsia" w:eastAsia="仿宋_GB2312"/>
          <w:color w:val="auto"/>
          <w:sz w:val="32"/>
          <w:szCs w:val="32"/>
          <w:lang w:val="en-US" w:eastAsia="zh-CN"/>
        </w:rPr>
        <w:sectPr>
          <w:headerReference r:id="rId3" w:type="default"/>
          <w:pgSz w:w="11906" w:h="16838"/>
          <w:pgMar w:top="1440" w:right="1800" w:bottom="1440" w:left="1800" w:header="851" w:footer="992" w:gutter="0"/>
          <w:cols w:space="720" w:num="1"/>
          <w:docGrid w:type="lines" w:linePitch="312" w:charSpace="0"/>
        </w:sectPr>
      </w:pPr>
      <w:r>
        <w:rPr>
          <w:rFonts w:hint="eastAsia" w:eastAsia="仿宋_GB2312"/>
          <w:color w:val="auto"/>
          <w:sz w:val="32"/>
          <w:szCs w:val="32"/>
          <w:lang w:val="en-US" w:eastAsia="zh-CN"/>
        </w:rPr>
        <w:t xml:space="preserve"> </w:t>
      </w:r>
    </w:p>
    <w:p>
      <w:pPr>
        <w:pStyle w:val="40"/>
        <w:ind w:firstLine="0" w:firstLineChars="0"/>
        <w:jc w:val="center"/>
        <w:outlineLvl w:val="1"/>
        <w:rPr>
          <w:rFonts w:eastAsia="黑体"/>
          <w:color w:val="auto"/>
          <w:sz w:val="32"/>
          <w:szCs w:val="48"/>
        </w:rPr>
      </w:pPr>
      <w:r>
        <w:rPr>
          <w:rFonts w:hint="eastAsia" w:eastAsia="黑体"/>
          <w:color w:val="auto"/>
          <w:sz w:val="32"/>
          <w:szCs w:val="48"/>
        </w:rPr>
        <w:t>第一部分 投标须知</w:t>
      </w:r>
    </w:p>
    <w:p>
      <w:pPr>
        <w:pStyle w:val="40"/>
        <w:ind w:firstLine="880"/>
        <w:jc w:val="center"/>
        <w:outlineLvl w:val="1"/>
        <w:rPr>
          <w:rFonts w:eastAsia="华文中宋"/>
          <w:color w:val="auto"/>
          <w:sz w:val="44"/>
          <w:szCs w:val="44"/>
        </w:rPr>
      </w:pPr>
      <w:r>
        <w:rPr>
          <w:rFonts w:hint="eastAsia" w:eastAsia="华文中宋"/>
          <w:color w:val="auto"/>
          <w:sz w:val="44"/>
          <w:szCs w:val="44"/>
        </w:rPr>
        <w:t>投标须知</w:t>
      </w:r>
    </w:p>
    <w:tbl>
      <w:tblPr>
        <w:tblStyle w:val="21"/>
        <w:tblW w:w="9087"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2275"/>
        <w:gridCol w:w="5942"/>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blHeader/>
          <w:jc w:val="center"/>
        </w:trPr>
        <w:tc>
          <w:tcPr>
            <w:tcW w:w="870" w:type="dxa"/>
            <w:tcBorders>
              <w:top w:val="double" w:color="auto" w:sz="4" w:space="0"/>
            </w:tcBorders>
            <w:vAlign w:val="center"/>
          </w:tcPr>
          <w:p>
            <w:pPr>
              <w:pStyle w:val="11"/>
              <w:spacing w:after="0" w:line="360" w:lineRule="auto"/>
              <w:ind w:firstLine="0" w:firstLineChars="0"/>
              <w:jc w:val="center"/>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项号</w:t>
            </w:r>
          </w:p>
        </w:tc>
        <w:tc>
          <w:tcPr>
            <w:tcW w:w="2275" w:type="dxa"/>
            <w:tcBorders>
              <w:top w:val="double" w:color="auto" w:sz="4" w:space="0"/>
            </w:tcBorders>
            <w:vAlign w:val="center"/>
          </w:tcPr>
          <w:p>
            <w:pPr>
              <w:pStyle w:val="11"/>
              <w:spacing w:after="0" w:line="360" w:lineRule="auto"/>
              <w:ind w:firstLine="320"/>
              <w:jc w:val="center"/>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内容</w:t>
            </w:r>
          </w:p>
        </w:tc>
        <w:tc>
          <w:tcPr>
            <w:tcW w:w="5942" w:type="dxa"/>
            <w:tcBorders>
              <w:top w:val="double" w:color="auto" w:sz="4" w:space="0"/>
            </w:tcBorders>
            <w:vAlign w:val="center"/>
          </w:tcPr>
          <w:p>
            <w:pPr>
              <w:pStyle w:val="11"/>
              <w:spacing w:after="0" w:line="360" w:lineRule="auto"/>
              <w:ind w:firstLine="320"/>
              <w:jc w:val="center"/>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说明与要求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pPr>
              <w:spacing w:line="360" w:lineRule="auto"/>
              <w:jc w:val="center"/>
              <w:rPr>
                <w:rFonts w:eastAsia="仿宋_GB2312"/>
                <w:color w:val="auto"/>
                <w:sz w:val="32"/>
                <w:szCs w:val="32"/>
              </w:rPr>
            </w:pPr>
            <w:r>
              <w:rPr>
                <w:rFonts w:eastAsia="仿宋_GB2312"/>
                <w:color w:val="auto"/>
                <w:sz w:val="32"/>
                <w:szCs w:val="32"/>
              </w:rPr>
              <w:t>1</w:t>
            </w:r>
          </w:p>
        </w:tc>
        <w:tc>
          <w:tcPr>
            <w:tcW w:w="2275" w:type="dxa"/>
            <w:vAlign w:val="center"/>
          </w:tcPr>
          <w:p>
            <w:pPr>
              <w:spacing w:line="360" w:lineRule="auto"/>
              <w:jc w:val="center"/>
              <w:rPr>
                <w:rFonts w:eastAsia="仿宋_GB2312"/>
                <w:color w:val="auto"/>
                <w:sz w:val="32"/>
                <w:szCs w:val="32"/>
              </w:rPr>
            </w:pPr>
            <w:r>
              <w:rPr>
                <w:rFonts w:hint="eastAsia" w:eastAsia="仿宋_GB2312"/>
                <w:color w:val="auto"/>
                <w:sz w:val="32"/>
                <w:szCs w:val="32"/>
              </w:rPr>
              <w:t>项目名称</w:t>
            </w:r>
          </w:p>
        </w:tc>
        <w:tc>
          <w:tcPr>
            <w:tcW w:w="5942" w:type="dxa"/>
            <w:vAlign w:val="center"/>
          </w:tcPr>
          <w:p>
            <w:pPr>
              <w:adjustRightInd w:val="0"/>
              <w:snapToGrid w:val="0"/>
              <w:spacing w:line="560" w:lineRule="exact"/>
              <w:rPr>
                <w:rFonts w:hint="eastAsia" w:eastAsia="仿宋_GB2312"/>
                <w:color w:val="auto"/>
                <w:sz w:val="32"/>
                <w:szCs w:val="32"/>
                <w:lang w:eastAsia="zh-CN"/>
              </w:rPr>
            </w:pPr>
            <w:r>
              <w:rPr>
                <w:rFonts w:hint="eastAsia" w:eastAsia="仿宋_GB2312"/>
                <w:color w:val="auto"/>
                <w:sz w:val="32"/>
                <w:szCs w:val="32"/>
                <w:lang w:eastAsia="zh-CN"/>
              </w:rPr>
              <w:t>广东省东莞市城区配套物流仓储建设项目</w:t>
            </w:r>
            <w:r>
              <w:rPr>
                <w:rFonts w:hint="eastAsia" w:eastAsia="仿宋_GB2312"/>
                <w:color w:val="auto"/>
                <w:sz w:val="32"/>
                <w:szCs w:val="32"/>
                <w:lang w:val="en-US" w:eastAsia="zh-CN"/>
              </w:rPr>
              <w:t>-</w:t>
            </w:r>
            <w:r>
              <w:rPr>
                <w:rFonts w:hint="eastAsia" w:eastAsia="仿宋_GB2312"/>
                <w:color w:val="auto"/>
                <w:sz w:val="32"/>
                <w:szCs w:val="32"/>
                <w:lang w:eastAsia="zh-CN"/>
              </w:rPr>
              <w:t>第三方基坑监测服务</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pPr>
              <w:spacing w:line="360" w:lineRule="auto"/>
              <w:jc w:val="center"/>
              <w:rPr>
                <w:rFonts w:eastAsia="仿宋_GB2312"/>
                <w:color w:val="auto"/>
                <w:sz w:val="32"/>
                <w:szCs w:val="32"/>
              </w:rPr>
            </w:pPr>
            <w:r>
              <w:rPr>
                <w:rFonts w:eastAsia="仿宋_GB2312"/>
                <w:color w:val="auto"/>
                <w:sz w:val="32"/>
                <w:szCs w:val="32"/>
              </w:rPr>
              <w:t>2</w:t>
            </w:r>
          </w:p>
        </w:tc>
        <w:tc>
          <w:tcPr>
            <w:tcW w:w="2275" w:type="dxa"/>
            <w:vAlign w:val="center"/>
          </w:tcPr>
          <w:p>
            <w:pPr>
              <w:spacing w:line="360" w:lineRule="auto"/>
              <w:jc w:val="center"/>
              <w:rPr>
                <w:rFonts w:eastAsia="仿宋_GB2312"/>
                <w:color w:val="auto"/>
                <w:sz w:val="32"/>
                <w:szCs w:val="32"/>
              </w:rPr>
            </w:pPr>
            <w:r>
              <w:rPr>
                <w:rFonts w:hint="eastAsia" w:eastAsia="仿宋_GB2312"/>
                <w:color w:val="auto"/>
                <w:sz w:val="32"/>
                <w:szCs w:val="32"/>
              </w:rPr>
              <w:t>建设地点</w:t>
            </w:r>
          </w:p>
        </w:tc>
        <w:tc>
          <w:tcPr>
            <w:tcW w:w="5942" w:type="dxa"/>
            <w:vAlign w:val="center"/>
          </w:tcPr>
          <w:p>
            <w:pPr>
              <w:spacing w:line="360" w:lineRule="auto"/>
              <w:rPr>
                <w:rFonts w:eastAsia="仿宋_GB2312"/>
                <w:color w:val="auto"/>
                <w:sz w:val="32"/>
                <w:szCs w:val="32"/>
              </w:rPr>
            </w:pPr>
            <w:r>
              <w:rPr>
                <w:rFonts w:eastAsia="仿宋_GB2312"/>
                <w:color w:val="auto"/>
                <w:sz w:val="32"/>
                <w:szCs w:val="32"/>
              </w:rPr>
              <w:t>东莞市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pPr>
              <w:spacing w:line="360" w:lineRule="auto"/>
              <w:jc w:val="center"/>
              <w:rPr>
                <w:rFonts w:eastAsia="仿宋_GB2312"/>
                <w:color w:val="auto"/>
                <w:sz w:val="32"/>
                <w:szCs w:val="32"/>
              </w:rPr>
            </w:pPr>
            <w:r>
              <w:rPr>
                <w:rFonts w:eastAsia="仿宋_GB2312"/>
                <w:color w:val="auto"/>
                <w:sz w:val="32"/>
                <w:szCs w:val="32"/>
              </w:rPr>
              <w:t>3</w:t>
            </w:r>
          </w:p>
        </w:tc>
        <w:tc>
          <w:tcPr>
            <w:tcW w:w="2275" w:type="dxa"/>
            <w:vAlign w:val="center"/>
          </w:tcPr>
          <w:p>
            <w:pPr>
              <w:spacing w:line="360" w:lineRule="auto"/>
              <w:jc w:val="center"/>
              <w:rPr>
                <w:rFonts w:eastAsia="仿宋_GB2312"/>
                <w:color w:val="auto"/>
                <w:sz w:val="32"/>
                <w:szCs w:val="32"/>
              </w:rPr>
            </w:pPr>
            <w:r>
              <w:rPr>
                <w:rFonts w:hint="eastAsia" w:eastAsia="仿宋_GB2312"/>
                <w:color w:val="auto"/>
                <w:sz w:val="32"/>
                <w:szCs w:val="32"/>
              </w:rPr>
              <w:t>项目性质</w:t>
            </w:r>
          </w:p>
        </w:tc>
        <w:tc>
          <w:tcPr>
            <w:tcW w:w="5942" w:type="dxa"/>
            <w:vAlign w:val="center"/>
          </w:tcPr>
          <w:p>
            <w:pPr>
              <w:spacing w:line="360" w:lineRule="auto"/>
              <w:rPr>
                <w:rFonts w:eastAsia="仿宋_GB2312"/>
                <w:color w:val="auto"/>
                <w:sz w:val="32"/>
                <w:szCs w:val="32"/>
              </w:rPr>
            </w:pPr>
            <w:r>
              <w:rPr>
                <w:rFonts w:hint="eastAsia" w:eastAsia="仿宋_GB2312"/>
                <w:color w:val="auto"/>
                <w:sz w:val="32"/>
                <w:szCs w:val="32"/>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pPr>
              <w:spacing w:line="360" w:lineRule="auto"/>
              <w:jc w:val="center"/>
              <w:rPr>
                <w:rFonts w:eastAsia="仿宋_GB2312"/>
                <w:color w:val="auto"/>
                <w:sz w:val="32"/>
                <w:szCs w:val="32"/>
              </w:rPr>
            </w:pPr>
            <w:r>
              <w:rPr>
                <w:rFonts w:eastAsia="仿宋_GB2312"/>
                <w:color w:val="auto"/>
                <w:sz w:val="32"/>
                <w:szCs w:val="32"/>
              </w:rPr>
              <w:t>4</w:t>
            </w:r>
          </w:p>
        </w:tc>
        <w:tc>
          <w:tcPr>
            <w:tcW w:w="2275" w:type="dxa"/>
            <w:vAlign w:val="center"/>
          </w:tcPr>
          <w:p>
            <w:pPr>
              <w:spacing w:line="360" w:lineRule="auto"/>
              <w:jc w:val="center"/>
              <w:rPr>
                <w:rFonts w:eastAsia="仿宋_GB2312"/>
                <w:color w:val="auto"/>
                <w:sz w:val="32"/>
                <w:szCs w:val="32"/>
              </w:rPr>
            </w:pPr>
            <w:r>
              <w:rPr>
                <w:rFonts w:hint="eastAsia" w:eastAsia="仿宋_GB2312"/>
                <w:color w:val="auto"/>
                <w:sz w:val="32"/>
                <w:szCs w:val="32"/>
              </w:rPr>
              <w:t>发包要求</w:t>
            </w:r>
          </w:p>
        </w:tc>
        <w:tc>
          <w:tcPr>
            <w:tcW w:w="5942" w:type="dxa"/>
            <w:vAlign w:val="center"/>
          </w:tcPr>
          <w:p>
            <w:pPr>
              <w:spacing w:line="360" w:lineRule="auto"/>
              <w:rPr>
                <w:rFonts w:hint="eastAsia" w:eastAsia="仿宋_GB2312"/>
                <w:color w:val="auto"/>
                <w:sz w:val="32"/>
                <w:szCs w:val="32"/>
                <w:lang w:eastAsia="zh-CN"/>
              </w:rPr>
            </w:pPr>
            <w:r>
              <w:rPr>
                <w:rFonts w:hint="eastAsia" w:eastAsia="仿宋_GB2312"/>
                <w:color w:val="auto"/>
                <w:sz w:val="32"/>
                <w:szCs w:val="32"/>
                <w:lang w:val="en-US" w:eastAsia="zh-CN"/>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pPr>
              <w:spacing w:line="360" w:lineRule="auto"/>
              <w:jc w:val="center"/>
              <w:rPr>
                <w:rFonts w:eastAsia="仿宋_GB2312"/>
                <w:color w:val="auto"/>
                <w:sz w:val="32"/>
                <w:szCs w:val="32"/>
              </w:rPr>
            </w:pPr>
            <w:r>
              <w:rPr>
                <w:rFonts w:eastAsia="仿宋_GB2312"/>
                <w:color w:val="auto"/>
                <w:sz w:val="32"/>
                <w:szCs w:val="32"/>
              </w:rPr>
              <w:t>5</w:t>
            </w:r>
          </w:p>
        </w:tc>
        <w:tc>
          <w:tcPr>
            <w:tcW w:w="2275" w:type="dxa"/>
            <w:vAlign w:val="center"/>
          </w:tcPr>
          <w:p>
            <w:pPr>
              <w:spacing w:line="360" w:lineRule="auto"/>
              <w:jc w:val="center"/>
              <w:rPr>
                <w:rFonts w:eastAsia="仿宋_GB2312"/>
                <w:color w:val="auto"/>
                <w:sz w:val="32"/>
                <w:szCs w:val="32"/>
              </w:rPr>
            </w:pPr>
            <w:r>
              <w:rPr>
                <w:rFonts w:hint="eastAsia" w:eastAsia="仿宋_GB2312"/>
                <w:color w:val="auto"/>
                <w:sz w:val="32"/>
                <w:szCs w:val="32"/>
              </w:rPr>
              <w:t>质量标准</w:t>
            </w:r>
          </w:p>
        </w:tc>
        <w:tc>
          <w:tcPr>
            <w:tcW w:w="5942" w:type="dxa"/>
            <w:vAlign w:val="center"/>
          </w:tcPr>
          <w:p>
            <w:pPr>
              <w:jc w:val="left"/>
              <w:rPr>
                <w:rFonts w:eastAsia="仿宋"/>
                <w:color w:val="auto"/>
                <w:sz w:val="32"/>
                <w:szCs w:val="32"/>
              </w:rPr>
            </w:pPr>
            <w:r>
              <w:rPr>
                <w:rFonts w:eastAsia="仿宋"/>
                <w:color w:val="auto"/>
                <w:sz w:val="32"/>
                <w:szCs w:val="32"/>
              </w:rPr>
              <w:t>详见</w:t>
            </w:r>
            <w:r>
              <w:rPr>
                <w:rFonts w:hint="eastAsia" w:eastAsia="仿宋"/>
                <w:color w:val="auto"/>
                <w:sz w:val="32"/>
                <w:szCs w:val="32"/>
              </w:rPr>
              <w:t>《用户需求书》</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pPr>
              <w:spacing w:line="360" w:lineRule="auto"/>
              <w:jc w:val="center"/>
              <w:rPr>
                <w:rFonts w:eastAsia="仿宋_GB2312"/>
                <w:color w:val="auto"/>
                <w:sz w:val="32"/>
                <w:szCs w:val="32"/>
              </w:rPr>
            </w:pPr>
            <w:r>
              <w:rPr>
                <w:rFonts w:eastAsia="仿宋_GB2312"/>
                <w:color w:val="auto"/>
                <w:sz w:val="32"/>
                <w:szCs w:val="32"/>
              </w:rPr>
              <w:t>6</w:t>
            </w:r>
          </w:p>
        </w:tc>
        <w:tc>
          <w:tcPr>
            <w:tcW w:w="2275" w:type="dxa"/>
            <w:vAlign w:val="center"/>
          </w:tcPr>
          <w:p>
            <w:pPr>
              <w:spacing w:line="360" w:lineRule="auto"/>
              <w:jc w:val="center"/>
              <w:rPr>
                <w:rFonts w:eastAsia="仿宋_GB2312"/>
                <w:color w:val="auto"/>
                <w:sz w:val="32"/>
                <w:szCs w:val="32"/>
              </w:rPr>
            </w:pPr>
            <w:r>
              <w:rPr>
                <w:rFonts w:hint="eastAsia" w:eastAsia="仿宋_GB2312"/>
                <w:color w:val="auto"/>
                <w:sz w:val="32"/>
                <w:szCs w:val="32"/>
              </w:rPr>
              <w:t>工期要求</w:t>
            </w:r>
          </w:p>
        </w:tc>
        <w:tc>
          <w:tcPr>
            <w:tcW w:w="5942" w:type="dxa"/>
            <w:vAlign w:val="center"/>
          </w:tcPr>
          <w:p>
            <w:pPr>
              <w:spacing w:line="500" w:lineRule="exact"/>
              <w:jc w:val="left"/>
              <w:rPr>
                <w:rFonts w:hint="default" w:eastAsia="仿宋_GB2312"/>
                <w:color w:val="auto"/>
                <w:sz w:val="32"/>
                <w:szCs w:val="32"/>
                <w:lang w:val="en-US" w:eastAsia="zh-CN"/>
              </w:rPr>
            </w:pPr>
            <w:r>
              <w:rPr>
                <w:rFonts w:hint="eastAsia" w:eastAsia="仿宋_GB2312"/>
                <w:color w:val="auto"/>
                <w:sz w:val="32"/>
                <w:szCs w:val="32"/>
                <w:lang w:val="en-US" w:eastAsia="zh-CN"/>
              </w:rPr>
              <w:t>详见合同文本</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pPr>
              <w:spacing w:line="360" w:lineRule="auto"/>
              <w:jc w:val="center"/>
              <w:rPr>
                <w:rFonts w:eastAsia="仿宋_GB2312"/>
                <w:color w:val="auto"/>
                <w:sz w:val="32"/>
                <w:szCs w:val="32"/>
              </w:rPr>
            </w:pPr>
            <w:r>
              <w:rPr>
                <w:rFonts w:eastAsia="仿宋_GB2312"/>
                <w:color w:val="auto"/>
                <w:sz w:val="32"/>
                <w:szCs w:val="32"/>
              </w:rPr>
              <w:t>7</w:t>
            </w:r>
          </w:p>
        </w:tc>
        <w:tc>
          <w:tcPr>
            <w:tcW w:w="2275" w:type="dxa"/>
            <w:vAlign w:val="center"/>
          </w:tcPr>
          <w:p>
            <w:pPr>
              <w:spacing w:line="360" w:lineRule="auto"/>
              <w:jc w:val="center"/>
              <w:rPr>
                <w:rFonts w:eastAsia="仿宋_GB2312"/>
                <w:color w:val="auto"/>
                <w:sz w:val="32"/>
                <w:szCs w:val="32"/>
              </w:rPr>
            </w:pPr>
            <w:r>
              <w:rPr>
                <w:rFonts w:hint="eastAsia" w:eastAsia="仿宋_GB2312"/>
                <w:color w:val="auto"/>
                <w:sz w:val="32"/>
                <w:szCs w:val="32"/>
              </w:rPr>
              <w:t>单位资质要求</w:t>
            </w:r>
          </w:p>
        </w:tc>
        <w:tc>
          <w:tcPr>
            <w:tcW w:w="5942" w:type="dxa"/>
            <w:vAlign w:val="center"/>
          </w:tcPr>
          <w:p>
            <w:pPr>
              <w:adjustRightInd w:val="0"/>
              <w:snapToGrid w:val="0"/>
              <w:spacing w:line="560" w:lineRule="exact"/>
              <w:rPr>
                <w:rFonts w:eastAsia="仿宋_GB2312"/>
                <w:b/>
                <w:color w:val="auto"/>
                <w:sz w:val="32"/>
                <w:szCs w:val="32"/>
              </w:rPr>
            </w:pPr>
            <w:r>
              <w:rPr>
                <w:rFonts w:hint="eastAsia" w:eastAsia="仿宋_GB2312"/>
                <w:color w:val="auto"/>
                <w:sz w:val="32"/>
                <w:szCs w:val="32"/>
                <w:lang w:val="en-US" w:eastAsia="zh-CN"/>
              </w:rPr>
              <w:t>响应人须具备岩土勘察专业类岩土工程物探测试检测监测乙级和工程测量乙级及以上资质且该资质在有效范围内。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pPr>
              <w:spacing w:line="360" w:lineRule="auto"/>
              <w:jc w:val="center"/>
              <w:rPr>
                <w:rFonts w:eastAsia="仿宋_GB2312"/>
                <w:color w:val="auto"/>
                <w:sz w:val="32"/>
                <w:szCs w:val="32"/>
              </w:rPr>
            </w:pPr>
            <w:r>
              <w:rPr>
                <w:rFonts w:eastAsia="仿宋_GB2312"/>
                <w:color w:val="auto"/>
                <w:sz w:val="32"/>
                <w:szCs w:val="32"/>
              </w:rPr>
              <w:t>8</w:t>
            </w:r>
          </w:p>
        </w:tc>
        <w:tc>
          <w:tcPr>
            <w:tcW w:w="2275" w:type="dxa"/>
          </w:tcPr>
          <w:p>
            <w:pPr>
              <w:spacing w:line="360" w:lineRule="auto"/>
              <w:ind w:left="0" w:leftChars="0"/>
              <w:jc w:val="left"/>
              <w:rPr>
                <w:rFonts w:eastAsia="仿宋_GB2312"/>
                <w:color w:val="auto"/>
                <w:sz w:val="32"/>
                <w:szCs w:val="32"/>
              </w:rPr>
            </w:pPr>
            <w:r>
              <w:rPr>
                <w:rFonts w:hint="eastAsia" w:eastAsia="仿宋_GB2312"/>
                <w:color w:val="auto"/>
                <w:sz w:val="32"/>
                <w:szCs w:val="32"/>
              </w:rPr>
              <w:t>报价保证金</w:t>
            </w:r>
          </w:p>
        </w:tc>
        <w:tc>
          <w:tcPr>
            <w:tcW w:w="5942" w:type="dxa"/>
            <w:vAlign w:val="center"/>
          </w:tcPr>
          <w:p>
            <w:pPr>
              <w:adjustRightInd w:val="0"/>
              <w:snapToGrid w:val="0"/>
              <w:spacing w:line="560" w:lineRule="exact"/>
              <w:ind w:left="0" w:leftChars="0"/>
              <w:jc w:val="left"/>
              <w:rPr>
                <w:rFonts w:eastAsia="仿宋_GB2312"/>
                <w:color w:val="auto"/>
                <w:sz w:val="32"/>
                <w:szCs w:val="32"/>
              </w:rPr>
            </w:pPr>
            <w:r>
              <w:rPr>
                <w:rFonts w:hint="eastAsia" w:eastAsia="仿宋_GB2312"/>
                <w:color w:val="auto"/>
                <w:sz w:val="32"/>
                <w:szCs w:val="32"/>
                <w:lang w:val="en-US" w:eastAsia="zh-CN"/>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70" w:type="dxa"/>
            <w:vAlign w:val="center"/>
          </w:tcPr>
          <w:p>
            <w:pPr>
              <w:spacing w:line="360" w:lineRule="auto"/>
              <w:jc w:val="center"/>
              <w:rPr>
                <w:rFonts w:eastAsia="仿宋_GB2312"/>
                <w:color w:val="auto"/>
                <w:sz w:val="32"/>
                <w:szCs w:val="32"/>
              </w:rPr>
            </w:pPr>
            <w:r>
              <w:rPr>
                <w:rFonts w:eastAsia="仿宋_GB2312"/>
                <w:color w:val="auto"/>
                <w:sz w:val="32"/>
                <w:szCs w:val="32"/>
              </w:rPr>
              <w:t>9</w:t>
            </w:r>
          </w:p>
        </w:tc>
        <w:tc>
          <w:tcPr>
            <w:tcW w:w="2275" w:type="dxa"/>
          </w:tcPr>
          <w:p>
            <w:pPr>
              <w:spacing w:line="360" w:lineRule="auto"/>
              <w:ind w:left="0" w:leftChars="0"/>
              <w:jc w:val="left"/>
              <w:rPr>
                <w:rFonts w:eastAsia="仿宋_GB2312"/>
                <w:color w:val="auto"/>
                <w:sz w:val="32"/>
                <w:szCs w:val="32"/>
              </w:rPr>
            </w:pPr>
            <w:r>
              <w:rPr>
                <w:rFonts w:hint="eastAsia" w:eastAsia="仿宋_GB2312"/>
                <w:color w:val="auto"/>
                <w:sz w:val="32"/>
                <w:szCs w:val="32"/>
              </w:rPr>
              <w:t>响应有效期</w:t>
            </w:r>
          </w:p>
        </w:tc>
        <w:tc>
          <w:tcPr>
            <w:tcW w:w="5942" w:type="dxa"/>
            <w:vAlign w:val="center"/>
          </w:tcPr>
          <w:p>
            <w:pPr>
              <w:adjustRightInd w:val="0"/>
              <w:snapToGrid w:val="0"/>
              <w:spacing w:line="560" w:lineRule="exact"/>
              <w:ind w:left="0" w:leftChars="0"/>
              <w:jc w:val="left"/>
              <w:rPr>
                <w:rFonts w:eastAsia="仿宋_GB2312"/>
                <w:color w:val="auto"/>
                <w:sz w:val="32"/>
                <w:szCs w:val="32"/>
              </w:rPr>
            </w:pPr>
            <w:r>
              <w:rPr>
                <w:rFonts w:eastAsia="仿宋_GB2312"/>
                <w:color w:val="auto"/>
                <w:sz w:val="32"/>
                <w:szCs w:val="32"/>
              </w:rPr>
              <w:t>90</w:t>
            </w:r>
            <w:r>
              <w:rPr>
                <w:rFonts w:hint="eastAsia" w:eastAsia="仿宋_GB2312"/>
                <w:color w:val="auto"/>
                <w:sz w:val="32"/>
                <w:szCs w:val="32"/>
              </w:rPr>
              <w:t>天</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pPr>
              <w:spacing w:line="360" w:lineRule="auto"/>
              <w:jc w:val="center"/>
              <w:rPr>
                <w:rFonts w:eastAsia="仿宋_GB2312"/>
                <w:color w:val="auto"/>
                <w:sz w:val="32"/>
                <w:szCs w:val="32"/>
              </w:rPr>
            </w:pPr>
          </w:p>
        </w:tc>
        <w:tc>
          <w:tcPr>
            <w:tcW w:w="2275" w:type="dxa"/>
            <w:vAlign w:val="center"/>
          </w:tcPr>
          <w:p>
            <w:pPr>
              <w:jc w:val="center"/>
              <w:rPr>
                <w:rFonts w:eastAsia="仿宋_GB2312"/>
                <w:color w:val="auto"/>
                <w:sz w:val="32"/>
                <w:szCs w:val="32"/>
              </w:rPr>
            </w:pPr>
            <w:r>
              <w:rPr>
                <w:rFonts w:hint="eastAsia" w:eastAsia="仿宋_GB2312"/>
                <w:color w:val="auto"/>
                <w:sz w:val="32"/>
                <w:szCs w:val="32"/>
              </w:rPr>
              <w:t>响应人不得存在的情形</w:t>
            </w:r>
          </w:p>
        </w:tc>
        <w:tc>
          <w:tcPr>
            <w:tcW w:w="5942" w:type="dxa"/>
            <w:vAlign w:val="center"/>
          </w:tcPr>
          <w:p>
            <w:pPr>
              <w:adjustRightInd w:val="0"/>
              <w:snapToGrid w:val="0"/>
              <w:spacing w:line="560" w:lineRule="exact"/>
              <w:rPr>
                <w:rFonts w:eastAsia="仿宋_GB2312"/>
                <w:color w:val="auto"/>
                <w:sz w:val="32"/>
                <w:szCs w:val="32"/>
              </w:rPr>
            </w:pPr>
            <w:r>
              <w:rPr>
                <w:rFonts w:eastAsia="仿宋_GB2312"/>
                <w:color w:val="auto"/>
                <w:sz w:val="32"/>
                <w:szCs w:val="32"/>
              </w:rPr>
              <w:t>1</w:t>
            </w:r>
            <w:r>
              <w:rPr>
                <w:rFonts w:hint="eastAsia" w:eastAsia="仿宋_GB2312"/>
                <w:color w:val="auto"/>
                <w:sz w:val="32"/>
                <w:szCs w:val="32"/>
              </w:rPr>
              <w:t>、响应人不得存在下列情形之一，否则采购人有权取消其参与响应资格或成交资格：</w:t>
            </w:r>
          </w:p>
          <w:p>
            <w:pPr>
              <w:adjustRightInd w:val="0"/>
              <w:snapToGrid w:val="0"/>
              <w:spacing w:line="560" w:lineRule="exact"/>
              <w:rPr>
                <w:rFonts w:eastAsia="仿宋_GB2312"/>
                <w:color w:val="auto"/>
                <w:sz w:val="32"/>
                <w:szCs w:val="32"/>
              </w:rPr>
            </w:pPr>
            <w:r>
              <w:rPr>
                <w:rFonts w:hint="eastAsia" w:eastAsia="仿宋_GB2312"/>
                <w:color w:val="auto"/>
                <w:sz w:val="32"/>
                <w:szCs w:val="32"/>
              </w:rPr>
              <w:t>（</w:t>
            </w:r>
            <w:r>
              <w:rPr>
                <w:rFonts w:eastAsia="仿宋_GB2312"/>
                <w:color w:val="auto"/>
                <w:sz w:val="32"/>
                <w:szCs w:val="32"/>
              </w:rPr>
              <w:t>1</w:t>
            </w:r>
            <w:r>
              <w:rPr>
                <w:rFonts w:hint="eastAsia" w:eastAsia="仿宋_GB2312"/>
                <w:color w:val="auto"/>
                <w:sz w:val="32"/>
                <w:szCs w:val="32"/>
              </w:rPr>
              <w:t>）为采购人不具有独立法人资格的附属机构（单位）；</w:t>
            </w:r>
          </w:p>
          <w:p>
            <w:pPr>
              <w:adjustRightInd w:val="0"/>
              <w:snapToGrid w:val="0"/>
              <w:spacing w:line="560" w:lineRule="exact"/>
              <w:rPr>
                <w:rFonts w:eastAsia="仿宋_GB2312"/>
                <w:color w:val="auto"/>
                <w:sz w:val="32"/>
                <w:szCs w:val="32"/>
              </w:rPr>
            </w:pPr>
            <w:r>
              <w:rPr>
                <w:rFonts w:hint="eastAsia" w:eastAsia="仿宋_GB2312"/>
                <w:color w:val="auto"/>
                <w:sz w:val="32"/>
                <w:szCs w:val="32"/>
              </w:rPr>
              <w:t>（</w:t>
            </w:r>
            <w:r>
              <w:rPr>
                <w:rFonts w:eastAsia="仿宋_GB2312"/>
                <w:color w:val="auto"/>
                <w:sz w:val="32"/>
                <w:szCs w:val="32"/>
              </w:rPr>
              <w:t>2</w:t>
            </w:r>
            <w:r>
              <w:rPr>
                <w:rFonts w:hint="eastAsia" w:eastAsia="仿宋_GB2312"/>
                <w:color w:val="auto"/>
                <w:sz w:val="32"/>
                <w:szCs w:val="32"/>
              </w:rPr>
              <w:t>）被责令停业的；</w:t>
            </w:r>
            <w:r>
              <w:rPr>
                <w:rFonts w:eastAsia="仿宋_GB2312"/>
                <w:color w:val="auto"/>
                <w:sz w:val="32"/>
                <w:szCs w:val="32"/>
              </w:rPr>
              <w:t xml:space="preserve"> </w:t>
            </w:r>
          </w:p>
          <w:p>
            <w:pPr>
              <w:adjustRightInd w:val="0"/>
              <w:snapToGrid w:val="0"/>
              <w:spacing w:line="560" w:lineRule="exact"/>
              <w:rPr>
                <w:rFonts w:eastAsia="仿宋_GB2312"/>
                <w:color w:val="auto"/>
                <w:sz w:val="32"/>
                <w:szCs w:val="32"/>
              </w:rPr>
            </w:pPr>
            <w:r>
              <w:rPr>
                <w:rFonts w:hint="eastAsia" w:eastAsia="仿宋_GB2312"/>
                <w:color w:val="auto"/>
                <w:sz w:val="32"/>
                <w:szCs w:val="32"/>
              </w:rPr>
              <w:t>（</w:t>
            </w:r>
            <w:r>
              <w:rPr>
                <w:rFonts w:eastAsia="仿宋_GB2312"/>
                <w:color w:val="auto"/>
                <w:sz w:val="32"/>
                <w:szCs w:val="32"/>
              </w:rPr>
              <w:t>3</w:t>
            </w:r>
            <w:r>
              <w:rPr>
                <w:rFonts w:hint="eastAsia" w:eastAsia="仿宋_GB2312"/>
                <w:color w:val="auto"/>
                <w:sz w:val="32"/>
                <w:szCs w:val="32"/>
              </w:rPr>
              <w:t>）被暂停或取消投标资格的；</w:t>
            </w:r>
            <w:r>
              <w:rPr>
                <w:rFonts w:eastAsia="仿宋_GB2312"/>
                <w:color w:val="auto"/>
                <w:sz w:val="32"/>
                <w:szCs w:val="32"/>
              </w:rPr>
              <w:t xml:space="preserve"> </w:t>
            </w:r>
          </w:p>
          <w:p>
            <w:pPr>
              <w:adjustRightInd w:val="0"/>
              <w:snapToGrid w:val="0"/>
              <w:spacing w:line="560" w:lineRule="exact"/>
              <w:rPr>
                <w:rFonts w:eastAsia="仿宋_GB2312"/>
                <w:color w:val="auto"/>
                <w:sz w:val="32"/>
                <w:szCs w:val="32"/>
              </w:rPr>
            </w:pPr>
            <w:r>
              <w:rPr>
                <w:rFonts w:hint="eastAsia" w:eastAsia="仿宋_GB2312"/>
                <w:color w:val="auto"/>
                <w:sz w:val="32"/>
                <w:szCs w:val="32"/>
              </w:rPr>
              <w:t>（</w:t>
            </w:r>
            <w:r>
              <w:rPr>
                <w:rFonts w:eastAsia="仿宋_GB2312"/>
                <w:color w:val="auto"/>
                <w:sz w:val="32"/>
                <w:szCs w:val="32"/>
              </w:rPr>
              <w:t>4</w:t>
            </w:r>
            <w:r>
              <w:rPr>
                <w:rFonts w:hint="eastAsia" w:eastAsia="仿宋_GB2312"/>
                <w:color w:val="auto"/>
                <w:sz w:val="32"/>
                <w:szCs w:val="32"/>
              </w:rPr>
              <w:t>）财产被接管或冻结的；</w:t>
            </w:r>
          </w:p>
          <w:p>
            <w:pPr>
              <w:adjustRightInd w:val="0"/>
              <w:snapToGrid w:val="0"/>
              <w:spacing w:line="560" w:lineRule="exact"/>
              <w:rPr>
                <w:rFonts w:eastAsia="仿宋_GB2312"/>
                <w:color w:val="auto"/>
                <w:sz w:val="32"/>
                <w:szCs w:val="32"/>
              </w:rPr>
            </w:pPr>
            <w:r>
              <w:rPr>
                <w:rFonts w:hint="eastAsia" w:eastAsia="仿宋_GB2312"/>
                <w:color w:val="auto"/>
                <w:sz w:val="32"/>
                <w:szCs w:val="32"/>
              </w:rPr>
              <w:t>（</w:t>
            </w:r>
            <w:r>
              <w:rPr>
                <w:rFonts w:eastAsia="仿宋_GB2312"/>
                <w:color w:val="auto"/>
                <w:sz w:val="32"/>
                <w:szCs w:val="32"/>
              </w:rPr>
              <w:t>5</w:t>
            </w:r>
            <w:r>
              <w:rPr>
                <w:rFonts w:hint="eastAsia" w:eastAsia="仿宋_GB2312"/>
                <w:color w:val="auto"/>
                <w:sz w:val="32"/>
                <w:szCs w:val="32"/>
              </w:rPr>
              <w:t>）在最近三年内有骗取中标、严重违约、重大质量或安全问题的；</w:t>
            </w:r>
          </w:p>
          <w:p>
            <w:pPr>
              <w:adjustRightInd w:val="0"/>
              <w:snapToGrid w:val="0"/>
              <w:spacing w:line="560" w:lineRule="exact"/>
              <w:rPr>
                <w:rFonts w:eastAsia="仿宋_GB2312"/>
                <w:color w:val="auto"/>
                <w:sz w:val="32"/>
                <w:szCs w:val="32"/>
              </w:rPr>
            </w:pPr>
            <w:r>
              <w:rPr>
                <w:rFonts w:hint="eastAsia" w:eastAsia="仿宋_GB2312"/>
                <w:color w:val="auto"/>
                <w:sz w:val="32"/>
                <w:szCs w:val="32"/>
              </w:rPr>
              <w:t>（</w:t>
            </w:r>
            <w:r>
              <w:rPr>
                <w:rFonts w:eastAsia="仿宋_GB2312"/>
                <w:color w:val="auto"/>
                <w:sz w:val="32"/>
                <w:szCs w:val="32"/>
              </w:rPr>
              <w:t>6</w:t>
            </w:r>
            <w:r>
              <w:rPr>
                <w:rFonts w:hint="eastAsia" w:eastAsia="仿宋_GB2312"/>
                <w:color w:val="auto"/>
                <w:sz w:val="32"/>
                <w:szCs w:val="32"/>
              </w:rPr>
              <w:t>）法律法规规定的其他情形；</w:t>
            </w:r>
          </w:p>
          <w:p>
            <w:pPr>
              <w:adjustRightInd w:val="0"/>
              <w:snapToGrid w:val="0"/>
              <w:spacing w:line="560" w:lineRule="exact"/>
              <w:rPr>
                <w:rFonts w:eastAsia="仿宋_GB2312"/>
                <w:color w:val="auto"/>
                <w:sz w:val="32"/>
                <w:szCs w:val="32"/>
              </w:rPr>
            </w:pPr>
            <w:r>
              <w:rPr>
                <w:rFonts w:hint="eastAsia" w:eastAsia="仿宋_GB2312"/>
                <w:color w:val="auto"/>
                <w:sz w:val="32"/>
                <w:szCs w:val="32"/>
              </w:rPr>
              <w:t>（</w:t>
            </w:r>
            <w:r>
              <w:rPr>
                <w:rFonts w:eastAsia="仿宋_GB2312"/>
                <w:color w:val="auto"/>
                <w:sz w:val="32"/>
                <w:szCs w:val="32"/>
              </w:rPr>
              <w:t>7</w:t>
            </w:r>
            <w:r>
              <w:rPr>
                <w:rFonts w:hint="eastAsia" w:eastAsia="仿宋_GB2312"/>
                <w:color w:val="auto"/>
                <w:sz w:val="32"/>
                <w:szCs w:val="32"/>
              </w:rPr>
              <w:t>）竞争性磋商文件规定的其他情形：见竞争性磋商公告或竞争性磋商响应须知前附表。</w:t>
            </w:r>
          </w:p>
          <w:p>
            <w:pPr>
              <w:adjustRightInd w:val="0"/>
              <w:snapToGrid w:val="0"/>
              <w:spacing w:line="560" w:lineRule="exact"/>
              <w:rPr>
                <w:rFonts w:eastAsia="仿宋_GB2312"/>
                <w:color w:val="auto"/>
                <w:sz w:val="32"/>
                <w:szCs w:val="32"/>
              </w:rPr>
            </w:pPr>
            <w:r>
              <w:rPr>
                <w:rFonts w:eastAsia="仿宋_GB2312"/>
                <w:color w:val="auto"/>
                <w:sz w:val="32"/>
                <w:szCs w:val="32"/>
              </w:rPr>
              <w:t>2</w:t>
            </w:r>
            <w:r>
              <w:rPr>
                <w:rFonts w:hint="eastAsia" w:eastAsia="仿宋_GB2312"/>
                <w:color w:val="auto"/>
                <w:sz w:val="32"/>
                <w:szCs w:val="32"/>
              </w:rPr>
              <w:t>、响应人在竞争性磋商活动中有下列行为之一的，应视情节轻重，暂停或取消其参与采购人及东实集团旗下采购项目的资格：</w:t>
            </w:r>
          </w:p>
          <w:p>
            <w:pPr>
              <w:adjustRightInd w:val="0"/>
              <w:snapToGrid w:val="0"/>
              <w:spacing w:line="560" w:lineRule="exact"/>
              <w:rPr>
                <w:rFonts w:eastAsia="仿宋_GB2312"/>
                <w:color w:val="auto"/>
                <w:sz w:val="32"/>
                <w:szCs w:val="32"/>
              </w:rPr>
            </w:pPr>
            <w:r>
              <w:rPr>
                <w:rFonts w:hint="eastAsia" w:eastAsia="仿宋_GB2312"/>
                <w:color w:val="auto"/>
                <w:sz w:val="32"/>
                <w:szCs w:val="32"/>
              </w:rPr>
              <w:t>（</w:t>
            </w:r>
            <w:r>
              <w:rPr>
                <w:rFonts w:eastAsia="仿宋_GB2312"/>
                <w:color w:val="auto"/>
                <w:sz w:val="32"/>
                <w:szCs w:val="32"/>
              </w:rPr>
              <w:t>1</w:t>
            </w:r>
            <w:r>
              <w:rPr>
                <w:rFonts w:hint="eastAsia" w:eastAsia="仿宋_GB2312"/>
                <w:color w:val="auto"/>
                <w:sz w:val="32"/>
                <w:szCs w:val="32"/>
              </w:rPr>
              <w:t>）响应人之间相互串通、或与采购人、代理机构、评审委员会成员串通磋商，损害采购人或者其他响应人的合法权益的；</w:t>
            </w:r>
            <w:r>
              <w:rPr>
                <w:rFonts w:eastAsia="仿宋_GB2312"/>
                <w:color w:val="auto"/>
                <w:sz w:val="32"/>
                <w:szCs w:val="32"/>
              </w:rPr>
              <w:t xml:space="preserve"> </w:t>
            </w:r>
          </w:p>
          <w:p>
            <w:pPr>
              <w:adjustRightInd w:val="0"/>
              <w:snapToGrid w:val="0"/>
              <w:spacing w:line="560" w:lineRule="exact"/>
              <w:rPr>
                <w:rFonts w:eastAsia="仿宋_GB2312"/>
                <w:color w:val="auto"/>
                <w:sz w:val="32"/>
                <w:szCs w:val="32"/>
              </w:rPr>
            </w:pPr>
            <w:r>
              <w:rPr>
                <w:rFonts w:hint="eastAsia" w:eastAsia="仿宋_GB2312"/>
                <w:color w:val="auto"/>
                <w:sz w:val="32"/>
                <w:szCs w:val="32"/>
              </w:rPr>
              <w:t>（</w:t>
            </w:r>
            <w:r>
              <w:rPr>
                <w:rFonts w:eastAsia="仿宋_GB2312"/>
                <w:color w:val="auto"/>
                <w:sz w:val="32"/>
                <w:szCs w:val="32"/>
              </w:rPr>
              <w:t>2</w:t>
            </w:r>
            <w:r>
              <w:rPr>
                <w:rFonts w:hint="eastAsia" w:eastAsia="仿宋_GB2312"/>
                <w:color w:val="auto"/>
                <w:sz w:val="32"/>
                <w:szCs w:val="32"/>
              </w:rPr>
              <w:t>）向采购人、代理机构、评审委会成员或其他相关工作人员行贿的；</w:t>
            </w:r>
            <w:r>
              <w:rPr>
                <w:rFonts w:eastAsia="仿宋_GB2312"/>
                <w:color w:val="auto"/>
                <w:sz w:val="32"/>
                <w:szCs w:val="32"/>
              </w:rPr>
              <w:t xml:space="preserve"> </w:t>
            </w:r>
          </w:p>
          <w:p>
            <w:pPr>
              <w:adjustRightInd w:val="0"/>
              <w:snapToGrid w:val="0"/>
              <w:spacing w:line="560" w:lineRule="exact"/>
              <w:rPr>
                <w:rFonts w:eastAsia="仿宋_GB2312"/>
                <w:color w:val="auto"/>
                <w:sz w:val="32"/>
                <w:szCs w:val="32"/>
              </w:rPr>
            </w:pPr>
            <w:r>
              <w:rPr>
                <w:rFonts w:hint="eastAsia" w:eastAsia="仿宋_GB2312"/>
                <w:color w:val="auto"/>
                <w:sz w:val="32"/>
                <w:szCs w:val="32"/>
              </w:rPr>
              <w:t>（</w:t>
            </w:r>
            <w:r>
              <w:rPr>
                <w:rFonts w:eastAsia="仿宋_GB2312"/>
                <w:color w:val="auto"/>
                <w:sz w:val="32"/>
                <w:szCs w:val="32"/>
              </w:rPr>
              <w:t>3</w:t>
            </w:r>
            <w:r>
              <w:rPr>
                <w:rFonts w:hint="eastAsia" w:eastAsia="仿宋_GB2312"/>
                <w:color w:val="auto"/>
                <w:sz w:val="32"/>
                <w:szCs w:val="32"/>
              </w:rPr>
              <w:t>）以他人名义磋商或以其他方式弄虚作假，骗取成交的；</w:t>
            </w:r>
            <w:r>
              <w:rPr>
                <w:rFonts w:eastAsia="仿宋_GB2312"/>
                <w:color w:val="auto"/>
                <w:sz w:val="32"/>
                <w:szCs w:val="32"/>
              </w:rPr>
              <w:t xml:space="preserve"> </w:t>
            </w:r>
          </w:p>
          <w:p>
            <w:pPr>
              <w:adjustRightInd w:val="0"/>
              <w:snapToGrid w:val="0"/>
              <w:spacing w:line="560" w:lineRule="exact"/>
              <w:rPr>
                <w:rFonts w:eastAsia="仿宋_GB2312"/>
                <w:color w:val="auto"/>
                <w:sz w:val="32"/>
                <w:szCs w:val="32"/>
              </w:rPr>
            </w:pPr>
            <w:r>
              <w:rPr>
                <w:rFonts w:hint="eastAsia" w:eastAsia="仿宋_GB2312"/>
                <w:color w:val="auto"/>
                <w:sz w:val="32"/>
                <w:szCs w:val="32"/>
              </w:rPr>
              <w:t>（</w:t>
            </w:r>
            <w:r>
              <w:rPr>
                <w:rFonts w:eastAsia="仿宋_GB2312"/>
                <w:color w:val="auto"/>
                <w:sz w:val="32"/>
                <w:szCs w:val="32"/>
              </w:rPr>
              <w:t>4</w:t>
            </w:r>
            <w:r>
              <w:rPr>
                <w:rFonts w:hint="eastAsia" w:eastAsia="仿宋_GB2312"/>
                <w:color w:val="auto"/>
                <w:sz w:val="32"/>
                <w:szCs w:val="32"/>
              </w:rPr>
              <w:t>）成交人私自将成交项目转让给他人的，将成交项目肢解后分别转让给他人的；</w:t>
            </w:r>
            <w:r>
              <w:rPr>
                <w:rFonts w:eastAsia="仿宋_GB2312"/>
                <w:color w:val="auto"/>
                <w:sz w:val="32"/>
                <w:szCs w:val="32"/>
              </w:rPr>
              <w:t xml:space="preserve"> </w:t>
            </w:r>
          </w:p>
          <w:p>
            <w:pPr>
              <w:adjustRightInd w:val="0"/>
              <w:snapToGrid w:val="0"/>
              <w:spacing w:line="560" w:lineRule="exact"/>
              <w:rPr>
                <w:rFonts w:eastAsia="仿宋_GB2312"/>
                <w:color w:val="auto"/>
                <w:sz w:val="32"/>
                <w:szCs w:val="32"/>
              </w:rPr>
            </w:pPr>
            <w:r>
              <w:rPr>
                <w:rFonts w:hint="eastAsia" w:eastAsia="仿宋_GB2312"/>
                <w:color w:val="auto"/>
                <w:sz w:val="32"/>
                <w:szCs w:val="32"/>
              </w:rPr>
              <w:t>（</w:t>
            </w:r>
            <w:r>
              <w:rPr>
                <w:rFonts w:eastAsia="仿宋_GB2312"/>
                <w:color w:val="auto"/>
                <w:sz w:val="32"/>
                <w:szCs w:val="32"/>
              </w:rPr>
              <w:t>5</w:t>
            </w:r>
            <w:r>
              <w:rPr>
                <w:rFonts w:hint="eastAsia" w:eastAsia="仿宋_GB2312"/>
                <w:color w:val="auto"/>
                <w:sz w:val="32"/>
                <w:szCs w:val="32"/>
              </w:rPr>
              <w:t>）成交人无正当理由不与采购人订立合同，在签订合同时向采购人提出附加条件，或者不按照竞争性磋商文件要求提交履约担保的；</w:t>
            </w:r>
          </w:p>
          <w:p>
            <w:pPr>
              <w:adjustRightInd w:val="0"/>
              <w:snapToGrid w:val="0"/>
              <w:spacing w:line="560" w:lineRule="exact"/>
              <w:rPr>
                <w:rFonts w:eastAsia="仿宋_GB2312"/>
                <w:color w:val="auto"/>
                <w:sz w:val="32"/>
                <w:szCs w:val="32"/>
              </w:rPr>
            </w:pPr>
            <w:r>
              <w:rPr>
                <w:rFonts w:hint="eastAsia" w:eastAsia="仿宋_GB2312"/>
                <w:color w:val="auto"/>
                <w:sz w:val="32"/>
                <w:szCs w:val="32"/>
              </w:rPr>
              <w:t>（</w:t>
            </w:r>
            <w:r>
              <w:rPr>
                <w:rFonts w:eastAsia="仿宋_GB2312"/>
                <w:color w:val="auto"/>
                <w:sz w:val="32"/>
                <w:szCs w:val="32"/>
              </w:rPr>
              <w:t>6</w:t>
            </w:r>
            <w:r>
              <w:rPr>
                <w:rFonts w:hint="eastAsia" w:eastAsia="仿宋_GB2312"/>
                <w:color w:val="auto"/>
                <w:sz w:val="32"/>
                <w:szCs w:val="32"/>
              </w:rPr>
              <w:t>）响应人捏造事实、伪造材料或者以非法手段取得证明材料进行投诉，给他人造成损失的；</w:t>
            </w:r>
            <w:r>
              <w:rPr>
                <w:rFonts w:eastAsia="仿宋_GB2312"/>
                <w:color w:val="auto"/>
                <w:sz w:val="32"/>
                <w:szCs w:val="32"/>
              </w:rPr>
              <w:t xml:space="preserve"> </w:t>
            </w:r>
          </w:p>
          <w:p>
            <w:pPr>
              <w:adjustRightInd w:val="0"/>
              <w:snapToGrid w:val="0"/>
              <w:spacing w:line="560" w:lineRule="exact"/>
              <w:rPr>
                <w:rFonts w:eastAsia="仿宋_GB2312"/>
                <w:color w:val="auto"/>
                <w:sz w:val="32"/>
                <w:szCs w:val="32"/>
              </w:rPr>
            </w:pPr>
            <w:r>
              <w:rPr>
                <w:rFonts w:hint="eastAsia" w:eastAsia="仿宋_GB2312"/>
                <w:color w:val="auto"/>
                <w:sz w:val="32"/>
                <w:szCs w:val="32"/>
              </w:rPr>
              <w:t>（</w:t>
            </w:r>
            <w:r>
              <w:rPr>
                <w:rFonts w:eastAsia="仿宋_GB2312"/>
                <w:color w:val="auto"/>
                <w:sz w:val="32"/>
                <w:szCs w:val="32"/>
              </w:rPr>
              <w:t>7</w:t>
            </w:r>
            <w:r>
              <w:rPr>
                <w:rFonts w:hint="eastAsia" w:eastAsia="仿宋_GB2312"/>
                <w:color w:val="auto"/>
                <w:sz w:val="32"/>
                <w:szCs w:val="32"/>
              </w:rPr>
              <w:t>）相关工作人员应当回避而不回避的；</w:t>
            </w:r>
            <w:r>
              <w:rPr>
                <w:rFonts w:eastAsia="仿宋_GB2312"/>
                <w:color w:val="auto"/>
                <w:sz w:val="32"/>
                <w:szCs w:val="32"/>
              </w:rPr>
              <w:t xml:space="preserve"> </w:t>
            </w:r>
          </w:p>
          <w:p>
            <w:pPr>
              <w:adjustRightInd w:val="0"/>
              <w:snapToGrid w:val="0"/>
              <w:spacing w:line="560" w:lineRule="exact"/>
              <w:rPr>
                <w:rFonts w:eastAsia="仿宋_GB2312"/>
                <w:color w:val="auto"/>
                <w:sz w:val="32"/>
                <w:szCs w:val="32"/>
              </w:rPr>
            </w:pPr>
            <w:r>
              <w:rPr>
                <w:rFonts w:hint="eastAsia" w:eastAsia="仿宋_GB2312"/>
                <w:color w:val="auto"/>
                <w:sz w:val="32"/>
                <w:szCs w:val="32"/>
              </w:rPr>
              <w:t>（</w:t>
            </w:r>
            <w:r>
              <w:rPr>
                <w:rFonts w:eastAsia="仿宋_GB2312"/>
                <w:color w:val="auto"/>
                <w:sz w:val="32"/>
                <w:szCs w:val="32"/>
              </w:rPr>
              <w:t>8</w:t>
            </w:r>
            <w:r>
              <w:rPr>
                <w:rFonts w:hint="eastAsia" w:eastAsia="仿宋_GB2312"/>
                <w:color w:val="auto"/>
                <w:sz w:val="32"/>
                <w:szCs w:val="32"/>
              </w:rPr>
              <w:t>）其他违法违规的行为。</w:t>
            </w:r>
          </w:p>
          <w:p>
            <w:pPr>
              <w:adjustRightInd w:val="0"/>
              <w:snapToGrid w:val="0"/>
              <w:spacing w:line="560" w:lineRule="exact"/>
              <w:rPr>
                <w:rFonts w:eastAsia="仿宋_GB2312"/>
                <w:color w:val="auto"/>
                <w:sz w:val="32"/>
                <w:szCs w:val="32"/>
              </w:rPr>
            </w:pPr>
            <w:r>
              <w:rPr>
                <w:rFonts w:eastAsia="仿宋_GB2312"/>
                <w:color w:val="auto"/>
                <w:sz w:val="32"/>
                <w:szCs w:val="32"/>
              </w:rPr>
              <w:t>3</w:t>
            </w:r>
            <w:r>
              <w:rPr>
                <w:rFonts w:hint="eastAsia" w:eastAsia="仿宋_GB2312"/>
                <w:color w:val="auto"/>
                <w:sz w:val="32"/>
                <w:szCs w:val="32"/>
              </w:rPr>
              <w:t>、有下列情形之一的，视为响应人串通磋商，其响应无效：</w:t>
            </w:r>
          </w:p>
          <w:p>
            <w:pPr>
              <w:adjustRightInd w:val="0"/>
              <w:snapToGrid w:val="0"/>
              <w:spacing w:line="560" w:lineRule="exact"/>
              <w:rPr>
                <w:rFonts w:eastAsia="仿宋_GB2312"/>
                <w:color w:val="auto"/>
                <w:sz w:val="32"/>
                <w:szCs w:val="32"/>
              </w:rPr>
            </w:pPr>
            <w:r>
              <w:rPr>
                <w:rFonts w:hint="eastAsia" w:eastAsia="仿宋_GB2312"/>
                <w:color w:val="auto"/>
                <w:sz w:val="32"/>
                <w:szCs w:val="32"/>
              </w:rPr>
              <w:t>（</w:t>
            </w:r>
            <w:r>
              <w:rPr>
                <w:rFonts w:eastAsia="仿宋_GB2312"/>
                <w:color w:val="auto"/>
                <w:sz w:val="32"/>
                <w:szCs w:val="32"/>
              </w:rPr>
              <w:t>1</w:t>
            </w:r>
            <w:r>
              <w:rPr>
                <w:rFonts w:hint="eastAsia" w:eastAsia="仿宋_GB2312"/>
                <w:color w:val="auto"/>
                <w:sz w:val="32"/>
                <w:szCs w:val="32"/>
              </w:rPr>
              <w:t>）不同响应人的响应文件由同一单位或者个人编制；</w:t>
            </w:r>
          </w:p>
          <w:p>
            <w:pPr>
              <w:adjustRightInd w:val="0"/>
              <w:snapToGrid w:val="0"/>
              <w:spacing w:line="560" w:lineRule="exact"/>
              <w:rPr>
                <w:rFonts w:eastAsia="仿宋_GB2312"/>
                <w:color w:val="auto"/>
                <w:sz w:val="32"/>
                <w:szCs w:val="32"/>
              </w:rPr>
            </w:pPr>
            <w:r>
              <w:rPr>
                <w:rFonts w:hint="eastAsia" w:eastAsia="仿宋_GB2312"/>
                <w:color w:val="auto"/>
                <w:sz w:val="32"/>
                <w:szCs w:val="32"/>
              </w:rPr>
              <w:t>（</w:t>
            </w:r>
            <w:r>
              <w:rPr>
                <w:rFonts w:eastAsia="仿宋_GB2312"/>
                <w:color w:val="auto"/>
                <w:sz w:val="32"/>
                <w:szCs w:val="32"/>
              </w:rPr>
              <w:t>2</w:t>
            </w:r>
            <w:r>
              <w:rPr>
                <w:rFonts w:hint="eastAsia" w:eastAsia="仿宋_GB2312"/>
                <w:color w:val="auto"/>
                <w:sz w:val="32"/>
                <w:szCs w:val="32"/>
              </w:rPr>
              <w:t>）不同响应人委托同一单位或者个人办理响应事宜；</w:t>
            </w:r>
          </w:p>
          <w:p>
            <w:pPr>
              <w:adjustRightInd w:val="0"/>
              <w:snapToGrid w:val="0"/>
              <w:spacing w:line="560" w:lineRule="exact"/>
              <w:rPr>
                <w:rFonts w:eastAsia="仿宋_GB2312"/>
                <w:color w:val="auto"/>
                <w:sz w:val="32"/>
                <w:szCs w:val="32"/>
              </w:rPr>
            </w:pPr>
            <w:r>
              <w:rPr>
                <w:rFonts w:hint="eastAsia" w:eastAsia="仿宋_GB2312"/>
                <w:color w:val="auto"/>
                <w:sz w:val="32"/>
                <w:szCs w:val="32"/>
              </w:rPr>
              <w:t>（</w:t>
            </w:r>
            <w:r>
              <w:rPr>
                <w:rFonts w:eastAsia="仿宋_GB2312"/>
                <w:color w:val="auto"/>
                <w:sz w:val="32"/>
                <w:szCs w:val="32"/>
              </w:rPr>
              <w:t>3</w:t>
            </w:r>
            <w:r>
              <w:rPr>
                <w:rFonts w:hint="eastAsia" w:eastAsia="仿宋_GB2312"/>
                <w:color w:val="auto"/>
                <w:sz w:val="32"/>
                <w:szCs w:val="32"/>
              </w:rPr>
              <w:t>）不同响应人的响应文件载明的项目管理成员或者联系人员为同一人；</w:t>
            </w:r>
          </w:p>
          <w:p>
            <w:pPr>
              <w:adjustRightInd w:val="0"/>
              <w:snapToGrid w:val="0"/>
              <w:spacing w:line="560" w:lineRule="exact"/>
              <w:rPr>
                <w:rFonts w:eastAsia="仿宋_GB2312"/>
                <w:color w:val="auto"/>
                <w:sz w:val="32"/>
                <w:szCs w:val="32"/>
              </w:rPr>
            </w:pPr>
            <w:r>
              <w:rPr>
                <w:rFonts w:hint="eastAsia" w:eastAsia="仿宋_GB2312"/>
                <w:color w:val="auto"/>
                <w:sz w:val="32"/>
                <w:szCs w:val="32"/>
              </w:rPr>
              <w:t>（</w:t>
            </w:r>
            <w:r>
              <w:rPr>
                <w:rFonts w:eastAsia="仿宋_GB2312"/>
                <w:color w:val="auto"/>
                <w:sz w:val="32"/>
                <w:szCs w:val="32"/>
              </w:rPr>
              <w:t>4</w:t>
            </w:r>
            <w:r>
              <w:rPr>
                <w:rFonts w:hint="eastAsia" w:eastAsia="仿宋_GB2312"/>
                <w:color w:val="auto"/>
                <w:sz w:val="32"/>
                <w:szCs w:val="32"/>
              </w:rPr>
              <w:t>）不同响应人的响应文件异常一致或者响应报价呈规律性差异；</w:t>
            </w:r>
          </w:p>
          <w:p>
            <w:pPr>
              <w:adjustRightInd w:val="0"/>
              <w:snapToGrid w:val="0"/>
              <w:spacing w:line="560" w:lineRule="exact"/>
              <w:rPr>
                <w:rFonts w:eastAsia="仿宋_GB2312"/>
                <w:color w:val="auto"/>
                <w:sz w:val="32"/>
                <w:szCs w:val="32"/>
              </w:rPr>
            </w:pPr>
            <w:r>
              <w:rPr>
                <w:rFonts w:hint="eastAsia" w:eastAsia="仿宋_GB2312"/>
                <w:color w:val="auto"/>
                <w:sz w:val="32"/>
                <w:szCs w:val="32"/>
              </w:rPr>
              <w:t>（</w:t>
            </w:r>
            <w:r>
              <w:rPr>
                <w:rFonts w:eastAsia="仿宋_GB2312"/>
                <w:color w:val="auto"/>
                <w:sz w:val="32"/>
                <w:szCs w:val="32"/>
              </w:rPr>
              <w:t>5</w:t>
            </w:r>
            <w:r>
              <w:rPr>
                <w:rFonts w:hint="eastAsia" w:eastAsia="仿宋_GB2312"/>
                <w:color w:val="auto"/>
                <w:sz w:val="32"/>
                <w:szCs w:val="32"/>
              </w:rPr>
              <w:t>）不同响应人的响应文件相互混装；</w:t>
            </w:r>
          </w:p>
          <w:p>
            <w:pPr>
              <w:adjustRightInd w:val="0"/>
              <w:snapToGrid w:val="0"/>
              <w:spacing w:line="560" w:lineRule="exact"/>
              <w:rPr>
                <w:rFonts w:eastAsia="仿宋_GB2312"/>
                <w:color w:val="auto"/>
                <w:sz w:val="32"/>
                <w:szCs w:val="32"/>
              </w:rPr>
            </w:pPr>
            <w:r>
              <w:rPr>
                <w:rFonts w:hint="eastAsia" w:eastAsia="仿宋_GB2312"/>
                <w:color w:val="auto"/>
                <w:sz w:val="32"/>
                <w:szCs w:val="32"/>
              </w:rPr>
              <w:t>（</w:t>
            </w:r>
            <w:r>
              <w:rPr>
                <w:rFonts w:eastAsia="仿宋_GB2312"/>
                <w:color w:val="auto"/>
                <w:sz w:val="32"/>
                <w:szCs w:val="32"/>
              </w:rPr>
              <w:t>6</w:t>
            </w:r>
            <w:r>
              <w:rPr>
                <w:rFonts w:hint="eastAsia" w:eastAsia="仿宋_GB2312"/>
                <w:color w:val="auto"/>
                <w:sz w:val="32"/>
                <w:szCs w:val="32"/>
              </w:rPr>
              <w:t>）不同响应人的响应保证金从同一单位或者个人的账户转出。</w:t>
            </w:r>
          </w:p>
          <w:p>
            <w:pPr>
              <w:adjustRightInd w:val="0"/>
              <w:snapToGrid w:val="0"/>
              <w:spacing w:line="560" w:lineRule="exact"/>
              <w:rPr>
                <w:rFonts w:eastAsia="仿宋_GB2312"/>
                <w:color w:val="auto"/>
                <w:sz w:val="32"/>
                <w:szCs w:val="32"/>
              </w:rPr>
            </w:pPr>
            <w:r>
              <w:rPr>
                <w:rFonts w:eastAsia="仿宋_GB2312"/>
                <w:color w:val="auto"/>
                <w:sz w:val="32"/>
                <w:szCs w:val="32"/>
              </w:rPr>
              <w:t>4</w:t>
            </w:r>
            <w:r>
              <w:rPr>
                <w:rFonts w:hint="eastAsia" w:eastAsia="仿宋_GB2312"/>
                <w:color w:val="auto"/>
                <w:sz w:val="32"/>
                <w:szCs w:val="32"/>
              </w:rPr>
              <w:t>、使用通过受让或者租借等方式获取的资格、资质证书响应的，属于以他人名义磋商，其响应无效：</w:t>
            </w:r>
          </w:p>
          <w:p>
            <w:pPr>
              <w:adjustRightInd w:val="0"/>
              <w:snapToGrid w:val="0"/>
              <w:spacing w:line="560" w:lineRule="exact"/>
              <w:rPr>
                <w:rFonts w:eastAsia="仿宋_GB2312"/>
                <w:color w:val="auto"/>
                <w:sz w:val="32"/>
                <w:szCs w:val="32"/>
              </w:rPr>
            </w:pPr>
            <w:r>
              <w:rPr>
                <w:rFonts w:eastAsia="仿宋_GB2312"/>
                <w:color w:val="auto"/>
                <w:sz w:val="32"/>
                <w:szCs w:val="32"/>
              </w:rPr>
              <w:t>5</w:t>
            </w:r>
            <w:r>
              <w:rPr>
                <w:rFonts w:hint="eastAsia" w:eastAsia="仿宋_GB2312"/>
                <w:color w:val="auto"/>
                <w:sz w:val="32"/>
                <w:szCs w:val="32"/>
              </w:rPr>
              <w:t>、有下列情形之一的，属于以其他方式弄虚作假的行为，其响应无效：</w:t>
            </w:r>
          </w:p>
          <w:p>
            <w:pPr>
              <w:adjustRightInd w:val="0"/>
              <w:snapToGrid w:val="0"/>
              <w:spacing w:line="560" w:lineRule="exact"/>
              <w:rPr>
                <w:rFonts w:eastAsia="仿宋_GB2312"/>
                <w:color w:val="auto"/>
                <w:sz w:val="32"/>
                <w:szCs w:val="32"/>
              </w:rPr>
            </w:pPr>
            <w:r>
              <w:rPr>
                <w:rFonts w:hint="eastAsia" w:eastAsia="仿宋_GB2312"/>
                <w:color w:val="auto"/>
                <w:sz w:val="32"/>
                <w:szCs w:val="32"/>
              </w:rPr>
              <w:t>（</w:t>
            </w:r>
            <w:r>
              <w:rPr>
                <w:rFonts w:eastAsia="仿宋_GB2312"/>
                <w:color w:val="auto"/>
                <w:sz w:val="32"/>
                <w:szCs w:val="32"/>
              </w:rPr>
              <w:t>1</w:t>
            </w:r>
            <w:r>
              <w:rPr>
                <w:rFonts w:hint="eastAsia" w:eastAsia="仿宋_GB2312"/>
                <w:color w:val="auto"/>
                <w:sz w:val="32"/>
                <w:szCs w:val="32"/>
              </w:rPr>
              <w:t>）使用伪造、变造的许可证件；</w:t>
            </w:r>
          </w:p>
          <w:p>
            <w:pPr>
              <w:adjustRightInd w:val="0"/>
              <w:snapToGrid w:val="0"/>
              <w:spacing w:line="560" w:lineRule="exact"/>
              <w:rPr>
                <w:rFonts w:eastAsia="仿宋_GB2312"/>
                <w:color w:val="auto"/>
                <w:sz w:val="32"/>
                <w:szCs w:val="32"/>
              </w:rPr>
            </w:pPr>
            <w:r>
              <w:rPr>
                <w:rFonts w:hint="eastAsia" w:eastAsia="仿宋_GB2312"/>
                <w:color w:val="auto"/>
                <w:sz w:val="32"/>
                <w:szCs w:val="32"/>
              </w:rPr>
              <w:t>（</w:t>
            </w:r>
            <w:r>
              <w:rPr>
                <w:rFonts w:eastAsia="仿宋_GB2312"/>
                <w:color w:val="auto"/>
                <w:sz w:val="32"/>
                <w:szCs w:val="32"/>
              </w:rPr>
              <w:t>2</w:t>
            </w:r>
            <w:r>
              <w:rPr>
                <w:rFonts w:hint="eastAsia" w:eastAsia="仿宋_GB2312"/>
                <w:color w:val="auto"/>
                <w:sz w:val="32"/>
                <w:szCs w:val="32"/>
              </w:rPr>
              <w:t>）提供虚假的财务状况或者业绩；</w:t>
            </w:r>
            <w:r>
              <w:rPr>
                <w:rFonts w:eastAsia="仿宋_GB2312"/>
                <w:color w:val="auto"/>
                <w:sz w:val="32"/>
                <w:szCs w:val="32"/>
              </w:rPr>
              <w:t xml:space="preserve"> </w:t>
            </w:r>
          </w:p>
          <w:p>
            <w:pPr>
              <w:adjustRightInd w:val="0"/>
              <w:snapToGrid w:val="0"/>
              <w:spacing w:line="560" w:lineRule="exact"/>
              <w:rPr>
                <w:rFonts w:eastAsia="仿宋_GB2312"/>
                <w:color w:val="auto"/>
                <w:sz w:val="32"/>
                <w:szCs w:val="32"/>
              </w:rPr>
            </w:pPr>
            <w:r>
              <w:rPr>
                <w:rFonts w:hint="eastAsia" w:eastAsia="仿宋_GB2312"/>
                <w:color w:val="auto"/>
                <w:sz w:val="32"/>
                <w:szCs w:val="32"/>
              </w:rPr>
              <w:t>（</w:t>
            </w:r>
            <w:r>
              <w:rPr>
                <w:rFonts w:eastAsia="仿宋_GB2312"/>
                <w:color w:val="auto"/>
                <w:sz w:val="32"/>
                <w:szCs w:val="32"/>
              </w:rPr>
              <w:t>3</w:t>
            </w:r>
            <w:r>
              <w:rPr>
                <w:rFonts w:hint="eastAsia" w:eastAsia="仿宋_GB2312"/>
                <w:color w:val="auto"/>
                <w:sz w:val="32"/>
                <w:szCs w:val="32"/>
              </w:rPr>
              <w:t>）提供虚假的项目负责人或者主要技术人员简历、劳动关系证明；</w:t>
            </w:r>
            <w:r>
              <w:rPr>
                <w:rFonts w:eastAsia="仿宋_GB2312"/>
                <w:color w:val="auto"/>
                <w:sz w:val="32"/>
                <w:szCs w:val="32"/>
              </w:rPr>
              <w:t xml:space="preserve"> </w:t>
            </w:r>
          </w:p>
          <w:p>
            <w:pPr>
              <w:adjustRightInd w:val="0"/>
              <w:snapToGrid w:val="0"/>
              <w:spacing w:line="560" w:lineRule="exact"/>
              <w:rPr>
                <w:rFonts w:eastAsia="仿宋_GB2312"/>
                <w:color w:val="auto"/>
                <w:sz w:val="32"/>
                <w:szCs w:val="32"/>
              </w:rPr>
            </w:pPr>
            <w:r>
              <w:rPr>
                <w:rFonts w:hint="eastAsia" w:eastAsia="仿宋_GB2312"/>
                <w:color w:val="auto"/>
                <w:sz w:val="32"/>
                <w:szCs w:val="32"/>
              </w:rPr>
              <w:t>（</w:t>
            </w:r>
            <w:r>
              <w:rPr>
                <w:rFonts w:eastAsia="仿宋_GB2312"/>
                <w:color w:val="auto"/>
                <w:sz w:val="32"/>
                <w:szCs w:val="32"/>
              </w:rPr>
              <w:t>4</w:t>
            </w:r>
            <w:r>
              <w:rPr>
                <w:rFonts w:hint="eastAsia" w:eastAsia="仿宋_GB2312"/>
                <w:color w:val="auto"/>
                <w:sz w:val="32"/>
                <w:szCs w:val="32"/>
              </w:rPr>
              <w:t>）提供虚假的信用状况；</w:t>
            </w:r>
          </w:p>
          <w:p>
            <w:pPr>
              <w:adjustRightInd w:val="0"/>
              <w:snapToGrid w:val="0"/>
              <w:spacing w:line="560" w:lineRule="exact"/>
              <w:rPr>
                <w:rFonts w:eastAsia="仿宋_GB2312"/>
                <w:color w:val="auto"/>
                <w:sz w:val="32"/>
                <w:szCs w:val="32"/>
              </w:rPr>
            </w:pPr>
            <w:r>
              <w:rPr>
                <w:rFonts w:hint="eastAsia" w:eastAsia="仿宋_GB2312"/>
                <w:color w:val="auto"/>
                <w:sz w:val="32"/>
                <w:szCs w:val="32"/>
              </w:rPr>
              <w:t>（</w:t>
            </w:r>
            <w:r>
              <w:rPr>
                <w:rFonts w:eastAsia="仿宋_GB2312"/>
                <w:color w:val="auto"/>
                <w:sz w:val="32"/>
                <w:szCs w:val="32"/>
              </w:rPr>
              <w:t>5</w:t>
            </w:r>
            <w:r>
              <w:rPr>
                <w:rFonts w:hint="eastAsia" w:eastAsia="仿宋_GB2312"/>
                <w:color w:val="auto"/>
                <w:sz w:val="32"/>
                <w:szCs w:val="32"/>
              </w:rPr>
              <w:t>）其他弄虚作假的行为。</w:t>
            </w:r>
          </w:p>
          <w:p>
            <w:pPr>
              <w:adjustRightInd w:val="0"/>
              <w:snapToGrid w:val="0"/>
              <w:spacing w:line="560" w:lineRule="exact"/>
              <w:rPr>
                <w:rFonts w:eastAsia="仿宋_GB2312"/>
                <w:color w:val="auto"/>
                <w:sz w:val="32"/>
                <w:szCs w:val="32"/>
              </w:rPr>
            </w:pPr>
            <w:r>
              <w:rPr>
                <w:rFonts w:eastAsia="仿宋_GB2312"/>
                <w:color w:val="auto"/>
                <w:sz w:val="32"/>
                <w:szCs w:val="32"/>
              </w:rPr>
              <w:t>6</w:t>
            </w:r>
            <w:r>
              <w:rPr>
                <w:rFonts w:hint="eastAsia" w:eastAsia="仿宋_GB2312"/>
                <w:color w:val="auto"/>
                <w:sz w:val="32"/>
                <w:szCs w:val="32"/>
              </w:rPr>
              <w:t>、响应人相关工作人员与采购人或采购代理机构有以下利害关系之一的，应当回避：</w:t>
            </w:r>
          </w:p>
          <w:p>
            <w:pPr>
              <w:adjustRightInd w:val="0"/>
              <w:snapToGrid w:val="0"/>
              <w:spacing w:line="560" w:lineRule="exact"/>
              <w:rPr>
                <w:rFonts w:eastAsia="仿宋_GB2312"/>
                <w:color w:val="auto"/>
                <w:sz w:val="32"/>
                <w:szCs w:val="32"/>
              </w:rPr>
            </w:pPr>
            <w:r>
              <w:rPr>
                <w:rFonts w:hint="eastAsia" w:eastAsia="仿宋_GB2312"/>
                <w:color w:val="auto"/>
                <w:sz w:val="32"/>
                <w:szCs w:val="32"/>
              </w:rPr>
              <w:t>（一）是其主要负责人的近亲属的；</w:t>
            </w:r>
          </w:p>
          <w:p>
            <w:pPr>
              <w:adjustRightInd w:val="0"/>
              <w:snapToGrid w:val="0"/>
              <w:spacing w:line="560" w:lineRule="exact"/>
              <w:rPr>
                <w:rFonts w:eastAsia="仿宋_GB2312"/>
                <w:color w:val="auto"/>
                <w:sz w:val="32"/>
                <w:szCs w:val="32"/>
              </w:rPr>
            </w:pPr>
            <w:r>
              <w:rPr>
                <w:rFonts w:hint="eastAsia" w:eastAsia="仿宋_GB2312"/>
                <w:color w:val="auto"/>
                <w:sz w:val="32"/>
                <w:szCs w:val="32"/>
              </w:rPr>
              <w:t>（二）竞争性磋商活动前</w:t>
            </w:r>
            <w:r>
              <w:rPr>
                <w:rFonts w:eastAsia="仿宋_GB2312"/>
                <w:color w:val="auto"/>
                <w:sz w:val="32"/>
                <w:szCs w:val="32"/>
              </w:rPr>
              <w:t>3</w:t>
            </w:r>
            <w:r>
              <w:rPr>
                <w:rFonts w:hint="eastAsia" w:eastAsia="仿宋_GB2312"/>
                <w:color w:val="auto"/>
                <w:sz w:val="32"/>
                <w:szCs w:val="32"/>
              </w:rPr>
              <w:t>年内与其存在劳动关系，担任其董事、监事，是其控股股东或实际控制人，或存在其他经济利益关系，可能影响竞争性磋商活动公平公正的；</w:t>
            </w:r>
          </w:p>
          <w:p>
            <w:pPr>
              <w:adjustRightInd w:val="0"/>
              <w:snapToGrid w:val="0"/>
              <w:spacing w:line="560" w:lineRule="exact"/>
              <w:rPr>
                <w:rFonts w:eastAsia="仿宋_GB2312"/>
                <w:color w:val="auto"/>
                <w:sz w:val="32"/>
                <w:szCs w:val="32"/>
              </w:rPr>
            </w:pPr>
            <w:r>
              <w:rPr>
                <w:rFonts w:hint="eastAsia" w:eastAsia="仿宋_GB2312"/>
                <w:color w:val="auto"/>
                <w:sz w:val="32"/>
                <w:szCs w:val="32"/>
              </w:rPr>
              <w:t>（三）其他可能影响竞争性磋商活动公平、公正进行的关系。</w:t>
            </w:r>
          </w:p>
        </w:tc>
      </w:tr>
    </w:tbl>
    <w:p>
      <w:pPr>
        <w:spacing w:line="360" w:lineRule="auto"/>
        <w:ind w:firstLine="643" w:firstLineChars="200"/>
        <w:jc w:val="center"/>
        <w:rPr>
          <w:rFonts w:ascii="仿宋_GB2312" w:hAnsi="仿宋_GB2312" w:eastAsia="仿宋_GB2312" w:cs="仿宋_GB2312"/>
          <w:b/>
          <w:bCs/>
          <w:color w:val="auto"/>
          <w:kern w:val="0"/>
          <w:sz w:val="32"/>
          <w:szCs w:val="32"/>
        </w:rPr>
      </w:pPr>
    </w:p>
    <w:p>
      <w:pPr>
        <w:spacing w:line="360" w:lineRule="auto"/>
        <w:ind w:firstLine="643" w:firstLineChars="200"/>
        <w:jc w:val="center"/>
        <w:rPr>
          <w:rFonts w:ascii="仿宋_GB2312" w:hAnsi="仿宋_GB2312" w:eastAsia="仿宋_GB2312" w:cs="仿宋_GB2312"/>
          <w:b/>
          <w:bCs/>
          <w:color w:val="auto"/>
          <w:kern w:val="0"/>
          <w:sz w:val="32"/>
          <w:szCs w:val="32"/>
        </w:rPr>
      </w:pPr>
    </w:p>
    <w:p>
      <w:pPr>
        <w:spacing w:line="360" w:lineRule="auto"/>
        <w:ind w:firstLine="643" w:firstLineChars="200"/>
        <w:jc w:val="center"/>
        <w:rPr>
          <w:rFonts w:ascii="仿宋_GB2312" w:hAnsi="仿宋_GB2312" w:eastAsia="仿宋_GB2312" w:cs="仿宋_GB2312"/>
          <w:b/>
          <w:bCs/>
          <w:color w:val="auto"/>
          <w:kern w:val="0"/>
          <w:sz w:val="32"/>
          <w:szCs w:val="32"/>
        </w:rPr>
      </w:pPr>
    </w:p>
    <w:p>
      <w:pPr>
        <w:spacing w:line="360" w:lineRule="auto"/>
        <w:ind w:firstLine="643" w:firstLineChars="200"/>
        <w:jc w:val="center"/>
        <w:rPr>
          <w:rFonts w:ascii="仿宋_GB2312" w:hAnsi="仿宋_GB2312" w:eastAsia="仿宋_GB2312" w:cs="仿宋_GB2312"/>
          <w:b/>
          <w:bCs/>
          <w:color w:val="auto"/>
          <w:kern w:val="0"/>
          <w:sz w:val="32"/>
          <w:szCs w:val="32"/>
        </w:rPr>
      </w:pPr>
    </w:p>
    <w:p>
      <w:pPr>
        <w:pStyle w:val="10"/>
        <w:rPr>
          <w:color w:val="auto"/>
        </w:rPr>
      </w:pPr>
    </w:p>
    <w:p>
      <w:pPr>
        <w:spacing w:line="360" w:lineRule="auto"/>
        <w:ind w:firstLine="643" w:firstLineChars="200"/>
        <w:jc w:val="center"/>
        <w:rPr>
          <w:rFonts w:ascii="仿宋_GB2312" w:hAnsi="仿宋_GB2312" w:eastAsia="仿宋_GB2312" w:cs="仿宋_GB2312"/>
          <w:b/>
          <w:bCs/>
          <w:color w:val="auto"/>
          <w:kern w:val="0"/>
          <w:sz w:val="32"/>
          <w:szCs w:val="32"/>
        </w:rPr>
      </w:pPr>
    </w:p>
    <w:p>
      <w:pPr>
        <w:spacing w:line="360" w:lineRule="auto"/>
        <w:ind w:firstLine="643" w:firstLineChars="200"/>
        <w:jc w:val="center"/>
        <w:rPr>
          <w:rFonts w:ascii="仿宋_GB2312" w:hAnsi="仿宋_GB2312" w:cs="仿宋_GB2312"/>
          <w:color w:val="auto"/>
          <w:szCs w:val="21"/>
        </w:rPr>
      </w:pPr>
      <w:r>
        <w:rPr>
          <w:rFonts w:hint="eastAsia" w:ascii="仿宋_GB2312" w:hAnsi="仿宋_GB2312" w:eastAsia="仿宋_GB2312" w:cs="仿宋_GB2312"/>
          <w:b/>
          <w:bCs/>
          <w:color w:val="auto"/>
          <w:kern w:val="0"/>
          <w:sz w:val="32"/>
          <w:szCs w:val="32"/>
        </w:rPr>
        <w:t>第二部分</w:t>
      </w:r>
      <w:r>
        <w:rPr>
          <w:rFonts w:ascii="仿宋_GB2312" w:hAnsi="仿宋_GB2312" w:eastAsia="仿宋_GB2312" w:cs="仿宋_GB2312"/>
          <w:b/>
          <w:bCs/>
          <w:color w:val="auto"/>
          <w:kern w:val="0"/>
          <w:sz w:val="32"/>
          <w:szCs w:val="32"/>
        </w:rPr>
        <w:t>评分标准</w:t>
      </w:r>
    </w:p>
    <w:p>
      <w:pPr>
        <w:pStyle w:val="40"/>
        <w:ind w:firstLine="640"/>
        <w:jc w:val="center"/>
        <w:outlineLvl w:val="1"/>
        <w:rPr>
          <w:rFonts w:eastAsia="黑体"/>
          <w:color w:val="auto"/>
          <w:sz w:val="28"/>
          <w:szCs w:val="44"/>
        </w:rPr>
      </w:pPr>
      <w:r>
        <w:rPr>
          <w:rFonts w:hint="eastAsia" w:eastAsia="黑体"/>
          <w:color w:val="auto"/>
          <w:sz w:val="32"/>
          <w:szCs w:val="48"/>
        </w:rPr>
        <w:t>评分标准</w:t>
      </w:r>
    </w:p>
    <w:tbl>
      <w:tblPr>
        <w:tblStyle w:val="21"/>
        <w:tblW w:w="948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15"/>
        <w:gridCol w:w="2122"/>
        <w:gridCol w:w="2168"/>
        <w:gridCol w:w="298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7" w:hRule="atLeast"/>
          <w:jc w:val="center"/>
        </w:trPr>
        <w:tc>
          <w:tcPr>
            <w:tcW w:w="2215" w:type="dxa"/>
            <w:vAlign w:val="center"/>
          </w:tcPr>
          <w:p>
            <w:pPr>
              <w:jc w:val="center"/>
              <w:rPr>
                <w:rFonts w:ascii="仿宋_GB2312" w:hAnsi="仿宋_GB2312" w:cs="仿宋_GB2312"/>
                <w:color w:val="auto"/>
                <w:sz w:val="24"/>
                <w:szCs w:val="22"/>
              </w:rPr>
            </w:pPr>
            <w:r>
              <w:rPr>
                <w:rFonts w:hint="eastAsia" w:ascii="仿宋_GB2312" w:hAnsi="仿宋_GB2312" w:cs="仿宋_GB2312"/>
                <w:color w:val="auto"/>
                <w:sz w:val="24"/>
                <w:szCs w:val="22"/>
              </w:rPr>
              <w:t>评分项目</w:t>
            </w:r>
          </w:p>
        </w:tc>
        <w:tc>
          <w:tcPr>
            <w:tcW w:w="2122" w:type="dxa"/>
            <w:vAlign w:val="center"/>
          </w:tcPr>
          <w:p>
            <w:pPr>
              <w:jc w:val="center"/>
              <w:rPr>
                <w:rFonts w:ascii="仿宋_GB2312" w:hAnsi="仿宋_GB2312" w:cs="仿宋_GB2312"/>
                <w:color w:val="auto"/>
                <w:sz w:val="24"/>
                <w:szCs w:val="22"/>
              </w:rPr>
            </w:pPr>
            <w:r>
              <w:rPr>
                <w:rFonts w:hint="eastAsia" w:ascii="仿宋_GB2312" w:hAnsi="仿宋_GB2312" w:cs="仿宋_GB2312"/>
                <w:color w:val="auto"/>
                <w:sz w:val="24"/>
                <w:szCs w:val="22"/>
              </w:rPr>
              <w:t>价格部分</w:t>
            </w:r>
          </w:p>
        </w:tc>
        <w:tc>
          <w:tcPr>
            <w:tcW w:w="2168" w:type="dxa"/>
            <w:vAlign w:val="center"/>
          </w:tcPr>
          <w:p>
            <w:pPr>
              <w:jc w:val="center"/>
              <w:rPr>
                <w:rFonts w:ascii="仿宋_GB2312" w:hAnsi="仿宋_GB2312" w:cs="仿宋_GB2312"/>
                <w:color w:val="auto"/>
                <w:sz w:val="24"/>
                <w:szCs w:val="22"/>
              </w:rPr>
            </w:pPr>
            <w:r>
              <w:rPr>
                <w:rFonts w:hint="eastAsia" w:ascii="仿宋_GB2312" w:hAnsi="仿宋_GB2312" w:cs="仿宋_GB2312"/>
                <w:color w:val="auto"/>
                <w:sz w:val="24"/>
                <w:szCs w:val="22"/>
              </w:rPr>
              <w:t>商务部分</w:t>
            </w:r>
          </w:p>
        </w:tc>
        <w:tc>
          <w:tcPr>
            <w:tcW w:w="2981" w:type="dxa"/>
            <w:vAlign w:val="center"/>
          </w:tcPr>
          <w:p>
            <w:pPr>
              <w:jc w:val="center"/>
              <w:rPr>
                <w:rFonts w:ascii="仿宋_GB2312" w:hAnsi="仿宋_GB2312" w:cs="仿宋_GB2312"/>
                <w:color w:val="auto"/>
                <w:sz w:val="24"/>
                <w:szCs w:val="22"/>
              </w:rPr>
            </w:pPr>
            <w:r>
              <w:rPr>
                <w:rFonts w:hint="eastAsia" w:ascii="仿宋_GB2312" w:hAnsi="仿宋_GB2312" w:cs="仿宋_GB2312"/>
                <w:color w:val="auto"/>
                <w:sz w:val="24"/>
                <w:szCs w:val="22"/>
              </w:rPr>
              <w:t>技术部分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2" w:hRule="atLeast"/>
          <w:jc w:val="center"/>
        </w:trPr>
        <w:tc>
          <w:tcPr>
            <w:tcW w:w="2215" w:type="dxa"/>
            <w:vAlign w:val="center"/>
          </w:tcPr>
          <w:p>
            <w:pPr>
              <w:jc w:val="center"/>
              <w:rPr>
                <w:rFonts w:ascii="仿宋_GB2312" w:hAnsi="仿宋_GB2312" w:cs="仿宋_GB2312"/>
                <w:color w:val="auto"/>
                <w:sz w:val="24"/>
                <w:szCs w:val="22"/>
              </w:rPr>
            </w:pPr>
            <w:r>
              <w:rPr>
                <w:rFonts w:hint="eastAsia" w:ascii="仿宋_GB2312" w:hAnsi="仿宋_GB2312" w:cs="仿宋_GB2312"/>
                <w:color w:val="auto"/>
                <w:sz w:val="24"/>
                <w:szCs w:val="22"/>
              </w:rPr>
              <w:t>权重（</w:t>
            </w:r>
            <w:r>
              <w:rPr>
                <w:rFonts w:ascii="仿宋_GB2312" w:hAnsi="仿宋_GB2312" w:cs="仿宋_GB2312"/>
                <w:color w:val="auto"/>
                <w:sz w:val="24"/>
                <w:szCs w:val="22"/>
              </w:rPr>
              <w:t>%）</w:t>
            </w:r>
          </w:p>
        </w:tc>
        <w:tc>
          <w:tcPr>
            <w:tcW w:w="2122" w:type="dxa"/>
            <w:vAlign w:val="center"/>
          </w:tcPr>
          <w:p>
            <w:pPr>
              <w:jc w:val="center"/>
              <w:rPr>
                <w:rFonts w:hint="default" w:ascii="仿宋_GB2312" w:hAnsi="仿宋_GB2312" w:eastAsia="宋体" w:cs="仿宋_GB2312"/>
                <w:color w:val="auto"/>
                <w:sz w:val="24"/>
                <w:szCs w:val="22"/>
                <w:lang w:val="en-US" w:eastAsia="zh-CN"/>
              </w:rPr>
            </w:pPr>
            <w:r>
              <w:rPr>
                <w:rFonts w:hint="eastAsia" w:ascii="仿宋_GB2312" w:hAnsi="仿宋_GB2312" w:cs="仿宋_GB2312"/>
                <w:color w:val="auto"/>
                <w:sz w:val="24"/>
                <w:szCs w:val="22"/>
                <w:lang w:val="en-US" w:eastAsia="zh-CN"/>
              </w:rPr>
              <w:t>20</w:t>
            </w:r>
          </w:p>
        </w:tc>
        <w:tc>
          <w:tcPr>
            <w:tcW w:w="2168" w:type="dxa"/>
            <w:vAlign w:val="center"/>
          </w:tcPr>
          <w:p>
            <w:pPr>
              <w:jc w:val="center"/>
              <w:rPr>
                <w:rFonts w:ascii="仿宋_GB2312" w:hAnsi="仿宋_GB2312" w:cs="仿宋_GB2312"/>
                <w:color w:val="auto"/>
                <w:sz w:val="24"/>
                <w:szCs w:val="22"/>
              </w:rPr>
            </w:pPr>
            <w:r>
              <w:rPr>
                <w:rFonts w:hint="eastAsia" w:ascii="仿宋_GB2312" w:hAnsi="仿宋_GB2312" w:cs="仿宋_GB2312"/>
                <w:color w:val="auto"/>
                <w:sz w:val="24"/>
                <w:szCs w:val="22"/>
              </w:rPr>
              <w:t>30</w:t>
            </w:r>
          </w:p>
        </w:tc>
        <w:tc>
          <w:tcPr>
            <w:tcW w:w="2981" w:type="dxa"/>
            <w:vAlign w:val="center"/>
          </w:tcPr>
          <w:p>
            <w:pPr>
              <w:jc w:val="center"/>
              <w:rPr>
                <w:rFonts w:hint="default" w:ascii="仿宋_GB2312" w:hAnsi="仿宋_GB2312" w:eastAsia="宋体" w:cs="仿宋_GB2312"/>
                <w:color w:val="auto"/>
                <w:sz w:val="24"/>
                <w:szCs w:val="22"/>
                <w:lang w:val="en-US" w:eastAsia="zh-CN"/>
              </w:rPr>
            </w:pPr>
            <w:r>
              <w:rPr>
                <w:rFonts w:hint="eastAsia" w:ascii="仿宋_GB2312" w:hAnsi="仿宋_GB2312" w:cs="仿宋_GB2312"/>
                <w:color w:val="auto"/>
                <w:sz w:val="24"/>
                <w:szCs w:val="22"/>
                <w:lang w:val="en-US" w:eastAsia="zh-CN"/>
              </w:rPr>
              <w:t>50</w:t>
            </w:r>
          </w:p>
        </w:tc>
      </w:tr>
    </w:tbl>
    <w:p>
      <w:pPr>
        <w:pStyle w:val="60"/>
        <w:numPr>
          <w:ilvl w:val="0"/>
          <w:numId w:val="4"/>
        </w:numPr>
        <w:spacing w:before="166" w:beforeLines="50" w:line="360" w:lineRule="auto"/>
        <w:ind w:firstLineChars="0"/>
        <w:rPr>
          <w:rFonts w:ascii="仿宋_GB2312" w:hAnsi="仿宋_GB2312" w:cs="仿宋_GB2312"/>
          <w:bCs/>
          <w:color w:val="auto"/>
          <w:szCs w:val="21"/>
        </w:rPr>
      </w:pPr>
      <w:r>
        <w:rPr>
          <w:rFonts w:hint="eastAsia" w:ascii="仿宋_GB2312" w:hAnsi="仿宋_GB2312" w:cs="仿宋_GB2312"/>
          <w:bCs/>
          <w:color w:val="auto"/>
          <w:szCs w:val="21"/>
        </w:rPr>
        <w:t>综合得分＝价格得分＋商务得分+技术得分</w:t>
      </w:r>
    </w:p>
    <w:tbl>
      <w:tblPr>
        <w:tblStyle w:val="21"/>
        <w:tblpPr w:leftFromText="180" w:rightFromText="180" w:vertAnchor="text" w:horzAnchor="page" w:tblpXSpec="center" w:tblpY="281"/>
        <w:tblOverlap w:val="never"/>
        <w:tblW w:w="93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5"/>
        <w:gridCol w:w="1450"/>
        <w:gridCol w:w="816"/>
        <w:gridCol w:w="6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815" w:type="dxa"/>
            <w:tcBorders>
              <w:top w:val="single" w:color="auto" w:sz="4" w:space="0"/>
              <w:left w:val="single" w:color="auto" w:sz="4" w:space="0"/>
              <w:bottom w:val="single" w:color="auto" w:sz="4" w:space="0"/>
              <w:right w:val="single" w:color="auto" w:sz="4" w:space="0"/>
            </w:tcBorders>
            <w:vAlign w:val="center"/>
          </w:tcPr>
          <w:p>
            <w:pPr>
              <w:pStyle w:val="39"/>
              <w:spacing w:line="360" w:lineRule="auto"/>
              <w:ind w:left="-109" w:leftChars="-52" w:right="-195" w:rightChars="-93" w:firstLine="0" w:firstLineChars="0"/>
              <w:jc w:val="center"/>
              <w:rPr>
                <w:rFonts w:ascii="宋体" w:eastAsia="宋体"/>
                <w:b/>
                <w:color w:val="auto"/>
                <w:sz w:val="21"/>
                <w:szCs w:val="21"/>
              </w:rPr>
            </w:pPr>
            <w:r>
              <w:rPr>
                <w:rFonts w:hint="eastAsia" w:ascii="宋体" w:eastAsia="宋体"/>
                <w:b/>
                <w:color w:val="auto"/>
                <w:sz w:val="21"/>
                <w:szCs w:val="21"/>
              </w:rPr>
              <w:t>序号</w:t>
            </w:r>
          </w:p>
        </w:tc>
        <w:tc>
          <w:tcPr>
            <w:tcW w:w="1450" w:type="dxa"/>
            <w:tcBorders>
              <w:top w:val="single" w:color="auto" w:sz="4" w:space="0"/>
              <w:left w:val="single" w:color="auto" w:sz="4" w:space="0"/>
              <w:bottom w:val="single" w:color="auto" w:sz="4" w:space="0"/>
              <w:right w:val="single" w:color="auto" w:sz="4" w:space="0"/>
            </w:tcBorders>
            <w:vAlign w:val="center"/>
          </w:tcPr>
          <w:p>
            <w:pPr>
              <w:pStyle w:val="39"/>
              <w:spacing w:line="360" w:lineRule="auto"/>
              <w:ind w:firstLine="0" w:firstLineChars="0"/>
              <w:jc w:val="center"/>
              <w:rPr>
                <w:rFonts w:ascii="宋体" w:eastAsia="宋体"/>
                <w:b/>
                <w:color w:val="auto"/>
                <w:sz w:val="21"/>
                <w:szCs w:val="21"/>
              </w:rPr>
            </w:pPr>
            <w:r>
              <w:rPr>
                <w:rFonts w:hint="eastAsia" w:ascii="宋体" w:eastAsia="宋体"/>
                <w:b/>
                <w:color w:val="auto"/>
                <w:sz w:val="21"/>
                <w:szCs w:val="21"/>
              </w:rPr>
              <w:t>评分内容</w:t>
            </w:r>
          </w:p>
        </w:tc>
        <w:tc>
          <w:tcPr>
            <w:tcW w:w="816" w:type="dxa"/>
            <w:tcBorders>
              <w:top w:val="single" w:color="auto" w:sz="4" w:space="0"/>
              <w:left w:val="single" w:color="auto" w:sz="4" w:space="0"/>
              <w:bottom w:val="single" w:color="auto" w:sz="4" w:space="0"/>
              <w:right w:val="single" w:color="auto" w:sz="4" w:space="0"/>
            </w:tcBorders>
            <w:vAlign w:val="center"/>
          </w:tcPr>
          <w:p>
            <w:pPr>
              <w:pStyle w:val="39"/>
              <w:spacing w:line="360" w:lineRule="auto"/>
              <w:ind w:left="-193" w:leftChars="-92" w:right="-120" w:rightChars="-57" w:firstLine="0" w:firstLineChars="0"/>
              <w:jc w:val="center"/>
              <w:rPr>
                <w:rFonts w:ascii="宋体" w:eastAsia="宋体"/>
                <w:b/>
                <w:color w:val="auto"/>
                <w:sz w:val="21"/>
                <w:szCs w:val="21"/>
              </w:rPr>
            </w:pPr>
            <w:r>
              <w:rPr>
                <w:rFonts w:hint="eastAsia" w:ascii="宋体" w:eastAsia="宋体"/>
                <w:b/>
                <w:color w:val="auto"/>
                <w:sz w:val="21"/>
                <w:szCs w:val="21"/>
              </w:rPr>
              <w:t>分值</w:t>
            </w:r>
          </w:p>
        </w:tc>
        <w:tc>
          <w:tcPr>
            <w:tcW w:w="6241" w:type="dxa"/>
            <w:tcBorders>
              <w:top w:val="single" w:color="auto" w:sz="4" w:space="0"/>
              <w:left w:val="single" w:color="auto" w:sz="4" w:space="0"/>
              <w:bottom w:val="single" w:color="auto" w:sz="4" w:space="0"/>
              <w:right w:val="single" w:color="auto" w:sz="4" w:space="0"/>
            </w:tcBorders>
            <w:vAlign w:val="center"/>
          </w:tcPr>
          <w:p>
            <w:pPr>
              <w:pStyle w:val="39"/>
              <w:spacing w:line="360" w:lineRule="auto"/>
              <w:ind w:firstLine="0" w:firstLineChars="0"/>
              <w:jc w:val="center"/>
              <w:rPr>
                <w:rFonts w:ascii="宋体" w:eastAsia="宋体"/>
                <w:b/>
                <w:color w:val="auto"/>
                <w:sz w:val="21"/>
                <w:szCs w:val="21"/>
              </w:rPr>
            </w:pPr>
            <w:r>
              <w:rPr>
                <w:rFonts w:hint="eastAsia" w:ascii="宋体" w:eastAsia="宋体"/>
                <w:b/>
                <w:color w:val="auto"/>
                <w:sz w:val="21"/>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9322" w:type="dxa"/>
            <w:gridSpan w:val="4"/>
            <w:tcBorders>
              <w:top w:val="single" w:color="auto" w:sz="4" w:space="0"/>
              <w:left w:val="single" w:color="auto" w:sz="4" w:space="0"/>
              <w:bottom w:val="single" w:color="auto" w:sz="4" w:space="0"/>
              <w:right w:val="single" w:color="auto" w:sz="4" w:space="0"/>
            </w:tcBorders>
            <w:vAlign w:val="center"/>
          </w:tcPr>
          <w:p>
            <w:pPr>
              <w:pStyle w:val="39"/>
              <w:spacing w:line="360" w:lineRule="auto"/>
              <w:ind w:firstLine="0" w:firstLineChars="0"/>
              <w:jc w:val="center"/>
              <w:rPr>
                <w:rFonts w:hint="eastAsia" w:ascii="宋体" w:eastAsia="宋体"/>
                <w:b/>
                <w:color w:val="auto"/>
                <w:sz w:val="21"/>
                <w:szCs w:val="21"/>
              </w:rPr>
            </w:pPr>
            <w:r>
              <w:rPr>
                <w:rFonts w:hint="eastAsia" w:ascii="宋体" w:eastAsia="宋体"/>
                <w:b/>
                <w:color w:val="auto"/>
                <w:kern w:val="0"/>
                <w:sz w:val="21"/>
                <w:szCs w:val="21"/>
              </w:rPr>
              <w:t>价格评分（</w:t>
            </w:r>
            <w:r>
              <w:rPr>
                <w:rFonts w:ascii="宋体" w:eastAsia="宋体"/>
                <w:b/>
                <w:color w:val="auto"/>
                <w:kern w:val="0"/>
                <w:sz w:val="21"/>
                <w:szCs w:val="21"/>
              </w:rPr>
              <w:t>2</w:t>
            </w:r>
            <w:r>
              <w:rPr>
                <w:rFonts w:hint="eastAsia" w:ascii="宋体" w:eastAsia="宋体"/>
                <w:b/>
                <w:color w:val="auto"/>
                <w:kern w:val="0"/>
                <w:sz w:val="21"/>
                <w:szCs w:val="21"/>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815" w:type="dxa"/>
            <w:tcBorders>
              <w:top w:val="single" w:color="auto" w:sz="4" w:space="0"/>
              <w:left w:val="single" w:color="auto" w:sz="4" w:space="0"/>
              <w:bottom w:val="single" w:color="auto" w:sz="4" w:space="0"/>
              <w:right w:val="single" w:color="auto" w:sz="4" w:space="0"/>
            </w:tcBorders>
            <w:vAlign w:val="center"/>
          </w:tcPr>
          <w:p>
            <w:pPr>
              <w:pStyle w:val="39"/>
              <w:spacing w:line="360" w:lineRule="auto"/>
              <w:ind w:firstLine="0" w:firstLineChars="0"/>
              <w:jc w:val="center"/>
              <w:rPr>
                <w:rFonts w:hint="eastAsia" w:ascii="宋体" w:eastAsia="宋体"/>
                <w:b/>
                <w:color w:val="auto"/>
                <w:sz w:val="21"/>
                <w:szCs w:val="21"/>
              </w:rPr>
            </w:pPr>
            <w:r>
              <w:rPr>
                <w:rFonts w:hint="eastAsia" w:ascii="宋体" w:eastAsia="宋体"/>
                <w:color w:val="auto"/>
                <w:kern w:val="0"/>
                <w:sz w:val="21"/>
                <w:szCs w:val="21"/>
              </w:rPr>
              <w:t>1</w:t>
            </w:r>
          </w:p>
        </w:tc>
        <w:tc>
          <w:tcPr>
            <w:tcW w:w="1450" w:type="dxa"/>
            <w:tcBorders>
              <w:top w:val="single" w:color="auto" w:sz="4" w:space="0"/>
              <w:left w:val="single" w:color="auto" w:sz="4" w:space="0"/>
              <w:bottom w:val="single" w:color="auto" w:sz="4" w:space="0"/>
              <w:right w:val="single" w:color="auto" w:sz="4" w:space="0"/>
            </w:tcBorders>
            <w:vAlign w:val="center"/>
          </w:tcPr>
          <w:p>
            <w:pPr>
              <w:widowControl/>
              <w:autoSpaceDE/>
              <w:autoSpaceDN/>
              <w:adjustRightInd/>
              <w:spacing w:line="360" w:lineRule="auto"/>
              <w:jc w:val="center"/>
              <w:rPr>
                <w:rFonts w:hint="eastAsia" w:ascii="宋体" w:eastAsia="宋体"/>
                <w:b/>
                <w:color w:val="auto"/>
                <w:sz w:val="21"/>
                <w:szCs w:val="21"/>
              </w:rPr>
            </w:pPr>
            <w:r>
              <w:rPr>
                <w:rFonts w:hint="eastAsia" w:hAnsi="宋体"/>
                <w:color w:val="auto"/>
                <w:sz w:val="21"/>
                <w:szCs w:val="21"/>
              </w:rPr>
              <w:t>价格部分</w:t>
            </w:r>
          </w:p>
        </w:tc>
        <w:tc>
          <w:tcPr>
            <w:tcW w:w="816" w:type="dxa"/>
            <w:tcBorders>
              <w:top w:val="single" w:color="auto" w:sz="4" w:space="0"/>
              <w:left w:val="single" w:color="auto" w:sz="4" w:space="0"/>
              <w:bottom w:val="single" w:color="auto" w:sz="4" w:space="0"/>
              <w:right w:val="single" w:color="auto" w:sz="4" w:space="0"/>
            </w:tcBorders>
            <w:vAlign w:val="center"/>
          </w:tcPr>
          <w:p>
            <w:pPr>
              <w:widowControl/>
              <w:autoSpaceDE/>
              <w:autoSpaceDN/>
              <w:adjustRightInd/>
              <w:spacing w:line="360" w:lineRule="auto"/>
              <w:jc w:val="center"/>
              <w:rPr>
                <w:rFonts w:hint="eastAsia" w:ascii="宋体" w:eastAsia="宋体"/>
                <w:b/>
                <w:color w:val="auto"/>
                <w:sz w:val="21"/>
                <w:szCs w:val="21"/>
              </w:rPr>
            </w:pPr>
            <w:r>
              <w:rPr>
                <w:rFonts w:hAnsi="宋体"/>
                <w:color w:val="auto"/>
                <w:sz w:val="21"/>
                <w:szCs w:val="21"/>
              </w:rPr>
              <w:t>20</w:t>
            </w:r>
            <w:r>
              <w:rPr>
                <w:rFonts w:hint="eastAsia" w:hAnsi="宋体"/>
                <w:color w:val="auto"/>
                <w:sz w:val="21"/>
                <w:szCs w:val="21"/>
              </w:rPr>
              <w:t>分</w:t>
            </w:r>
          </w:p>
        </w:tc>
        <w:tc>
          <w:tcPr>
            <w:tcW w:w="6241" w:type="dxa"/>
            <w:tcBorders>
              <w:top w:val="single" w:color="auto" w:sz="4" w:space="0"/>
              <w:left w:val="single" w:color="auto" w:sz="4" w:space="0"/>
              <w:bottom w:val="single" w:color="auto" w:sz="4" w:space="0"/>
              <w:right w:val="single" w:color="auto" w:sz="4" w:space="0"/>
            </w:tcBorders>
            <w:vAlign w:val="center"/>
          </w:tcPr>
          <w:p>
            <w:pPr>
              <w:rPr>
                <w:rFonts w:hint="eastAsia" w:ascii="宋体" w:eastAsia="宋体"/>
                <w:b/>
                <w:color w:val="auto"/>
                <w:sz w:val="21"/>
                <w:szCs w:val="21"/>
              </w:rPr>
            </w:pPr>
            <w:r>
              <w:rPr>
                <w:rFonts w:hint="eastAsia" w:hAnsi="宋体"/>
                <w:color w:val="auto"/>
                <w:sz w:val="21"/>
                <w:szCs w:val="21"/>
              </w:rPr>
              <w:t>价格分计算方法：满足磋商文件要求且磋商价格（</w:t>
            </w:r>
            <w:r>
              <w:rPr>
                <w:rFonts w:hint="eastAsia" w:hAnsi="宋体"/>
                <w:bCs/>
                <w:color w:val="auto"/>
                <w:sz w:val="21"/>
                <w:szCs w:val="21"/>
              </w:rPr>
              <w:t>基坑监测服务收费系数</w:t>
            </w:r>
            <w:r>
              <w:rPr>
                <w:rFonts w:hint="eastAsia" w:hAnsi="宋体"/>
                <w:color w:val="auto"/>
                <w:sz w:val="21"/>
                <w:szCs w:val="21"/>
              </w:rPr>
              <w:t>）最低的磋商报价为评标基准价，其价格分为满分。其他供应商的价格分统一按照下列公式计算：磋商报价得分=(评标基准价／磋商报价)×价格权重×100。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322" w:type="dxa"/>
            <w:gridSpan w:val="4"/>
            <w:tcBorders>
              <w:top w:val="single" w:color="auto" w:sz="4" w:space="0"/>
              <w:left w:val="single" w:color="auto" w:sz="4" w:space="0"/>
              <w:bottom w:val="single" w:color="auto" w:sz="4" w:space="0"/>
              <w:right w:val="single" w:color="auto" w:sz="4" w:space="0"/>
            </w:tcBorders>
            <w:vAlign w:val="center"/>
          </w:tcPr>
          <w:p>
            <w:pPr>
              <w:pStyle w:val="39"/>
              <w:spacing w:line="360" w:lineRule="auto"/>
              <w:ind w:left="1" w:firstLine="0" w:firstLineChars="0"/>
              <w:jc w:val="center"/>
              <w:rPr>
                <w:rFonts w:ascii="宋体" w:eastAsia="宋体"/>
                <w:color w:val="auto"/>
                <w:sz w:val="21"/>
                <w:szCs w:val="21"/>
              </w:rPr>
            </w:pPr>
            <w:r>
              <w:rPr>
                <w:rFonts w:hint="eastAsia" w:ascii="宋体" w:eastAsia="宋体"/>
                <w:b/>
                <w:color w:val="auto"/>
                <w:sz w:val="21"/>
                <w:szCs w:val="21"/>
              </w:rPr>
              <w:t>商务评分（30分）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815" w:type="dxa"/>
            <w:tcBorders>
              <w:top w:val="single" w:color="auto" w:sz="4" w:space="0"/>
              <w:left w:val="single" w:color="auto" w:sz="4" w:space="0"/>
              <w:right w:val="single" w:color="auto" w:sz="4" w:space="0"/>
            </w:tcBorders>
            <w:vAlign w:val="center"/>
          </w:tcPr>
          <w:p>
            <w:pPr>
              <w:spacing w:line="360" w:lineRule="auto"/>
              <w:jc w:val="center"/>
              <w:rPr>
                <w:rFonts w:hAnsi="宋体"/>
                <w:color w:val="auto"/>
                <w:sz w:val="21"/>
                <w:szCs w:val="21"/>
              </w:rPr>
            </w:pPr>
            <w:r>
              <w:rPr>
                <w:rFonts w:hint="eastAsia" w:hAnsi="宋体"/>
                <w:color w:val="auto"/>
                <w:sz w:val="21"/>
                <w:szCs w:val="21"/>
              </w:rPr>
              <w:t>1</w:t>
            </w:r>
          </w:p>
        </w:tc>
        <w:tc>
          <w:tcPr>
            <w:tcW w:w="1450" w:type="dxa"/>
            <w:tcBorders>
              <w:top w:val="single" w:color="auto" w:sz="4" w:space="0"/>
              <w:left w:val="single" w:color="auto" w:sz="4" w:space="0"/>
              <w:right w:val="single" w:color="auto" w:sz="4" w:space="0"/>
            </w:tcBorders>
            <w:vAlign w:val="center"/>
          </w:tcPr>
          <w:p>
            <w:pPr>
              <w:spacing w:line="360" w:lineRule="auto"/>
              <w:jc w:val="center"/>
              <w:rPr>
                <w:color w:val="auto"/>
                <w:sz w:val="21"/>
                <w:szCs w:val="21"/>
              </w:rPr>
            </w:pPr>
            <w:r>
              <w:rPr>
                <w:rFonts w:hint="eastAsia" w:hAnsi="宋体"/>
                <w:color w:val="auto"/>
                <w:sz w:val="21"/>
                <w:szCs w:val="21"/>
              </w:rPr>
              <w:t>财务状况</w:t>
            </w:r>
          </w:p>
        </w:tc>
        <w:tc>
          <w:tcPr>
            <w:tcW w:w="816" w:type="dxa"/>
            <w:tcBorders>
              <w:top w:val="single" w:color="auto" w:sz="4" w:space="0"/>
              <w:left w:val="single" w:color="auto" w:sz="4" w:space="0"/>
              <w:right w:val="single" w:color="auto" w:sz="4" w:space="0"/>
            </w:tcBorders>
            <w:vAlign w:val="center"/>
          </w:tcPr>
          <w:p>
            <w:pPr>
              <w:spacing w:line="360" w:lineRule="auto"/>
              <w:jc w:val="center"/>
              <w:rPr>
                <w:color w:val="auto"/>
                <w:sz w:val="21"/>
                <w:szCs w:val="21"/>
              </w:rPr>
            </w:pPr>
            <w:r>
              <w:rPr>
                <w:rFonts w:hAnsi="宋体"/>
                <w:color w:val="auto"/>
                <w:sz w:val="21"/>
                <w:szCs w:val="21"/>
              </w:rPr>
              <w:t>3</w:t>
            </w:r>
            <w:r>
              <w:rPr>
                <w:rFonts w:hint="eastAsia" w:hAnsi="宋体" w:cs="仿宋"/>
                <w:color w:val="auto"/>
                <w:sz w:val="21"/>
                <w:szCs w:val="21"/>
              </w:rPr>
              <w:t>分</w:t>
            </w:r>
          </w:p>
        </w:tc>
        <w:tc>
          <w:tcPr>
            <w:tcW w:w="6241" w:type="dxa"/>
            <w:tcBorders>
              <w:top w:val="single" w:color="auto" w:sz="4" w:space="0"/>
              <w:left w:val="single" w:color="auto" w:sz="4" w:space="0"/>
              <w:bottom w:val="single" w:color="auto" w:sz="4" w:space="0"/>
              <w:right w:val="single" w:color="auto" w:sz="4" w:space="0"/>
            </w:tcBorders>
            <w:vAlign w:val="center"/>
          </w:tcPr>
          <w:p>
            <w:pPr>
              <w:widowControl/>
              <w:rPr>
                <w:rFonts w:hAnsi="宋体"/>
                <w:color w:val="auto"/>
                <w:sz w:val="21"/>
                <w:szCs w:val="21"/>
              </w:rPr>
            </w:pPr>
            <w:r>
              <w:rPr>
                <w:rFonts w:hint="eastAsia" w:hAnsi="宋体"/>
                <w:color w:val="auto"/>
                <w:sz w:val="21"/>
                <w:szCs w:val="21"/>
              </w:rPr>
              <w:t>供应商20</w:t>
            </w:r>
            <w:r>
              <w:rPr>
                <w:rFonts w:hint="eastAsia" w:hAnsi="宋体"/>
                <w:color w:val="auto"/>
                <w:sz w:val="21"/>
                <w:szCs w:val="21"/>
                <w:lang w:val="en-US" w:eastAsia="zh-CN"/>
              </w:rPr>
              <w:t>20-</w:t>
            </w:r>
            <w:r>
              <w:rPr>
                <w:rFonts w:hint="eastAsia" w:hAnsi="宋体"/>
                <w:color w:val="auto"/>
                <w:sz w:val="21"/>
                <w:szCs w:val="21"/>
              </w:rPr>
              <w:t>20</w:t>
            </w:r>
            <w:r>
              <w:rPr>
                <w:rFonts w:hAnsi="宋体"/>
                <w:color w:val="auto"/>
                <w:sz w:val="21"/>
                <w:szCs w:val="21"/>
              </w:rPr>
              <w:t>2</w:t>
            </w:r>
            <w:r>
              <w:rPr>
                <w:rFonts w:hint="eastAsia" w:hAnsi="宋体"/>
                <w:color w:val="auto"/>
                <w:sz w:val="21"/>
                <w:szCs w:val="21"/>
                <w:lang w:val="en-US" w:eastAsia="zh-CN"/>
              </w:rPr>
              <w:t>2</w:t>
            </w:r>
            <w:r>
              <w:rPr>
                <w:rFonts w:hint="eastAsia" w:hAnsi="宋体"/>
                <w:color w:val="auto"/>
                <w:sz w:val="21"/>
                <w:szCs w:val="21"/>
              </w:rPr>
              <w:t>年，有连续三年均盈利的得3分，有连续两年盈利的得2分，有一年盈利的得1分，其他的不得分。</w:t>
            </w:r>
          </w:p>
          <w:p>
            <w:pPr>
              <w:widowControl/>
              <w:rPr>
                <w:rFonts w:hAnsi="宋体"/>
                <w:color w:val="auto"/>
                <w:sz w:val="21"/>
                <w:szCs w:val="21"/>
              </w:rPr>
            </w:pPr>
            <w:r>
              <w:rPr>
                <w:rFonts w:hint="eastAsia" w:hAnsi="宋体"/>
                <w:color w:val="auto"/>
                <w:sz w:val="21"/>
                <w:szCs w:val="21"/>
              </w:rPr>
              <w:t>注：以供应商提供以经独立第三方审计的财务审计报告及附表复印件的统计数据作为评审依据。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815" w:type="dxa"/>
            <w:tcBorders>
              <w:top w:val="single" w:color="auto" w:sz="4" w:space="0"/>
              <w:left w:val="single" w:color="auto" w:sz="4" w:space="0"/>
              <w:right w:val="single" w:color="auto" w:sz="4" w:space="0"/>
            </w:tcBorders>
            <w:vAlign w:val="center"/>
          </w:tcPr>
          <w:p>
            <w:pPr>
              <w:spacing w:line="360" w:lineRule="auto"/>
              <w:jc w:val="center"/>
              <w:rPr>
                <w:rFonts w:hAnsi="宋体"/>
                <w:color w:val="auto"/>
                <w:sz w:val="21"/>
                <w:szCs w:val="21"/>
              </w:rPr>
            </w:pPr>
            <w:r>
              <w:rPr>
                <w:rFonts w:hint="eastAsia" w:hAnsi="宋体"/>
                <w:color w:val="auto"/>
                <w:sz w:val="21"/>
                <w:szCs w:val="21"/>
              </w:rPr>
              <w:t>2</w:t>
            </w:r>
          </w:p>
        </w:tc>
        <w:tc>
          <w:tcPr>
            <w:tcW w:w="1450" w:type="dxa"/>
            <w:tcBorders>
              <w:top w:val="single" w:color="auto" w:sz="4" w:space="0"/>
              <w:left w:val="single" w:color="auto" w:sz="4" w:space="0"/>
              <w:right w:val="single" w:color="auto" w:sz="4" w:space="0"/>
            </w:tcBorders>
            <w:vAlign w:val="center"/>
          </w:tcPr>
          <w:p>
            <w:pPr>
              <w:jc w:val="center"/>
              <w:rPr>
                <w:rFonts w:hAnsi="宋体"/>
                <w:color w:val="auto"/>
                <w:sz w:val="21"/>
                <w:szCs w:val="21"/>
              </w:rPr>
            </w:pPr>
            <w:r>
              <w:rPr>
                <w:rFonts w:hint="eastAsia" w:hAnsi="宋体"/>
                <w:color w:val="auto"/>
                <w:sz w:val="21"/>
                <w:szCs w:val="21"/>
              </w:rPr>
              <w:t>认证证书</w:t>
            </w:r>
          </w:p>
        </w:tc>
        <w:tc>
          <w:tcPr>
            <w:tcW w:w="816" w:type="dxa"/>
            <w:tcBorders>
              <w:top w:val="single" w:color="auto" w:sz="4" w:space="0"/>
              <w:left w:val="single" w:color="auto" w:sz="4" w:space="0"/>
              <w:right w:val="single" w:color="auto" w:sz="4" w:space="0"/>
            </w:tcBorders>
            <w:vAlign w:val="center"/>
          </w:tcPr>
          <w:p>
            <w:pPr>
              <w:spacing w:line="360" w:lineRule="auto"/>
              <w:jc w:val="center"/>
              <w:rPr>
                <w:rFonts w:hAnsi="宋体"/>
                <w:color w:val="auto"/>
                <w:sz w:val="21"/>
                <w:szCs w:val="21"/>
              </w:rPr>
            </w:pPr>
            <w:r>
              <w:rPr>
                <w:rFonts w:hint="eastAsia" w:hAnsi="宋体"/>
                <w:color w:val="auto"/>
                <w:sz w:val="21"/>
                <w:szCs w:val="21"/>
              </w:rPr>
              <w:t>2</w:t>
            </w:r>
            <w:r>
              <w:rPr>
                <w:rFonts w:hint="eastAsia" w:hAnsi="宋体" w:cs="仿宋"/>
                <w:color w:val="auto"/>
                <w:sz w:val="21"/>
                <w:szCs w:val="21"/>
              </w:rPr>
              <w:t>分</w:t>
            </w:r>
          </w:p>
        </w:tc>
        <w:tc>
          <w:tcPr>
            <w:tcW w:w="6241" w:type="dxa"/>
            <w:tcBorders>
              <w:top w:val="single" w:color="auto" w:sz="4" w:space="0"/>
              <w:left w:val="single" w:color="auto" w:sz="4" w:space="0"/>
              <w:bottom w:val="single" w:color="auto" w:sz="4" w:space="0"/>
              <w:right w:val="single" w:color="auto" w:sz="4" w:space="0"/>
            </w:tcBorders>
            <w:vAlign w:val="center"/>
          </w:tcPr>
          <w:p>
            <w:pPr>
              <w:widowControl/>
              <w:rPr>
                <w:rFonts w:hAnsi="宋体"/>
                <w:color w:val="auto"/>
                <w:sz w:val="21"/>
                <w:szCs w:val="21"/>
              </w:rPr>
            </w:pPr>
            <w:r>
              <w:rPr>
                <w:rFonts w:hint="eastAsia" w:hAnsi="宋体"/>
                <w:color w:val="auto"/>
                <w:sz w:val="21"/>
                <w:szCs w:val="21"/>
              </w:rPr>
              <w:t>供应商具有国家认证认可的监督管理部门批准设立的认证机构颁发并在有效期内的质量管理体系认证的</w:t>
            </w:r>
            <w:r>
              <w:rPr>
                <w:rFonts w:hAnsi="宋体"/>
                <w:color w:val="auto"/>
                <w:sz w:val="21"/>
                <w:szCs w:val="21"/>
              </w:rPr>
              <w:t>，</w:t>
            </w:r>
            <w:r>
              <w:rPr>
                <w:rFonts w:hint="eastAsia" w:hAnsi="宋体"/>
                <w:color w:val="auto"/>
                <w:sz w:val="21"/>
                <w:szCs w:val="21"/>
              </w:rPr>
              <w:t>得</w:t>
            </w:r>
            <w:r>
              <w:rPr>
                <w:rFonts w:hAnsi="宋体"/>
                <w:color w:val="auto"/>
                <w:sz w:val="21"/>
                <w:szCs w:val="21"/>
              </w:rPr>
              <w:t>2</w:t>
            </w:r>
            <w:r>
              <w:rPr>
                <w:rFonts w:hint="eastAsia" w:hAnsi="宋体"/>
                <w:color w:val="auto"/>
                <w:sz w:val="21"/>
                <w:szCs w:val="21"/>
              </w:rPr>
              <w:t>分</w:t>
            </w:r>
            <w:r>
              <w:rPr>
                <w:rFonts w:hAnsi="宋体"/>
                <w:color w:val="auto"/>
                <w:sz w:val="21"/>
                <w:szCs w:val="21"/>
              </w:rPr>
              <w:t>。</w:t>
            </w:r>
          </w:p>
          <w:p>
            <w:pPr>
              <w:widowControl/>
              <w:rPr>
                <w:rFonts w:hAnsi="宋体"/>
                <w:color w:val="auto"/>
                <w:szCs w:val="21"/>
              </w:rPr>
            </w:pPr>
            <w:r>
              <w:rPr>
                <w:rFonts w:hint="eastAsia" w:hAnsi="宋体"/>
                <w:color w:val="auto"/>
                <w:szCs w:val="21"/>
              </w:rPr>
              <w:t>注：需提供有效期内认证证书复印件加盖供应商公章。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5" w:type="dxa"/>
            <w:tcBorders>
              <w:top w:val="single" w:color="auto" w:sz="4" w:space="0"/>
              <w:left w:val="single" w:color="auto" w:sz="4" w:space="0"/>
              <w:right w:val="single" w:color="auto" w:sz="4" w:space="0"/>
            </w:tcBorders>
            <w:vAlign w:val="center"/>
          </w:tcPr>
          <w:p>
            <w:pPr>
              <w:spacing w:line="360" w:lineRule="auto"/>
              <w:jc w:val="center"/>
              <w:rPr>
                <w:rFonts w:hAnsi="宋体"/>
                <w:color w:val="auto"/>
                <w:sz w:val="21"/>
                <w:szCs w:val="21"/>
              </w:rPr>
            </w:pPr>
            <w:r>
              <w:rPr>
                <w:rFonts w:hAnsi="宋体"/>
                <w:color w:val="auto"/>
                <w:sz w:val="21"/>
                <w:szCs w:val="21"/>
              </w:rPr>
              <w:t>3</w:t>
            </w:r>
          </w:p>
        </w:tc>
        <w:tc>
          <w:tcPr>
            <w:tcW w:w="1450" w:type="dxa"/>
            <w:tcBorders>
              <w:top w:val="single" w:color="auto" w:sz="4" w:space="0"/>
              <w:left w:val="single" w:color="auto" w:sz="4" w:space="0"/>
              <w:right w:val="single" w:color="auto" w:sz="4" w:space="0"/>
            </w:tcBorders>
            <w:vAlign w:val="center"/>
          </w:tcPr>
          <w:p>
            <w:pPr>
              <w:spacing w:line="360" w:lineRule="auto"/>
              <w:jc w:val="center"/>
              <w:rPr>
                <w:rFonts w:hAnsi="宋体"/>
                <w:color w:val="auto"/>
                <w:sz w:val="21"/>
                <w:szCs w:val="21"/>
              </w:rPr>
            </w:pPr>
            <w:r>
              <w:rPr>
                <w:rFonts w:hint="eastAsia" w:hAnsi="宋体"/>
                <w:color w:val="auto"/>
                <w:sz w:val="21"/>
                <w:szCs w:val="21"/>
              </w:rPr>
              <w:t>拟投入本项目的主项目团队</w:t>
            </w:r>
          </w:p>
        </w:tc>
        <w:tc>
          <w:tcPr>
            <w:tcW w:w="816" w:type="dxa"/>
            <w:tcBorders>
              <w:top w:val="single" w:color="auto" w:sz="4" w:space="0"/>
              <w:left w:val="single" w:color="auto" w:sz="4" w:space="0"/>
              <w:right w:val="single" w:color="auto" w:sz="4" w:space="0"/>
            </w:tcBorders>
            <w:vAlign w:val="center"/>
          </w:tcPr>
          <w:p>
            <w:pPr>
              <w:spacing w:line="360" w:lineRule="auto"/>
              <w:jc w:val="center"/>
              <w:rPr>
                <w:rFonts w:hAnsi="宋体"/>
                <w:color w:val="auto"/>
                <w:sz w:val="21"/>
                <w:szCs w:val="21"/>
              </w:rPr>
            </w:pPr>
            <w:r>
              <w:rPr>
                <w:rFonts w:hAnsi="宋体"/>
                <w:color w:val="auto"/>
                <w:sz w:val="21"/>
                <w:szCs w:val="21"/>
              </w:rPr>
              <w:t>10</w:t>
            </w:r>
            <w:r>
              <w:rPr>
                <w:rFonts w:hint="eastAsia" w:hAnsi="宋体" w:cs="仿宋"/>
                <w:color w:val="auto"/>
                <w:sz w:val="21"/>
                <w:szCs w:val="21"/>
              </w:rPr>
              <w:t>分</w:t>
            </w:r>
          </w:p>
        </w:tc>
        <w:tc>
          <w:tcPr>
            <w:tcW w:w="6241" w:type="dxa"/>
            <w:tcBorders>
              <w:top w:val="single" w:color="auto" w:sz="4" w:space="0"/>
              <w:left w:val="single" w:color="auto" w:sz="4" w:space="0"/>
              <w:bottom w:val="single" w:color="auto" w:sz="4" w:space="0"/>
              <w:right w:val="single" w:color="auto" w:sz="4" w:space="0"/>
            </w:tcBorders>
            <w:vAlign w:val="center"/>
          </w:tcPr>
          <w:p>
            <w:pPr>
              <w:snapToGrid w:val="0"/>
              <w:ind w:right="147" w:rightChars="70"/>
              <w:rPr>
                <w:rFonts w:hAnsi="宋体"/>
                <w:color w:val="auto"/>
                <w:sz w:val="21"/>
                <w:szCs w:val="21"/>
              </w:rPr>
            </w:pPr>
            <w:r>
              <w:rPr>
                <w:rFonts w:hint="eastAsia" w:hAnsi="宋体"/>
                <w:color w:val="auto"/>
                <w:sz w:val="21"/>
                <w:szCs w:val="21"/>
              </w:rPr>
              <w:t>①项目负责人（1人）：</w:t>
            </w:r>
          </w:p>
          <w:p>
            <w:pPr>
              <w:snapToGrid w:val="0"/>
              <w:ind w:right="147" w:rightChars="70"/>
              <w:rPr>
                <w:rFonts w:hAnsi="宋体"/>
                <w:color w:val="auto"/>
                <w:sz w:val="21"/>
                <w:szCs w:val="21"/>
              </w:rPr>
            </w:pPr>
            <w:r>
              <w:rPr>
                <w:rFonts w:hint="eastAsia" w:hAnsi="宋体"/>
                <w:color w:val="auto"/>
                <w:sz w:val="21"/>
                <w:szCs w:val="21"/>
              </w:rPr>
              <w:t>（1）具有高级或以上技术职称的或具有注册土木工程师（岩土）的得2分，此项满分2分。</w:t>
            </w:r>
          </w:p>
          <w:p>
            <w:pPr>
              <w:snapToGrid w:val="0"/>
              <w:ind w:right="147" w:rightChars="70"/>
              <w:rPr>
                <w:rFonts w:hAnsi="宋体"/>
                <w:color w:val="auto"/>
                <w:sz w:val="21"/>
                <w:szCs w:val="21"/>
              </w:rPr>
            </w:pPr>
            <w:r>
              <w:rPr>
                <w:rFonts w:hint="eastAsia" w:hAnsi="宋体"/>
                <w:color w:val="auto"/>
                <w:sz w:val="21"/>
                <w:szCs w:val="21"/>
              </w:rPr>
              <w:t>（2）自201</w:t>
            </w:r>
            <w:r>
              <w:rPr>
                <w:rFonts w:hint="eastAsia" w:hAnsi="宋体"/>
                <w:color w:val="auto"/>
                <w:sz w:val="21"/>
                <w:szCs w:val="21"/>
                <w:lang w:val="en-US" w:eastAsia="zh-CN"/>
              </w:rPr>
              <w:t>8</w:t>
            </w:r>
            <w:r>
              <w:rPr>
                <w:rFonts w:hint="eastAsia" w:hAnsi="宋体"/>
                <w:color w:val="auto"/>
                <w:sz w:val="21"/>
                <w:szCs w:val="21"/>
              </w:rPr>
              <w:t>年01月01日至磋商响应文件递交截止日前在</w:t>
            </w:r>
            <w:r>
              <w:rPr>
                <w:rFonts w:hint="eastAsia" w:hAnsi="宋体"/>
                <w:color w:val="auto"/>
                <w:sz w:val="21"/>
                <w:szCs w:val="21"/>
                <w:lang w:eastAsia="zh-CN"/>
              </w:rPr>
              <w:t>响应</w:t>
            </w:r>
            <w:r>
              <w:rPr>
                <w:rFonts w:hint="eastAsia" w:hAnsi="宋体"/>
                <w:color w:val="auto"/>
                <w:sz w:val="21"/>
                <w:szCs w:val="21"/>
              </w:rPr>
              <w:t>人本单位以项目总负责人（或项目经理）岗位完成过一项面积超过</w:t>
            </w:r>
            <w:r>
              <w:rPr>
                <w:rFonts w:hint="eastAsia" w:hAnsi="宋体"/>
                <w:color w:val="auto"/>
                <w:sz w:val="21"/>
                <w:szCs w:val="21"/>
                <w:lang w:val="en-US" w:eastAsia="zh-CN"/>
              </w:rPr>
              <w:t>三分之二</w:t>
            </w:r>
            <w:r>
              <w:rPr>
                <w:rFonts w:hint="eastAsia" w:hAnsi="宋体"/>
                <w:bCs/>
                <w:color w:val="auto"/>
                <w:sz w:val="21"/>
                <w:szCs w:val="21"/>
              </w:rPr>
              <w:t>基坑监测</w:t>
            </w:r>
            <w:r>
              <w:rPr>
                <w:rFonts w:hint="eastAsia" w:hAnsi="宋体"/>
                <w:color w:val="auto"/>
                <w:sz w:val="21"/>
                <w:szCs w:val="21"/>
              </w:rPr>
              <w:t>项目的，每个得</w:t>
            </w:r>
            <w:r>
              <w:rPr>
                <w:rFonts w:hAnsi="宋体"/>
                <w:color w:val="auto"/>
                <w:sz w:val="21"/>
                <w:szCs w:val="21"/>
              </w:rPr>
              <w:t>1</w:t>
            </w:r>
            <w:r>
              <w:rPr>
                <w:rFonts w:hint="eastAsia" w:hAnsi="宋体"/>
                <w:color w:val="auto"/>
                <w:sz w:val="21"/>
                <w:szCs w:val="21"/>
              </w:rPr>
              <w:t>分，此项满分</w:t>
            </w:r>
            <w:r>
              <w:rPr>
                <w:rFonts w:hAnsi="宋体"/>
                <w:color w:val="auto"/>
                <w:sz w:val="21"/>
                <w:szCs w:val="21"/>
              </w:rPr>
              <w:t>2</w:t>
            </w:r>
            <w:r>
              <w:rPr>
                <w:rFonts w:hint="eastAsia" w:hAnsi="宋体"/>
                <w:color w:val="auto"/>
                <w:sz w:val="21"/>
                <w:szCs w:val="21"/>
              </w:rPr>
              <w:t>分。</w:t>
            </w:r>
          </w:p>
          <w:p>
            <w:pPr>
              <w:snapToGrid w:val="0"/>
              <w:ind w:right="147" w:rightChars="70"/>
              <w:rPr>
                <w:rFonts w:hAnsi="宋体"/>
                <w:color w:val="auto"/>
                <w:sz w:val="21"/>
                <w:szCs w:val="21"/>
              </w:rPr>
            </w:pPr>
            <w:r>
              <w:rPr>
                <w:rFonts w:hint="eastAsia" w:hAnsi="宋体"/>
                <w:color w:val="auto"/>
                <w:sz w:val="21"/>
                <w:szCs w:val="21"/>
              </w:rPr>
              <w:t>②其他人员（项目负责人除外）：具有中级（或以上）技术职称的每人得1分，此项满分6分。</w:t>
            </w:r>
          </w:p>
          <w:p>
            <w:pPr>
              <w:snapToGrid w:val="0"/>
              <w:ind w:right="147" w:rightChars="70"/>
              <w:rPr>
                <w:rFonts w:hint="eastAsia" w:hAnsi="宋体"/>
                <w:color w:val="auto"/>
                <w:sz w:val="21"/>
                <w:szCs w:val="21"/>
              </w:rPr>
            </w:pPr>
            <w:r>
              <w:rPr>
                <w:rFonts w:hint="eastAsia" w:hAnsi="宋体"/>
                <w:color w:val="auto"/>
                <w:sz w:val="21"/>
                <w:szCs w:val="21"/>
              </w:rPr>
              <w:t>注:</w:t>
            </w:r>
          </w:p>
          <w:p>
            <w:pPr>
              <w:snapToGrid w:val="0"/>
              <w:ind w:right="147" w:rightChars="70"/>
              <w:rPr>
                <w:rFonts w:hAnsi="宋体"/>
                <w:color w:val="auto"/>
                <w:sz w:val="21"/>
                <w:szCs w:val="21"/>
              </w:rPr>
            </w:pPr>
            <w:r>
              <w:rPr>
                <w:rFonts w:hint="eastAsia" w:hAnsi="宋体"/>
                <w:color w:val="auto"/>
                <w:sz w:val="21"/>
                <w:szCs w:val="21"/>
              </w:rPr>
              <w:t>①需提供相关证书复印件，作为评审依据，否则不得分；</w:t>
            </w:r>
          </w:p>
          <w:p>
            <w:pPr>
              <w:snapToGrid w:val="0"/>
              <w:ind w:right="147" w:rightChars="70"/>
              <w:rPr>
                <w:rFonts w:hAnsi="宋体"/>
                <w:color w:val="auto"/>
                <w:sz w:val="21"/>
                <w:szCs w:val="21"/>
              </w:rPr>
            </w:pPr>
            <w:r>
              <w:rPr>
                <w:rFonts w:hint="eastAsia" w:hAnsi="宋体"/>
                <w:color w:val="auto"/>
                <w:sz w:val="21"/>
                <w:szCs w:val="21"/>
              </w:rPr>
              <w:t>②拟派从事本工程的技术人员应为注册于供应商本单位，不得同时受聘于两个或两个以上单位的。相关人员须附上在供应商处缴纳的社保证明文件（社保证明应为响应文件递交截止日前半年时间内连续不少于三个月的有效证明材料，可以是在供应商总公司或分公司的社保缴纳证明文件，可以是原件或复印件但均需加盖供应商公章），社保缴纳证明文件应具备社保管理机构印章；</w:t>
            </w:r>
          </w:p>
          <w:p>
            <w:pPr>
              <w:snapToGrid w:val="0"/>
              <w:ind w:right="147" w:rightChars="70"/>
              <w:rPr>
                <w:rFonts w:hAnsi="宋体"/>
                <w:color w:val="auto"/>
                <w:sz w:val="21"/>
                <w:szCs w:val="21"/>
              </w:rPr>
            </w:pPr>
            <w:r>
              <w:rPr>
                <w:rFonts w:hint="eastAsia" w:hAnsi="宋体"/>
                <w:color w:val="auto"/>
                <w:sz w:val="21"/>
                <w:szCs w:val="21"/>
              </w:rPr>
              <w:t>③业绩证明资料须提供合同（或协议书）关键页复印件，及与项目相关的发票（张数不限）；</w:t>
            </w:r>
          </w:p>
          <w:p>
            <w:pPr>
              <w:snapToGrid w:val="0"/>
              <w:ind w:right="147" w:rightChars="70"/>
              <w:rPr>
                <w:rFonts w:hAnsi="宋体"/>
                <w:color w:val="auto"/>
                <w:sz w:val="21"/>
                <w:szCs w:val="21"/>
              </w:rPr>
            </w:pPr>
            <w:r>
              <w:rPr>
                <w:rFonts w:hint="eastAsia" w:hAnsi="宋体"/>
                <w:color w:val="auto"/>
                <w:sz w:val="21"/>
                <w:szCs w:val="21"/>
              </w:rPr>
              <w:t>④时间以合同（或协议书）签订时间为准；</w:t>
            </w:r>
          </w:p>
          <w:p>
            <w:pPr>
              <w:snapToGrid w:val="0"/>
              <w:ind w:right="147" w:rightChars="70"/>
              <w:rPr>
                <w:rFonts w:hAnsi="宋体"/>
                <w:color w:val="auto"/>
                <w:sz w:val="21"/>
                <w:szCs w:val="21"/>
              </w:rPr>
            </w:pPr>
            <w:r>
              <w:rPr>
                <w:rFonts w:hint="eastAsia" w:hAnsi="宋体"/>
                <w:color w:val="auto"/>
                <w:sz w:val="21"/>
                <w:szCs w:val="21"/>
              </w:rPr>
              <w:t>⑤如提供的合同（或协议书）无法体现面积指标和项目负责人岗位的，可提供供应商另行出具的有效证明材料复印件；</w:t>
            </w:r>
          </w:p>
          <w:p>
            <w:pPr>
              <w:pStyle w:val="10"/>
              <w:jc w:val="both"/>
              <w:rPr>
                <w:rFonts w:hAnsi="宋体"/>
                <w:color w:val="auto"/>
                <w:sz w:val="21"/>
                <w:szCs w:val="21"/>
              </w:rPr>
            </w:pPr>
            <w:r>
              <w:rPr>
                <w:rFonts w:hint="eastAsia" w:hAnsi="宋体"/>
                <w:color w:val="auto"/>
                <w:sz w:val="21"/>
                <w:szCs w:val="21"/>
              </w:rPr>
              <w:t>⑥同一项目的业绩不能重复计分，如重复时按高分值计取。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jc w:val="center"/>
        </w:trPr>
        <w:tc>
          <w:tcPr>
            <w:tcW w:w="815" w:type="dxa"/>
            <w:tcBorders>
              <w:top w:val="single" w:color="auto" w:sz="4" w:space="0"/>
              <w:left w:val="single" w:color="auto" w:sz="4" w:space="0"/>
              <w:right w:val="single" w:color="auto" w:sz="4" w:space="0"/>
            </w:tcBorders>
            <w:vAlign w:val="center"/>
          </w:tcPr>
          <w:p>
            <w:pPr>
              <w:spacing w:line="360" w:lineRule="auto"/>
              <w:jc w:val="center"/>
              <w:rPr>
                <w:rFonts w:hAnsi="宋体"/>
                <w:color w:val="auto"/>
                <w:sz w:val="21"/>
                <w:szCs w:val="21"/>
              </w:rPr>
            </w:pPr>
            <w:r>
              <w:rPr>
                <w:rFonts w:hint="eastAsia" w:hAnsi="宋体"/>
                <w:color w:val="auto"/>
                <w:sz w:val="21"/>
                <w:szCs w:val="21"/>
              </w:rPr>
              <w:t>4</w:t>
            </w:r>
          </w:p>
        </w:tc>
        <w:tc>
          <w:tcPr>
            <w:tcW w:w="1450" w:type="dxa"/>
            <w:tcBorders>
              <w:top w:val="single" w:color="auto" w:sz="4" w:space="0"/>
              <w:left w:val="single" w:color="auto" w:sz="4" w:space="0"/>
              <w:right w:val="single" w:color="auto" w:sz="4" w:space="0"/>
            </w:tcBorders>
            <w:vAlign w:val="center"/>
          </w:tcPr>
          <w:p>
            <w:pPr>
              <w:spacing w:line="360" w:lineRule="auto"/>
              <w:jc w:val="center"/>
              <w:rPr>
                <w:rFonts w:hAnsi="宋体"/>
                <w:color w:val="auto"/>
                <w:sz w:val="21"/>
                <w:szCs w:val="21"/>
              </w:rPr>
            </w:pPr>
            <w:r>
              <w:rPr>
                <w:rFonts w:hint="eastAsia" w:hAnsi="宋体"/>
                <w:color w:val="auto"/>
                <w:sz w:val="21"/>
                <w:szCs w:val="21"/>
              </w:rPr>
              <w:t>企业业绩</w:t>
            </w:r>
          </w:p>
        </w:tc>
        <w:tc>
          <w:tcPr>
            <w:tcW w:w="816" w:type="dxa"/>
            <w:tcBorders>
              <w:top w:val="single" w:color="auto" w:sz="4" w:space="0"/>
              <w:left w:val="single" w:color="auto" w:sz="4" w:space="0"/>
              <w:right w:val="single" w:color="auto" w:sz="4" w:space="0"/>
            </w:tcBorders>
            <w:vAlign w:val="center"/>
          </w:tcPr>
          <w:p>
            <w:pPr>
              <w:spacing w:line="360" w:lineRule="auto"/>
              <w:jc w:val="center"/>
              <w:rPr>
                <w:color w:val="auto"/>
                <w:sz w:val="21"/>
                <w:szCs w:val="21"/>
              </w:rPr>
            </w:pPr>
            <w:r>
              <w:rPr>
                <w:rFonts w:hAnsi="宋体" w:cs="仿宋"/>
                <w:color w:val="auto"/>
                <w:sz w:val="21"/>
                <w:szCs w:val="21"/>
              </w:rPr>
              <w:t>15</w:t>
            </w:r>
            <w:r>
              <w:rPr>
                <w:rFonts w:hint="eastAsia" w:hAnsi="宋体" w:cs="仿宋"/>
                <w:color w:val="auto"/>
                <w:sz w:val="21"/>
                <w:szCs w:val="21"/>
              </w:rPr>
              <w:t>分</w:t>
            </w:r>
          </w:p>
        </w:tc>
        <w:tc>
          <w:tcPr>
            <w:tcW w:w="6241" w:type="dxa"/>
            <w:tcBorders>
              <w:top w:val="single" w:color="auto" w:sz="4" w:space="0"/>
              <w:left w:val="single" w:color="auto" w:sz="4" w:space="0"/>
              <w:bottom w:val="single" w:color="auto" w:sz="4" w:space="0"/>
              <w:right w:val="single" w:color="auto" w:sz="4" w:space="0"/>
            </w:tcBorders>
            <w:vAlign w:val="center"/>
          </w:tcPr>
          <w:p>
            <w:pPr>
              <w:rPr>
                <w:rFonts w:hAnsi="宋体"/>
                <w:color w:val="auto"/>
                <w:sz w:val="21"/>
                <w:szCs w:val="21"/>
              </w:rPr>
            </w:pPr>
            <w:r>
              <w:rPr>
                <w:rFonts w:hint="eastAsia" w:hAnsi="宋体"/>
                <w:color w:val="auto"/>
                <w:sz w:val="21"/>
                <w:szCs w:val="21"/>
              </w:rPr>
              <w:t>供应商自201</w:t>
            </w:r>
            <w:r>
              <w:rPr>
                <w:rFonts w:hint="eastAsia" w:hAnsi="宋体"/>
                <w:color w:val="auto"/>
                <w:sz w:val="21"/>
                <w:szCs w:val="21"/>
                <w:lang w:val="en-US" w:eastAsia="zh-CN"/>
              </w:rPr>
              <w:t>8</w:t>
            </w:r>
            <w:r>
              <w:rPr>
                <w:rFonts w:hint="eastAsia" w:hAnsi="宋体"/>
                <w:color w:val="auto"/>
                <w:sz w:val="21"/>
                <w:szCs w:val="21"/>
              </w:rPr>
              <w:t>年01月01日至</w:t>
            </w:r>
            <w:r>
              <w:rPr>
                <w:rFonts w:hint="eastAsia" w:hAnsi="宋体"/>
                <w:color w:val="auto"/>
                <w:sz w:val="21"/>
                <w:szCs w:val="21"/>
                <w:lang w:eastAsia="zh-CN"/>
              </w:rPr>
              <w:t>响应</w:t>
            </w:r>
            <w:r>
              <w:rPr>
                <w:rFonts w:hint="eastAsia" w:hAnsi="宋体"/>
                <w:color w:val="auto"/>
                <w:sz w:val="21"/>
                <w:szCs w:val="21"/>
              </w:rPr>
              <w:t>截止日前承接过一项</w:t>
            </w:r>
            <w:r>
              <w:rPr>
                <w:rFonts w:hint="eastAsia" w:hAnsi="宋体"/>
                <w:color w:val="auto"/>
                <w:sz w:val="21"/>
                <w:szCs w:val="21"/>
                <w:lang w:val="en-US" w:eastAsia="zh-CN"/>
              </w:rPr>
              <w:t>周长</w:t>
            </w:r>
            <w:r>
              <w:rPr>
                <w:rFonts w:hint="eastAsia" w:hAnsi="宋体"/>
                <w:color w:val="auto"/>
                <w:sz w:val="21"/>
                <w:szCs w:val="21"/>
              </w:rPr>
              <w:t>超过</w:t>
            </w:r>
            <w:r>
              <w:rPr>
                <w:rFonts w:hint="eastAsia" w:hAnsi="宋体"/>
                <w:color w:val="auto"/>
                <w:sz w:val="21"/>
                <w:szCs w:val="21"/>
                <w:lang w:val="en-US" w:eastAsia="zh-CN"/>
              </w:rPr>
              <w:t>383米</w:t>
            </w:r>
            <w:r>
              <w:rPr>
                <w:rFonts w:hint="eastAsia" w:hAnsi="宋体"/>
                <w:color w:val="auto"/>
                <w:sz w:val="21"/>
                <w:szCs w:val="21"/>
              </w:rPr>
              <w:t>基坑监测项目的，每个得3分，本项满分15分。</w:t>
            </w:r>
          </w:p>
          <w:p>
            <w:pPr>
              <w:rPr>
                <w:rFonts w:hint="eastAsia" w:hAnsi="宋体"/>
                <w:color w:val="auto"/>
                <w:sz w:val="21"/>
                <w:szCs w:val="21"/>
              </w:rPr>
            </w:pPr>
            <w:r>
              <w:rPr>
                <w:rFonts w:hint="eastAsia" w:hAnsi="宋体"/>
                <w:color w:val="auto"/>
                <w:sz w:val="21"/>
                <w:szCs w:val="21"/>
              </w:rPr>
              <w:t>注：</w:t>
            </w:r>
          </w:p>
          <w:p>
            <w:pPr>
              <w:rPr>
                <w:rFonts w:hint="eastAsia" w:hAnsi="宋体"/>
                <w:color w:val="auto"/>
                <w:sz w:val="21"/>
                <w:szCs w:val="21"/>
              </w:rPr>
            </w:pPr>
            <w:r>
              <w:rPr>
                <w:rFonts w:hint="eastAsia" w:hAnsi="宋体"/>
                <w:color w:val="auto"/>
                <w:sz w:val="21"/>
                <w:szCs w:val="21"/>
              </w:rPr>
              <w:t>①业绩证明资料须提供合同（或协议书）关键页复印件，及与项目相关的发票（张数不限）。</w:t>
            </w:r>
          </w:p>
          <w:p>
            <w:pPr>
              <w:rPr>
                <w:rFonts w:hint="eastAsia" w:hAnsi="宋体"/>
                <w:color w:val="auto"/>
                <w:sz w:val="21"/>
                <w:szCs w:val="21"/>
              </w:rPr>
            </w:pPr>
            <w:r>
              <w:rPr>
                <w:rFonts w:hint="eastAsia" w:hAnsi="宋体"/>
                <w:color w:val="auto"/>
                <w:sz w:val="21"/>
                <w:szCs w:val="21"/>
              </w:rPr>
              <w:t>②时间以合同（或协议书）签订时间为准。</w:t>
            </w:r>
          </w:p>
          <w:p>
            <w:pPr>
              <w:rPr>
                <w:rFonts w:hint="eastAsia" w:hAnsi="宋体"/>
                <w:color w:val="auto"/>
                <w:sz w:val="21"/>
                <w:szCs w:val="21"/>
              </w:rPr>
            </w:pPr>
            <w:r>
              <w:rPr>
                <w:rFonts w:hint="eastAsia" w:hAnsi="宋体"/>
                <w:color w:val="auto"/>
                <w:sz w:val="21"/>
                <w:szCs w:val="21"/>
              </w:rPr>
              <w:t>③如提供的合同（或协议书）无法体现面积指标的，可提供供应商另行出具的有效证明材料复印件。</w:t>
            </w:r>
          </w:p>
          <w:p>
            <w:pPr>
              <w:rPr>
                <w:color w:val="auto"/>
                <w:sz w:val="21"/>
                <w:szCs w:val="21"/>
              </w:rPr>
            </w:pPr>
            <w:r>
              <w:rPr>
                <w:rFonts w:hint="eastAsia" w:hAnsi="宋体"/>
                <w:color w:val="auto"/>
                <w:sz w:val="21"/>
                <w:szCs w:val="21"/>
              </w:rPr>
              <w:t>④同一项目的业绩不能重复计分，如重复时按高分值计取。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9322" w:type="dxa"/>
            <w:gridSpan w:val="4"/>
            <w:tcBorders>
              <w:top w:val="single" w:color="auto" w:sz="4" w:space="0"/>
              <w:left w:val="single" w:color="auto" w:sz="4" w:space="0"/>
              <w:bottom w:val="single" w:color="auto" w:sz="4" w:space="0"/>
              <w:right w:val="single" w:color="auto" w:sz="4" w:space="0"/>
            </w:tcBorders>
            <w:vAlign w:val="center"/>
          </w:tcPr>
          <w:p>
            <w:pPr>
              <w:pStyle w:val="39"/>
              <w:spacing w:line="360" w:lineRule="auto"/>
              <w:ind w:firstLine="0" w:firstLineChars="0"/>
              <w:jc w:val="center"/>
              <w:rPr>
                <w:rFonts w:ascii="宋体" w:eastAsia="宋体"/>
                <w:b/>
                <w:color w:val="auto"/>
                <w:sz w:val="21"/>
                <w:szCs w:val="21"/>
              </w:rPr>
            </w:pPr>
            <w:r>
              <w:rPr>
                <w:rFonts w:hint="eastAsia" w:ascii="宋体" w:eastAsia="宋体"/>
                <w:b/>
                <w:color w:val="auto"/>
                <w:sz w:val="21"/>
                <w:szCs w:val="21"/>
              </w:rPr>
              <w:t>技术评分（</w:t>
            </w:r>
            <w:r>
              <w:rPr>
                <w:rFonts w:ascii="宋体" w:eastAsia="宋体"/>
                <w:b/>
                <w:color w:val="auto"/>
                <w:sz w:val="21"/>
                <w:szCs w:val="21"/>
              </w:rPr>
              <w:t>5</w:t>
            </w:r>
            <w:r>
              <w:rPr>
                <w:rFonts w:hint="eastAsia" w:ascii="宋体" w:eastAsia="宋体"/>
                <w:b/>
                <w:color w:val="auto"/>
                <w:sz w:val="21"/>
                <w:szCs w:val="21"/>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Ansi="宋体"/>
                <w:color w:val="auto"/>
                <w:sz w:val="21"/>
                <w:szCs w:val="21"/>
              </w:rPr>
            </w:pPr>
            <w:r>
              <w:rPr>
                <w:rFonts w:hint="eastAsia" w:hAnsi="宋体"/>
                <w:color w:val="auto"/>
                <w:sz w:val="21"/>
                <w:szCs w:val="21"/>
              </w:rPr>
              <w:t>1</w:t>
            </w:r>
          </w:p>
        </w:tc>
        <w:tc>
          <w:tcPr>
            <w:tcW w:w="1450" w:type="dxa"/>
            <w:tcBorders>
              <w:top w:val="single" w:color="auto" w:sz="4" w:space="0"/>
              <w:left w:val="single" w:color="auto" w:sz="4" w:space="0"/>
              <w:bottom w:val="single" w:color="auto" w:sz="4" w:space="0"/>
              <w:right w:val="single" w:color="auto" w:sz="4" w:space="0"/>
            </w:tcBorders>
            <w:vAlign w:val="center"/>
          </w:tcPr>
          <w:p>
            <w:pPr>
              <w:jc w:val="center"/>
              <w:rPr>
                <w:rFonts w:hAnsi="宋体"/>
                <w:color w:val="auto"/>
                <w:sz w:val="21"/>
                <w:szCs w:val="21"/>
              </w:rPr>
            </w:pPr>
            <w:r>
              <w:rPr>
                <w:rFonts w:hint="eastAsia" w:hAnsi="宋体"/>
                <w:color w:val="auto"/>
                <w:sz w:val="21"/>
                <w:szCs w:val="21"/>
              </w:rPr>
              <w:t>监测的实施方案</w:t>
            </w:r>
          </w:p>
        </w:tc>
        <w:tc>
          <w:tcPr>
            <w:tcW w:w="81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Ansi="宋体"/>
                <w:color w:val="auto"/>
                <w:sz w:val="21"/>
                <w:szCs w:val="21"/>
              </w:rPr>
            </w:pPr>
            <w:r>
              <w:rPr>
                <w:rFonts w:hAnsi="宋体"/>
                <w:color w:val="auto"/>
                <w:sz w:val="21"/>
                <w:szCs w:val="21"/>
              </w:rPr>
              <w:t>10</w:t>
            </w:r>
            <w:r>
              <w:rPr>
                <w:rFonts w:hint="eastAsia" w:hAnsi="宋体"/>
                <w:color w:val="auto"/>
                <w:sz w:val="21"/>
                <w:szCs w:val="21"/>
              </w:rPr>
              <w:t>分</w:t>
            </w:r>
          </w:p>
        </w:tc>
        <w:tc>
          <w:tcPr>
            <w:tcW w:w="6241" w:type="dxa"/>
            <w:tcBorders>
              <w:top w:val="single" w:color="auto" w:sz="4" w:space="0"/>
              <w:left w:val="single" w:color="auto" w:sz="4" w:space="0"/>
              <w:bottom w:val="single" w:color="auto" w:sz="4" w:space="0"/>
              <w:right w:val="single" w:color="auto" w:sz="4" w:space="0"/>
            </w:tcBorders>
            <w:vAlign w:val="center"/>
          </w:tcPr>
          <w:p>
            <w:pPr>
              <w:rPr>
                <w:color w:val="auto"/>
                <w:sz w:val="21"/>
                <w:szCs w:val="21"/>
              </w:rPr>
            </w:pPr>
            <w:r>
              <w:rPr>
                <w:rFonts w:hint="eastAsia"/>
                <w:color w:val="auto"/>
                <w:sz w:val="21"/>
                <w:szCs w:val="21"/>
              </w:rPr>
              <w:t>优:供应商监测对象选取合理，测点布设有结构分析基础；监测方法非常科学、可靠，结果评价方法符合结构监测要求的为优，得</w:t>
            </w:r>
            <w:r>
              <w:rPr>
                <w:color w:val="auto"/>
                <w:sz w:val="21"/>
                <w:szCs w:val="21"/>
              </w:rPr>
              <w:t>10</w:t>
            </w:r>
            <w:r>
              <w:rPr>
                <w:rFonts w:hint="eastAsia"/>
                <w:color w:val="auto"/>
                <w:sz w:val="21"/>
                <w:szCs w:val="21"/>
              </w:rPr>
              <w:t>分；</w:t>
            </w:r>
          </w:p>
          <w:p>
            <w:pPr>
              <w:rPr>
                <w:color w:val="auto"/>
                <w:sz w:val="21"/>
                <w:szCs w:val="21"/>
              </w:rPr>
            </w:pPr>
            <w:r>
              <w:rPr>
                <w:rFonts w:hint="eastAsia"/>
                <w:color w:val="auto"/>
                <w:sz w:val="21"/>
                <w:szCs w:val="21"/>
              </w:rPr>
              <w:t>良:供应商监测对象选取较为合理，监测方法较为科学、可靠，结果评价方法较为符合结构监测要求的为良，得</w:t>
            </w:r>
            <w:r>
              <w:rPr>
                <w:color w:val="auto"/>
                <w:sz w:val="21"/>
                <w:szCs w:val="21"/>
              </w:rPr>
              <w:t>7</w:t>
            </w:r>
            <w:r>
              <w:rPr>
                <w:rFonts w:hint="eastAsia"/>
                <w:color w:val="auto"/>
                <w:sz w:val="21"/>
                <w:szCs w:val="21"/>
              </w:rPr>
              <w:t>分；</w:t>
            </w:r>
          </w:p>
          <w:p>
            <w:pPr>
              <w:rPr>
                <w:color w:val="auto"/>
                <w:sz w:val="21"/>
                <w:szCs w:val="21"/>
              </w:rPr>
            </w:pPr>
            <w:r>
              <w:rPr>
                <w:rFonts w:hint="eastAsia"/>
                <w:color w:val="auto"/>
                <w:sz w:val="21"/>
                <w:szCs w:val="21"/>
              </w:rPr>
              <w:t>中:供应商监测对象选取一般，监测方法一般，结果评价方法基本符合结构监测要求的为中，得</w:t>
            </w:r>
            <w:r>
              <w:rPr>
                <w:color w:val="auto"/>
                <w:sz w:val="21"/>
                <w:szCs w:val="21"/>
              </w:rPr>
              <w:t>4</w:t>
            </w:r>
            <w:r>
              <w:rPr>
                <w:rFonts w:hint="eastAsia"/>
                <w:color w:val="auto"/>
                <w:sz w:val="21"/>
                <w:szCs w:val="21"/>
              </w:rPr>
              <w:t>分；</w:t>
            </w:r>
          </w:p>
          <w:p>
            <w:pPr>
              <w:rPr>
                <w:color w:val="auto"/>
                <w:sz w:val="21"/>
                <w:szCs w:val="21"/>
              </w:rPr>
            </w:pPr>
            <w:r>
              <w:rPr>
                <w:rFonts w:hint="eastAsia"/>
                <w:color w:val="auto"/>
                <w:sz w:val="21"/>
                <w:szCs w:val="21"/>
              </w:rPr>
              <w:t>差:供应商监测对象选取不合理，监测方法不科学、不可靠，结果评价方法不符合结构监测要求的为差，得</w:t>
            </w:r>
            <w:r>
              <w:rPr>
                <w:color w:val="auto"/>
                <w:sz w:val="21"/>
                <w:szCs w:val="21"/>
              </w:rPr>
              <w:t>1</w:t>
            </w:r>
            <w:r>
              <w:rPr>
                <w:rFonts w:hint="eastAsia"/>
                <w:color w:val="auto"/>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81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Ansi="宋体"/>
                <w:color w:val="auto"/>
                <w:sz w:val="21"/>
                <w:szCs w:val="21"/>
              </w:rPr>
            </w:pPr>
            <w:r>
              <w:rPr>
                <w:rFonts w:hint="eastAsia" w:hAnsi="宋体"/>
                <w:color w:val="auto"/>
                <w:sz w:val="21"/>
                <w:szCs w:val="21"/>
              </w:rPr>
              <w:t>2</w:t>
            </w:r>
          </w:p>
        </w:tc>
        <w:tc>
          <w:tcPr>
            <w:tcW w:w="14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Ansi="宋体"/>
                <w:color w:val="auto"/>
                <w:sz w:val="21"/>
                <w:szCs w:val="21"/>
              </w:rPr>
            </w:pPr>
            <w:r>
              <w:rPr>
                <w:rFonts w:hint="eastAsia" w:hAnsi="宋体"/>
                <w:color w:val="auto"/>
                <w:sz w:val="21"/>
                <w:szCs w:val="21"/>
              </w:rPr>
              <w:t>工作流程</w:t>
            </w:r>
          </w:p>
        </w:tc>
        <w:tc>
          <w:tcPr>
            <w:tcW w:w="81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Ansi="宋体"/>
                <w:color w:val="auto"/>
                <w:sz w:val="21"/>
                <w:szCs w:val="21"/>
              </w:rPr>
            </w:pPr>
            <w:r>
              <w:rPr>
                <w:rFonts w:hAnsi="宋体"/>
                <w:color w:val="auto"/>
                <w:sz w:val="21"/>
                <w:szCs w:val="21"/>
              </w:rPr>
              <w:t>10</w:t>
            </w:r>
            <w:r>
              <w:rPr>
                <w:rFonts w:hint="eastAsia" w:hAnsi="宋体"/>
                <w:color w:val="auto"/>
                <w:sz w:val="21"/>
                <w:szCs w:val="21"/>
              </w:rPr>
              <w:t>分</w:t>
            </w:r>
          </w:p>
        </w:tc>
        <w:tc>
          <w:tcPr>
            <w:tcW w:w="6241" w:type="dxa"/>
            <w:tcBorders>
              <w:top w:val="single" w:color="auto" w:sz="4" w:space="0"/>
              <w:left w:val="single" w:color="auto" w:sz="4" w:space="0"/>
              <w:bottom w:val="single" w:color="auto" w:sz="4" w:space="0"/>
              <w:right w:val="single" w:color="auto" w:sz="4" w:space="0"/>
            </w:tcBorders>
            <w:vAlign w:val="center"/>
          </w:tcPr>
          <w:p>
            <w:pPr>
              <w:rPr>
                <w:rFonts w:hAnsi="宋体"/>
                <w:color w:val="auto"/>
                <w:sz w:val="21"/>
                <w:szCs w:val="21"/>
              </w:rPr>
            </w:pPr>
            <w:r>
              <w:rPr>
                <w:rFonts w:hint="eastAsia" w:hAnsi="宋体"/>
                <w:color w:val="auto"/>
                <w:sz w:val="21"/>
                <w:szCs w:val="21"/>
              </w:rPr>
              <w:t>优:根据供应商监测的工作流程，周密性强、具有可操作性，保证措施针对性强，内部组织配合程度很高，应急处理方案非常合理，得</w:t>
            </w:r>
            <w:r>
              <w:rPr>
                <w:rFonts w:hAnsi="宋体"/>
                <w:color w:val="auto"/>
                <w:sz w:val="21"/>
                <w:szCs w:val="21"/>
              </w:rPr>
              <w:t>10</w:t>
            </w:r>
            <w:r>
              <w:rPr>
                <w:rFonts w:hint="eastAsia" w:hAnsi="宋体"/>
                <w:color w:val="auto"/>
                <w:sz w:val="21"/>
                <w:szCs w:val="21"/>
              </w:rPr>
              <w:t>分；</w:t>
            </w:r>
          </w:p>
          <w:p>
            <w:pPr>
              <w:rPr>
                <w:rFonts w:hAnsi="宋体"/>
                <w:color w:val="auto"/>
                <w:sz w:val="21"/>
                <w:szCs w:val="21"/>
              </w:rPr>
            </w:pPr>
            <w:r>
              <w:rPr>
                <w:rFonts w:hint="eastAsia" w:hAnsi="宋体"/>
                <w:color w:val="auto"/>
                <w:sz w:val="21"/>
                <w:szCs w:val="21"/>
              </w:rPr>
              <w:t>良:根据供应商监测的工作流程，周密性强、具有可操作性，保证措施针对性较强，内部组织配合程度比较高，应急处理方案合理，得</w:t>
            </w:r>
            <w:r>
              <w:rPr>
                <w:rFonts w:hAnsi="宋体"/>
                <w:color w:val="auto"/>
                <w:sz w:val="21"/>
                <w:szCs w:val="21"/>
              </w:rPr>
              <w:t>7</w:t>
            </w:r>
            <w:r>
              <w:rPr>
                <w:rFonts w:hint="eastAsia" w:hAnsi="宋体"/>
                <w:color w:val="auto"/>
                <w:sz w:val="21"/>
                <w:szCs w:val="21"/>
              </w:rPr>
              <w:t>分；</w:t>
            </w:r>
          </w:p>
          <w:p>
            <w:pPr>
              <w:rPr>
                <w:rFonts w:hAnsi="宋体"/>
                <w:color w:val="auto"/>
                <w:sz w:val="21"/>
                <w:szCs w:val="21"/>
              </w:rPr>
            </w:pPr>
            <w:r>
              <w:rPr>
                <w:rFonts w:hint="eastAsia" w:hAnsi="宋体"/>
                <w:color w:val="auto"/>
                <w:sz w:val="21"/>
                <w:szCs w:val="21"/>
              </w:rPr>
              <w:t>中:根据供应商监测的工作流程，周密性一般、具有可操作性，保证措施针对性-般，内部组织配合程度一般，应急处理方案一般合理，得</w:t>
            </w:r>
            <w:r>
              <w:rPr>
                <w:rFonts w:hAnsi="宋体"/>
                <w:color w:val="auto"/>
                <w:sz w:val="21"/>
                <w:szCs w:val="21"/>
              </w:rPr>
              <w:t>4</w:t>
            </w:r>
            <w:r>
              <w:rPr>
                <w:rFonts w:hint="eastAsia" w:hAnsi="宋体"/>
                <w:color w:val="auto"/>
                <w:sz w:val="21"/>
                <w:szCs w:val="21"/>
              </w:rPr>
              <w:t>分；</w:t>
            </w:r>
          </w:p>
          <w:p>
            <w:pPr>
              <w:rPr>
                <w:rFonts w:hAnsi="宋体"/>
                <w:color w:val="auto"/>
                <w:sz w:val="21"/>
                <w:szCs w:val="21"/>
              </w:rPr>
            </w:pPr>
            <w:r>
              <w:rPr>
                <w:rFonts w:hint="eastAsia" w:hAnsi="宋体"/>
                <w:color w:val="auto"/>
                <w:sz w:val="21"/>
                <w:szCs w:val="21"/>
              </w:rPr>
              <w:t>差:根据供应商监测的工作流程，周密性差、可操作性差,保证措施针对性差，内部组织配合程度、应急处理方案不够完善，得1分。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jc w:val="center"/>
        </w:trPr>
        <w:tc>
          <w:tcPr>
            <w:tcW w:w="81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Ansi="宋体"/>
                <w:color w:val="auto"/>
                <w:sz w:val="21"/>
                <w:szCs w:val="21"/>
              </w:rPr>
            </w:pPr>
            <w:r>
              <w:rPr>
                <w:rFonts w:hint="eastAsia" w:hAnsi="宋体"/>
                <w:color w:val="auto"/>
                <w:sz w:val="21"/>
                <w:szCs w:val="21"/>
              </w:rPr>
              <w:t>3</w:t>
            </w:r>
          </w:p>
        </w:tc>
        <w:tc>
          <w:tcPr>
            <w:tcW w:w="14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Ansi="宋体"/>
                <w:color w:val="auto"/>
                <w:sz w:val="21"/>
                <w:szCs w:val="21"/>
              </w:rPr>
            </w:pPr>
            <w:r>
              <w:rPr>
                <w:rFonts w:hint="eastAsia" w:hAnsi="宋体"/>
                <w:color w:val="auto"/>
                <w:sz w:val="21"/>
                <w:szCs w:val="21"/>
              </w:rPr>
              <w:t>设备配置方案</w:t>
            </w:r>
          </w:p>
        </w:tc>
        <w:tc>
          <w:tcPr>
            <w:tcW w:w="81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Ansi="宋体"/>
                <w:color w:val="auto"/>
                <w:sz w:val="21"/>
                <w:szCs w:val="21"/>
              </w:rPr>
            </w:pPr>
            <w:r>
              <w:rPr>
                <w:rFonts w:hAnsi="宋体"/>
                <w:color w:val="auto"/>
                <w:sz w:val="21"/>
                <w:szCs w:val="21"/>
              </w:rPr>
              <w:t>10</w:t>
            </w:r>
            <w:r>
              <w:rPr>
                <w:rFonts w:hint="eastAsia" w:hAnsi="宋体"/>
                <w:color w:val="auto"/>
                <w:sz w:val="21"/>
                <w:szCs w:val="21"/>
              </w:rPr>
              <w:t>分</w:t>
            </w:r>
          </w:p>
        </w:tc>
        <w:tc>
          <w:tcPr>
            <w:tcW w:w="6241" w:type="dxa"/>
            <w:tcBorders>
              <w:top w:val="single" w:color="auto" w:sz="4" w:space="0"/>
              <w:left w:val="single" w:color="auto" w:sz="4" w:space="0"/>
              <w:bottom w:val="single" w:color="auto" w:sz="4" w:space="0"/>
              <w:right w:val="single" w:color="auto" w:sz="4" w:space="0"/>
            </w:tcBorders>
            <w:vAlign w:val="center"/>
          </w:tcPr>
          <w:p>
            <w:pPr>
              <w:rPr>
                <w:rFonts w:hAnsi="宋体"/>
                <w:color w:val="auto"/>
                <w:sz w:val="21"/>
                <w:szCs w:val="21"/>
              </w:rPr>
            </w:pPr>
            <w:r>
              <w:rPr>
                <w:rFonts w:hint="eastAsia" w:hAnsi="宋体"/>
                <w:color w:val="auto"/>
                <w:sz w:val="21"/>
                <w:szCs w:val="21"/>
              </w:rPr>
              <w:t>优:根据供应商报投入设备种类、数量、采用先进机械、监测设备等综合评比为优的，得</w:t>
            </w:r>
            <w:r>
              <w:rPr>
                <w:rFonts w:hAnsi="宋体"/>
                <w:color w:val="auto"/>
                <w:sz w:val="21"/>
                <w:szCs w:val="21"/>
              </w:rPr>
              <w:t>10</w:t>
            </w:r>
            <w:r>
              <w:rPr>
                <w:rFonts w:hint="eastAsia" w:hAnsi="宋体"/>
                <w:color w:val="auto"/>
                <w:sz w:val="21"/>
                <w:szCs w:val="21"/>
              </w:rPr>
              <w:t>分；</w:t>
            </w:r>
          </w:p>
          <w:p>
            <w:pPr>
              <w:rPr>
                <w:rFonts w:hAnsi="宋体"/>
                <w:color w:val="auto"/>
                <w:sz w:val="21"/>
                <w:szCs w:val="21"/>
              </w:rPr>
            </w:pPr>
            <w:r>
              <w:rPr>
                <w:rFonts w:hint="eastAsia" w:hAnsi="宋体"/>
                <w:color w:val="auto"/>
                <w:sz w:val="21"/>
                <w:szCs w:val="21"/>
              </w:rPr>
              <w:t>良:根据供应商拟投入设备种类、数量、采用先进机械、.监测设备等综合评比为良的，得</w:t>
            </w:r>
            <w:r>
              <w:rPr>
                <w:rFonts w:hAnsi="宋体"/>
                <w:color w:val="auto"/>
                <w:sz w:val="21"/>
                <w:szCs w:val="21"/>
              </w:rPr>
              <w:t>7</w:t>
            </w:r>
            <w:r>
              <w:rPr>
                <w:rFonts w:hint="eastAsia" w:hAnsi="宋体"/>
                <w:color w:val="auto"/>
                <w:sz w:val="21"/>
                <w:szCs w:val="21"/>
              </w:rPr>
              <w:t>分；</w:t>
            </w:r>
          </w:p>
          <w:p>
            <w:pPr>
              <w:rPr>
                <w:rFonts w:hAnsi="宋体"/>
                <w:color w:val="auto"/>
                <w:sz w:val="21"/>
                <w:szCs w:val="21"/>
              </w:rPr>
            </w:pPr>
            <w:r>
              <w:rPr>
                <w:rFonts w:hint="eastAsia" w:hAnsi="宋体"/>
                <w:color w:val="auto"/>
                <w:sz w:val="21"/>
                <w:szCs w:val="21"/>
              </w:rPr>
              <w:t>中:根据供应商拟投入设备种类、数量、采用先进机械、监测设备等综合评比为中的，得</w:t>
            </w:r>
            <w:r>
              <w:rPr>
                <w:rFonts w:hAnsi="宋体"/>
                <w:color w:val="auto"/>
                <w:sz w:val="21"/>
                <w:szCs w:val="21"/>
              </w:rPr>
              <w:t>4</w:t>
            </w:r>
            <w:r>
              <w:rPr>
                <w:rFonts w:hint="eastAsia" w:hAnsi="宋体"/>
                <w:color w:val="auto"/>
                <w:sz w:val="21"/>
                <w:szCs w:val="21"/>
              </w:rPr>
              <w:t>分；</w:t>
            </w:r>
          </w:p>
          <w:p>
            <w:pPr>
              <w:rPr>
                <w:rFonts w:hAnsi="宋体"/>
                <w:color w:val="auto"/>
                <w:sz w:val="21"/>
                <w:szCs w:val="21"/>
              </w:rPr>
            </w:pPr>
            <w:r>
              <w:rPr>
                <w:rFonts w:hint="eastAsia" w:hAnsi="宋体"/>
                <w:color w:val="auto"/>
                <w:sz w:val="21"/>
                <w:szCs w:val="21"/>
              </w:rPr>
              <w:t>差:根据供应商拟投入设备种类、数量、采用先进机械、监测设备等综合评比为差的，得</w:t>
            </w:r>
            <w:r>
              <w:rPr>
                <w:rFonts w:hAnsi="宋体"/>
                <w:color w:val="auto"/>
                <w:sz w:val="21"/>
                <w:szCs w:val="21"/>
              </w:rPr>
              <w:t>1</w:t>
            </w:r>
            <w:r>
              <w:rPr>
                <w:rFonts w:hint="eastAsia" w:hAnsi="宋体"/>
                <w:color w:val="auto"/>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5" w:type="dxa"/>
            <w:tcBorders>
              <w:top w:val="single" w:color="auto" w:sz="4" w:space="0"/>
              <w:left w:val="single" w:color="auto" w:sz="4" w:space="0"/>
              <w:right w:val="single" w:color="auto" w:sz="4" w:space="0"/>
            </w:tcBorders>
            <w:vAlign w:val="center"/>
          </w:tcPr>
          <w:p>
            <w:pPr>
              <w:spacing w:line="360" w:lineRule="auto"/>
              <w:jc w:val="center"/>
              <w:rPr>
                <w:rFonts w:hAnsi="宋体"/>
                <w:color w:val="auto"/>
                <w:sz w:val="21"/>
                <w:szCs w:val="21"/>
              </w:rPr>
            </w:pPr>
            <w:r>
              <w:rPr>
                <w:rFonts w:hint="eastAsia" w:hAnsi="宋体"/>
                <w:color w:val="auto"/>
                <w:sz w:val="21"/>
                <w:szCs w:val="21"/>
              </w:rPr>
              <w:t>4</w:t>
            </w:r>
          </w:p>
        </w:tc>
        <w:tc>
          <w:tcPr>
            <w:tcW w:w="1450" w:type="dxa"/>
            <w:tcBorders>
              <w:top w:val="single" w:color="auto" w:sz="4" w:space="0"/>
              <w:left w:val="single" w:color="auto" w:sz="4" w:space="0"/>
              <w:right w:val="single" w:color="auto" w:sz="4" w:space="0"/>
            </w:tcBorders>
            <w:vAlign w:val="center"/>
          </w:tcPr>
          <w:p>
            <w:pPr>
              <w:spacing w:line="360" w:lineRule="auto"/>
              <w:jc w:val="center"/>
              <w:rPr>
                <w:rFonts w:hAnsi="宋体"/>
                <w:color w:val="auto"/>
                <w:sz w:val="21"/>
                <w:szCs w:val="21"/>
              </w:rPr>
            </w:pPr>
            <w:r>
              <w:rPr>
                <w:rFonts w:hint="eastAsia" w:hAnsi="宋体"/>
                <w:color w:val="auto"/>
                <w:sz w:val="21"/>
                <w:szCs w:val="21"/>
              </w:rPr>
              <w:t>安全、文明作业方案</w:t>
            </w:r>
          </w:p>
        </w:tc>
        <w:tc>
          <w:tcPr>
            <w:tcW w:w="81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Ansi="宋体"/>
                <w:color w:val="auto"/>
                <w:sz w:val="21"/>
                <w:szCs w:val="21"/>
              </w:rPr>
            </w:pPr>
            <w:r>
              <w:rPr>
                <w:rFonts w:hAnsi="宋体"/>
                <w:color w:val="auto"/>
                <w:sz w:val="21"/>
                <w:szCs w:val="21"/>
              </w:rPr>
              <w:t>10</w:t>
            </w:r>
            <w:r>
              <w:rPr>
                <w:rFonts w:hint="eastAsia" w:hAnsi="宋体"/>
                <w:color w:val="auto"/>
                <w:sz w:val="21"/>
                <w:szCs w:val="21"/>
              </w:rPr>
              <w:t>分</w:t>
            </w:r>
          </w:p>
        </w:tc>
        <w:tc>
          <w:tcPr>
            <w:tcW w:w="6241" w:type="dxa"/>
            <w:tcBorders>
              <w:top w:val="single" w:color="auto" w:sz="4" w:space="0"/>
              <w:left w:val="single" w:color="auto" w:sz="4" w:space="0"/>
              <w:bottom w:val="single" w:color="auto" w:sz="4" w:space="0"/>
              <w:right w:val="single" w:color="auto" w:sz="4" w:space="0"/>
            </w:tcBorders>
            <w:vAlign w:val="center"/>
          </w:tcPr>
          <w:p>
            <w:pPr>
              <w:rPr>
                <w:rFonts w:hAnsi="宋体"/>
                <w:color w:val="auto"/>
                <w:sz w:val="21"/>
                <w:szCs w:val="21"/>
              </w:rPr>
            </w:pPr>
            <w:r>
              <w:rPr>
                <w:rFonts w:hint="eastAsia" w:hAnsi="宋体"/>
                <w:color w:val="auto"/>
                <w:sz w:val="21"/>
                <w:szCs w:val="21"/>
              </w:rPr>
              <w:t>优:根据供应商的安全、文明作业方案的合理性、科学性、完整性及可操作性等方面综合评比为优的，得</w:t>
            </w:r>
            <w:r>
              <w:rPr>
                <w:rFonts w:hAnsi="宋体"/>
                <w:color w:val="auto"/>
                <w:sz w:val="21"/>
                <w:szCs w:val="21"/>
              </w:rPr>
              <w:t>10</w:t>
            </w:r>
            <w:r>
              <w:rPr>
                <w:rFonts w:hint="eastAsia" w:hAnsi="宋体"/>
                <w:color w:val="auto"/>
                <w:sz w:val="21"/>
                <w:szCs w:val="21"/>
              </w:rPr>
              <w:t>分；</w:t>
            </w:r>
          </w:p>
          <w:p>
            <w:pPr>
              <w:rPr>
                <w:rFonts w:hAnsi="宋体"/>
                <w:color w:val="auto"/>
                <w:sz w:val="21"/>
                <w:szCs w:val="21"/>
              </w:rPr>
            </w:pPr>
            <w:r>
              <w:rPr>
                <w:rFonts w:hint="eastAsia" w:hAnsi="宋体"/>
                <w:color w:val="auto"/>
                <w:sz w:val="21"/>
                <w:szCs w:val="21"/>
              </w:rPr>
              <w:t>良:根据供应商的安全、文明作业方案的合理性、科学性、完整性及可操作性等方面综合评比为良的，得</w:t>
            </w:r>
            <w:r>
              <w:rPr>
                <w:rFonts w:hAnsi="宋体"/>
                <w:color w:val="auto"/>
                <w:sz w:val="21"/>
                <w:szCs w:val="21"/>
              </w:rPr>
              <w:t>7</w:t>
            </w:r>
            <w:r>
              <w:rPr>
                <w:rFonts w:hint="eastAsia" w:hAnsi="宋体"/>
                <w:color w:val="auto"/>
                <w:sz w:val="21"/>
                <w:szCs w:val="21"/>
              </w:rPr>
              <w:t>分；</w:t>
            </w:r>
          </w:p>
          <w:p>
            <w:pPr>
              <w:rPr>
                <w:rFonts w:hAnsi="宋体"/>
                <w:color w:val="auto"/>
                <w:sz w:val="21"/>
                <w:szCs w:val="21"/>
              </w:rPr>
            </w:pPr>
            <w:r>
              <w:rPr>
                <w:rFonts w:hint="eastAsia" w:hAnsi="宋体"/>
                <w:color w:val="auto"/>
                <w:sz w:val="21"/>
                <w:szCs w:val="21"/>
              </w:rPr>
              <w:t>中:根据供应商的安全、文明作业方案的合理性、科学性、完整性及可操作性等方面综合评比为中的，得</w:t>
            </w:r>
            <w:r>
              <w:rPr>
                <w:rFonts w:hAnsi="宋体"/>
                <w:color w:val="auto"/>
                <w:sz w:val="21"/>
                <w:szCs w:val="21"/>
              </w:rPr>
              <w:t>4</w:t>
            </w:r>
            <w:r>
              <w:rPr>
                <w:rFonts w:hint="eastAsia" w:hAnsi="宋体"/>
                <w:color w:val="auto"/>
                <w:sz w:val="21"/>
                <w:szCs w:val="21"/>
              </w:rPr>
              <w:t>分；</w:t>
            </w:r>
          </w:p>
          <w:p>
            <w:pPr>
              <w:rPr>
                <w:rFonts w:hAnsi="宋体"/>
                <w:color w:val="auto"/>
                <w:sz w:val="21"/>
                <w:szCs w:val="21"/>
              </w:rPr>
            </w:pPr>
            <w:r>
              <w:rPr>
                <w:rFonts w:hint="eastAsia" w:hAnsi="宋体"/>
                <w:color w:val="auto"/>
                <w:sz w:val="21"/>
                <w:szCs w:val="21"/>
              </w:rPr>
              <w:t>差:根据供应商的安全、文明作业方案的合理性、科学性、完整性及可操作性等方面综合评比为差的，得</w:t>
            </w:r>
            <w:r>
              <w:rPr>
                <w:rFonts w:hAnsi="宋体"/>
                <w:color w:val="auto"/>
                <w:sz w:val="21"/>
                <w:szCs w:val="21"/>
              </w:rPr>
              <w:t>1</w:t>
            </w:r>
            <w:r>
              <w:rPr>
                <w:rFonts w:hint="eastAsia" w:hAnsi="宋体"/>
                <w:color w:val="auto"/>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Ansi="宋体"/>
                <w:color w:val="auto"/>
                <w:sz w:val="21"/>
                <w:szCs w:val="21"/>
              </w:rPr>
            </w:pPr>
            <w:r>
              <w:rPr>
                <w:rFonts w:hint="eastAsia" w:hAnsi="宋体"/>
                <w:color w:val="auto"/>
                <w:sz w:val="21"/>
                <w:szCs w:val="21"/>
              </w:rPr>
              <w:t>5</w:t>
            </w:r>
          </w:p>
        </w:tc>
        <w:tc>
          <w:tcPr>
            <w:tcW w:w="14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Ansi="宋体"/>
                <w:color w:val="auto"/>
                <w:sz w:val="21"/>
                <w:szCs w:val="21"/>
              </w:rPr>
            </w:pPr>
            <w:r>
              <w:rPr>
                <w:rFonts w:hint="eastAsia" w:hAnsi="宋体"/>
                <w:color w:val="auto"/>
                <w:sz w:val="21"/>
                <w:szCs w:val="21"/>
              </w:rPr>
              <w:t>进度保障</w:t>
            </w:r>
          </w:p>
        </w:tc>
        <w:tc>
          <w:tcPr>
            <w:tcW w:w="81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Ansi="宋体"/>
                <w:color w:val="auto"/>
                <w:sz w:val="21"/>
                <w:szCs w:val="21"/>
              </w:rPr>
            </w:pPr>
            <w:r>
              <w:rPr>
                <w:rFonts w:hAnsi="宋体"/>
                <w:color w:val="auto"/>
                <w:sz w:val="21"/>
                <w:szCs w:val="21"/>
              </w:rPr>
              <w:t>10</w:t>
            </w:r>
            <w:r>
              <w:rPr>
                <w:rFonts w:hint="eastAsia" w:hAnsi="宋体"/>
                <w:color w:val="auto"/>
                <w:sz w:val="21"/>
                <w:szCs w:val="21"/>
              </w:rPr>
              <w:t>分</w:t>
            </w:r>
          </w:p>
        </w:tc>
        <w:tc>
          <w:tcPr>
            <w:tcW w:w="6241" w:type="dxa"/>
            <w:tcBorders>
              <w:top w:val="single" w:color="auto" w:sz="4" w:space="0"/>
              <w:left w:val="single" w:color="auto" w:sz="4" w:space="0"/>
              <w:bottom w:val="single" w:color="auto" w:sz="4" w:space="0"/>
              <w:right w:val="single" w:color="auto" w:sz="4" w:space="0"/>
            </w:tcBorders>
            <w:vAlign w:val="center"/>
          </w:tcPr>
          <w:p>
            <w:pPr>
              <w:rPr>
                <w:rFonts w:hAnsi="宋体"/>
                <w:color w:val="auto"/>
                <w:sz w:val="21"/>
                <w:szCs w:val="21"/>
              </w:rPr>
            </w:pPr>
            <w:r>
              <w:rPr>
                <w:rFonts w:hint="eastAsia" w:hAnsi="宋体"/>
                <w:color w:val="auto"/>
                <w:sz w:val="21"/>
                <w:szCs w:val="21"/>
              </w:rPr>
              <w:t>优:根据供应商的进度安排，节点控制很好，目标明确，进度保证实现措施充分，工作计划分配体系完整，实施畅通，得</w:t>
            </w:r>
            <w:r>
              <w:rPr>
                <w:rFonts w:hAnsi="宋体"/>
                <w:color w:val="auto"/>
                <w:sz w:val="21"/>
                <w:szCs w:val="21"/>
              </w:rPr>
              <w:t>10</w:t>
            </w:r>
            <w:r>
              <w:rPr>
                <w:rFonts w:hint="eastAsia" w:hAnsi="宋体"/>
                <w:color w:val="auto"/>
                <w:sz w:val="21"/>
                <w:szCs w:val="21"/>
              </w:rPr>
              <w:t>分；</w:t>
            </w:r>
          </w:p>
          <w:p>
            <w:pPr>
              <w:rPr>
                <w:rFonts w:hAnsi="宋体"/>
                <w:color w:val="auto"/>
                <w:sz w:val="21"/>
                <w:szCs w:val="21"/>
              </w:rPr>
            </w:pPr>
            <w:r>
              <w:rPr>
                <w:rFonts w:hint="eastAsia" w:hAnsi="宋体"/>
                <w:color w:val="auto"/>
                <w:sz w:val="21"/>
                <w:szCs w:val="21"/>
              </w:rPr>
              <w:t>良:根据供应商的进度安排，节点控制比较好，目标明确，进度保证实现措施比较充分，工作计划分配体系完整，得</w:t>
            </w:r>
            <w:r>
              <w:rPr>
                <w:rFonts w:hAnsi="宋体"/>
                <w:color w:val="auto"/>
                <w:sz w:val="21"/>
                <w:szCs w:val="21"/>
              </w:rPr>
              <w:t>7</w:t>
            </w:r>
            <w:r>
              <w:rPr>
                <w:rFonts w:hint="eastAsia" w:hAnsi="宋体"/>
                <w:color w:val="auto"/>
                <w:sz w:val="21"/>
                <w:szCs w:val="21"/>
              </w:rPr>
              <w:t>分；</w:t>
            </w:r>
          </w:p>
          <w:p>
            <w:pPr>
              <w:rPr>
                <w:rFonts w:hAnsi="宋体"/>
                <w:color w:val="auto"/>
                <w:sz w:val="21"/>
                <w:szCs w:val="21"/>
              </w:rPr>
            </w:pPr>
            <w:r>
              <w:rPr>
                <w:rFonts w:hint="eastAsia" w:hAnsi="宋体"/>
                <w:color w:val="auto"/>
                <w:sz w:val="21"/>
                <w:szCs w:val="21"/>
              </w:rPr>
              <w:t>中:根据供应商的进度安排，有一定的进度安排节点控制方法，有确定进度目标，得</w:t>
            </w:r>
            <w:r>
              <w:rPr>
                <w:rFonts w:hAnsi="宋体"/>
                <w:color w:val="auto"/>
                <w:sz w:val="21"/>
                <w:szCs w:val="21"/>
              </w:rPr>
              <w:t>4</w:t>
            </w:r>
            <w:r>
              <w:rPr>
                <w:rFonts w:hint="eastAsia" w:hAnsi="宋体"/>
                <w:color w:val="auto"/>
                <w:sz w:val="21"/>
                <w:szCs w:val="21"/>
              </w:rPr>
              <w:t>分；</w:t>
            </w:r>
          </w:p>
          <w:p>
            <w:pPr>
              <w:rPr>
                <w:rFonts w:hAnsi="宋体"/>
                <w:color w:val="auto"/>
                <w:sz w:val="21"/>
                <w:szCs w:val="21"/>
              </w:rPr>
            </w:pPr>
            <w:r>
              <w:rPr>
                <w:rFonts w:hint="eastAsia" w:hAnsi="宋体"/>
                <w:color w:val="auto"/>
                <w:sz w:val="21"/>
                <w:szCs w:val="21"/>
              </w:rPr>
              <w:t>差:根据供应商的进度安排，进度安排节点控制方法不完善，有确定进度目标，得1分。</w:t>
            </w:r>
          </w:p>
        </w:tc>
      </w:tr>
    </w:tbl>
    <w:p>
      <w:pPr>
        <w:tabs>
          <w:tab w:val="left" w:pos="2639"/>
        </w:tabs>
        <w:jc w:val="left"/>
        <w:rPr>
          <w:rFonts w:hint="eastAsia" w:eastAsia="宋体"/>
          <w:color w:val="auto"/>
          <w:lang w:eastAsia="zh-CN"/>
        </w:rPr>
      </w:pPr>
      <w:r>
        <w:rPr>
          <w:rFonts w:hint="eastAsia"/>
          <w:color w:val="auto"/>
          <w:lang w:eastAsia="zh-CN"/>
        </w:rPr>
        <w:tab/>
      </w:r>
    </w:p>
    <w:p>
      <w:pPr>
        <w:rPr>
          <w:rFonts w:ascii="仿宋_GB2312" w:hAnsi="仿宋_GB2312" w:cs="仿宋_GB2312"/>
          <w:color w:val="auto"/>
          <w:szCs w:val="21"/>
        </w:rPr>
      </w:pPr>
    </w:p>
    <w:p>
      <w:pPr>
        <w:rPr>
          <w:rFonts w:ascii="仿宋_GB2312" w:hAnsi="仿宋_GB2312" w:cs="仿宋_GB2312"/>
          <w:color w:val="auto"/>
        </w:rPr>
      </w:pPr>
    </w:p>
    <w:p>
      <w:pPr>
        <w:pStyle w:val="40"/>
        <w:ind w:firstLine="0" w:firstLineChars="0"/>
        <w:jc w:val="left"/>
        <w:outlineLvl w:val="1"/>
        <w:rPr>
          <w:rFonts w:eastAsia="黑体"/>
          <w:color w:val="auto"/>
          <w:sz w:val="28"/>
          <w:szCs w:val="44"/>
        </w:rPr>
      </w:pPr>
    </w:p>
    <w:p>
      <w:pPr>
        <w:pStyle w:val="40"/>
        <w:ind w:firstLine="0" w:firstLineChars="0"/>
        <w:jc w:val="left"/>
        <w:outlineLvl w:val="1"/>
        <w:rPr>
          <w:rFonts w:eastAsia="黑体"/>
          <w:color w:val="auto"/>
          <w:sz w:val="28"/>
          <w:szCs w:val="44"/>
        </w:rPr>
        <w:sectPr>
          <w:headerReference r:id="rId5" w:type="first"/>
          <w:footerReference r:id="rId7" w:type="first"/>
          <w:headerReference r:id="rId4" w:type="default"/>
          <w:footerReference r:id="rId6" w:type="default"/>
          <w:pgSz w:w="11907" w:h="16840"/>
          <w:pgMar w:top="1440" w:right="1134" w:bottom="1440" w:left="1134" w:header="851" w:footer="720" w:gutter="0"/>
          <w:cols w:space="720" w:num="1"/>
          <w:titlePg/>
          <w:docGrid w:linePitch="326" w:charSpace="0"/>
        </w:sectPr>
      </w:pPr>
    </w:p>
    <w:p>
      <w:pPr>
        <w:pStyle w:val="40"/>
        <w:ind w:firstLine="0" w:firstLineChars="0"/>
        <w:jc w:val="left"/>
        <w:outlineLvl w:val="1"/>
        <w:rPr>
          <w:rFonts w:eastAsia="黑体"/>
          <w:color w:val="auto"/>
          <w:sz w:val="28"/>
          <w:szCs w:val="44"/>
        </w:rPr>
      </w:pPr>
      <w:r>
        <w:rPr>
          <w:rFonts w:hint="eastAsia" w:eastAsia="黑体"/>
          <w:color w:val="auto"/>
          <w:sz w:val="28"/>
          <w:szCs w:val="44"/>
        </w:rPr>
        <w:t>附件一报价函</w:t>
      </w:r>
    </w:p>
    <w:p>
      <w:pPr>
        <w:jc w:val="center"/>
        <w:rPr>
          <w:rFonts w:eastAsia="华文中宋"/>
          <w:color w:val="auto"/>
          <w:sz w:val="44"/>
          <w:szCs w:val="44"/>
        </w:rPr>
      </w:pPr>
      <w:r>
        <w:rPr>
          <w:rFonts w:hint="eastAsia" w:eastAsia="华文中宋"/>
          <w:color w:val="auto"/>
          <w:sz w:val="44"/>
          <w:szCs w:val="44"/>
        </w:rPr>
        <w:t>报价函</w:t>
      </w:r>
    </w:p>
    <w:p>
      <w:pPr>
        <w:ind w:firstLine="560"/>
        <w:jc w:val="center"/>
        <w:rPr>
          <w:rFonts w:eastAsia="仿宋_GB2312"/>
          <w:color w:val="auto"/>
          <w:sz w:val="32"/>
          <w:szCs w:val="32"/>
        </w:rPr>
      </w:pPr>
    </w:p>
    <w:p>
      <w:pPr>
        <w:rPr>
          <w:rFonts w:eastAsia="仿宋_GB2312"/>
          <w:color w:val="auto"/>
          <w:sz w:val="32"/>
          <w:szCs w:val="32"/>
        </w:rPr>
      </w:pPr>
      <w:r>
        <w:rPr>
          <w:rFonts w:eastAsia="仿宋_GB2312"/>
          <w:color w:val="auto"/>
          <w:sz w:val="32"/>
          <w:szCs w:val="32"/>
          <w:u w:val="single"/>
        </w:rPr>
        <w:t xml:space="preserve"> </w:t>
      </w:r>
      <w:r>
        <w:rPr>
          <w:rFonts w:hint="eastAsia" w:eastAsia="仿宋_GB2312"/>
          <w:color w:val="auto"/>
          <w:sz w:val="32"/>
          <w:szCs w:val="32"/>
          <w:u w:val="single"/>
          <w:lang w:eastAsia="zh-CN"/>
        </w:rPr>
        <w:t>东莞市莞城建筑工程有限公司</w:t>
      </w:r>
      <w:r>
        <w:rPr>
          <w:rFonts w:hint="eastAsia" w:eastAsia="仿宋_GB2312"/>
          <w:color w:val="auto"/>
          <w:sz w:val="32"/>
          <w:szCs w:val="32"/>
        </w:rPr>
        <w:t>：</w:t>
      </w:r>
    </w:p>
    <w:p>
      <w:pPr>
        <w:ind w:firstLine="640" w:firstLineChars="200"/>
        <w:rPr>
          <w:rFonts w:eastAsia="仿宋_GB2312"/>
          <w:color w:val="auto"/>
          <w:sz w:val="32"/>
          <w:szCs w:val="32"/>
        </w:rPr>
      </w:pPr>
      <w:r>
        <w:rPr>
          <w:rFonts w:hint="eastAsia" w:eastAsia="仿宋_GB2312"/>
          <w:color w:val="auto"/>
          <w:sz w:val="32"/>
          <w:szCs w:val="32"/>
        </w:rPr>
        <w:t>针对贵司</w:t>
      </w:r>
      <w:r>
        <w:rPr>
          <w:rFonts w:hint="eastAsia" w:eastAsia="仿宋_GB2312"/>
          <w:color w:val="auto"/>
          <w:sz w:val="32"/>
          <w:szCs w:val="32"/>
          <w:u w:val="single"/>
          <w:lang w:eastAsia="zh-CN"/>
        </w:rPr>
        <w:t>广东省东莞市城区配套物流仓储建设项目-基坑监测</w:t>
      </w:r>
      <w:r>
        <w:rPr>
          <w:rFonts w:hint="eastAsia" w:eastAsia="仿宋_GB2312"/>
          <w:color w:val="auto"/>
          <w:sz w:val="32"/>
          <w:szCs w:val="32"/>
          <w:u w:val="single"/>
          <w:lang w:val="en-US" w:eastAsia="zh-CN"/>
        </w:rPr>
        <w:t>服务</w:t>
      </w:r>
      <w:r>
        <w:rPr>
          <w:rFonts w:hint="eastAsia" w:eastAsia="仿宋_GB2312"/>
          <w:color w:val="auto"/>
          <w:sz w:val="32"/>
          <w:szCs w:val="32"/>
        </w:rPr>
        <w:t>项目，我司愿意以基坑监测服务收费系数</w:t>
      </w:r>
      <w:r>
        <w:rPr>
          <w:rFonts w:hint="eastAsia" w:eastAsia="仿宋_GB2312"/>
          <w:color w:val="auto"/>
          <w:sz w:val="32"/>
          <w:szCs w:val="32"/>
          <w:u w:val="single"/>
          <w:lang w:val="en-US" w:eastAsia="zh-CN"/>
        </w:rPr>
        <w:t xml:space="preserve">    </w:t>
      </w:r>
      <w:r>
        <w:rPr>
          <w:rFonts w:hint="eastAsia" w:eastAsia="仿宋_GB2312"/>
          <w:color w:val="auto"/>
          <w:sz w:val="32"/>
          <w:szCs w:val="32"/>
          <w:u w:val="single"/>
        </w:rPr>
        <w:t>（必填），税率</w:t>
      </w:r>
      <w:r>
        <w:rPr>
          <w:rFonts w:hint="eastAsia" w:eastAsia="仿宋_GB2312"/>
          <w:color w:val="auto"/>
          <w:sz w:val="32"/>
          <w:szCs w:val="32"/>
          <w:u w:val="single"/>
          <w:lang w:val="en-US" w:eastAsia="zh-CN"/>
        </w:rPr>
        <w:t xml:space="preserve">   </w:t>
      </w:r>
      <w:r>
        <w:rPr>
          <w:rFonts w:hint="eastAsia" w:eastAsia="仿宋_GB2312"/>
          <w:color w:val="auto"/>
          <w:sz w:val="32"/>
          <w:szCs w:val="32"/>
          <w:u w:val="single"/>
        </w:rPr>
        <w:t>（必填）%</w:t>
      </w:r>
      <w:r>
        <w:rPr>
          <w:rFonts w:hint="eastAsia" w:eastAsia="仿宋_GB2312"/>
          <w:color w:val="auto"/>
          <w:sz w:val="32"/>
          <w:szCs w:val="32"/>
          <w:u w:val="single"/>
          <w:lang w:val="en-US" w:eastAsia="zh-CN"/>
        </w:rPr>
        <w:t xml:space="preserve">  暂定总价（含税）</w:t>
      </w:r>
      <w:r>
        <w:rPr>
          <w:rFonts w:hint="eastAsia" w:eastAsia="仿宋_GB2312"/>
          <w:color w:val="auto"/>
          <w:sz w:val="32"/>
          <w:szCs w:val="32"/>
          <w:u w:val="single"/>
        </w:rPr>
        <w:t>（必填）</w:t>
      </w:r>
      <w:r>
        <w:rPr>
          <w:rFonts w:hint="eastAsia" w:eastAsia="仿宋_GB2312"/>
          <w:color w:val="auto"/>
          <w:sz w:val="32"/>
          <w:szCs w:val="32"/>
          <w:u w:val="single"/>
          <w:lang w:val="en-US" w:eastAsia="zh-CN"/>
        </w:rPr>
        <w:t xml:space="preserve">元   </w:t>
      </w:r>
      <w:r>
        <w:rPr>
          <w:rFonts w:hint="eastAsia" w:eastAsia="仿宋_GB2312"/>
          <w:color w:val="auto"/>
          <w:sz w:val="32"/>
          <w:szCs w:val="32"/>
        </w:rPr>
        <w:t>承接此项目。</w:t>
      </w:r>
    </w:p>
    <w:p>
      <w:pPr>
        <w:rPr>
          <w:rFonts w:eastAsia="仿宋_GB2312"/>
          <w:color w:val="auto"/>
          <w:sz w:val="32"/>
          <w:szCs w:val="32"/>
        </w:rPr>
      </w:pPr>
    </w:p>
    <w:p>
      <w:pPr>
        <w:rPr>
          <w:rFonts w:eastAsia="仿宋_GB2312"/>
          <w:color w:val="auto"/>
          <w:sz w:val="32"/>
          <w:szCs w:val="32"/>
        </w:rPr>
      </w:pPr>
    </w:p>
    <w:p>
      <w:pPr>
        <w:jc w:val="left"/>
        <w:rPr>
          <w:rFonts w:eastAsia="仿宋_GB2312"/>
          <w:color w:val="auto"/>
          <w:sz w:val="32"/>
          <w:szCs w:val="32"/>
        </w:rPr>
      </w:pPr>
      <w:r>
        <w:rPr>
          <w:rFonts w:hint="eastAsia" w:eastAsia="仿宋_GB2312"/>
          <w:color w:val="auto"/>
          <w:sz w:val="32"/>
          <w:szCs w:val="32"/>
        </w:rPr>
        <w:t>响应人名称（加盖公章）：</w:t>
      </w:r>
    </w:p>
    <w:p>
      <w:pPr>
        <w:jc w:val="left"/>
        <w:rPr>
          <w:rFonts w:eastAsia="仿宋_GB2312"/>
          <w:color w:val="auto"/>
          <w:sz w:val="32"/>
          <w:szCs w:val="32"/>
        </w:rPr>
      </w:pPr>
      <w:r>
        <w:rPr>
          <w:rFonts w:hint="eastAsia" w:eastAsia="仿宋_GB2312"/>
          <w:color w:val="auto"/>
          <w:sz w:val="32"/>
          <w:szCs w:val="32"/>
        </w:rPr>
        <w:t>法定代表人（签名或盖章）：</w:t>
      </w:r>
    </w:p>
    <w:p>
      <w:pPr>
        <w:jc w:val="left"/>
        <w:rPr>
          <w:rFonts w:eastAsia="仿宋_GB2312"/>
          <w:color w:val="auto"/>
          <w:sz w:val="32"/>
          <w:szCs w:val="32"/>
        </w:rPr>
      </w:pPr>
      <w:r>
        <w:rPr>
          <w:rFonts w:hint="eastAsia" w:eastAsia="仿宋_GB2312"/>
          <w:color w:val="auto"/>
          <w:sz w:val="32"/>
          <w:szCs w:val="32"/>
        </w:rPr>
        <w:t>联系人：</w:t>
      </w:r>
    </w:p>
    <w:p>
      <w:pPr>
        <w:jc w:val="left"/>
        <w:rPr>
          <w:rFonts w:eastAsia="仿宋_GB2312"/>
          <w:color w:val="auto"/>
          <w:sz w:val="32"/>
          <w:szCs w:val="32"/>
        </w:rPr>
      </w:pPr>
      <w:r>
        <w:rPr>
          <w:rFonts w:hint="eastAsia" w:eastAsia="仿宋_GB2312"/>
          <w:color w:val="auto"/>
          <w:sz w:val="32"/>
          <w:szCs w:val="32"/>
        </w:rPr>
        <w:t>联系电话：</w:t>
      </w:r>
    </w:p>
    <w:p>
      <w:pPr>
        <w:jc w:val="left"/>
        <w:rPr>
          <w:rFonts w:eastAsia="仿宋_GB2312"/>
          <w:color w:val="auto"/>
          <w:sz w:val="32"/>
          <w:szCs w:val="32"/>
        </w:rPr>
      </w:pPr>
      <w:r>
        <w:rPr>
          <w:rFonts w:hint="eastAsia" w:eastAsia="仿宋_GB2312"/>
          <w:color w:val="auto"/>
          <w:sz w:val="32"/>
          <w:szCs w:val="32"/>
        </w:rPr>
        <w:t>日期：</w:t>
      </w:r>
    </w:p>
    <w:p>
      <w:pPr>
        <w:rPr>
          <w:rFonts w:eastAsia="仿宋_GB2312"/>
          <w:color w:val="auto"/>
          <w:sz w:val="32"/>
          <w:szCs w:val="32"/>
        </w:rPr>
      </w:pPr>
    </w:p>
    <w:p>
      <w:pPr>
        <w:pStyle w:val="4"/>
        <w:rPr>
          <w:rFonts w:eastAsia="仿宋_GB2312"/>
          <w:color w:val="auto"/>
        </w:rPr>
      </w:pPr>
    </w:p>
    <w:p>
      <w:pPr>
        <w:rPr>
          <w:rFonts w:eastAsia="仿宋_GB2312"/>
          <w:color w:val="auto"/>
          <w:sz w:val="32"/>
          <w:szCs w:val="32"/>
        </w:rPr>
      </w:pPr>
    </w:p>
    <w:p>
      <w:pPr>
        <w:spacing w:line="540" w:lineRule="exact"/>
        <w:jc w:val="center"/>
        <w:rPr>
          <w:rFonts w:hint="eastAsia" w:ascii="宋体" w:hAnsi="宋体" w:cs="宋体"/>
          <w:b/>
          <w:bCs/>
          <w:color w:val="auto"/>
          <w:szCs w:val="21"/>
        </w:rPr>
      </w:pPr>
      <w:r>
        <w:rPr>
          <w:color w:val="auto"/>
        </w:rPr>
        <w:br w:type="page"/>
      </w:r>
      <w:bookmarkStart w:id="2" w:name="_Toc210188793"/>
      <w:bookmarkStart w:id="3" w:name="_Toc88985366"/>
      <w:bookmarkStart w:id="4" w:name="_Toc417050358"/>
      <w:r>
        <w:rPr>
          <w:rFonts w:hint="eastAsia" w:ascii="宋体" w:hAnsi="宋体" w:cs="宋体"/>
          <w:b/>
          <w:bCs/>
          <w:color w:val="auto"/>
          <w:szCs w:val="21"/>
        </w:rPr>
        <w:t>一、</w:t>
      </w:r>
      <w:bookmarkEnd w:id="2"/>
      <w:bookmarkEnd w:id="3"/>
      <w:r>
        <w:rPr>
          <w:rFonts w:hint="eastAsia" w:ascii="宋体" w:hAnsi="宋体" w:cs="宋体"/>
          <w:b/>
          <w:bCs/>
          <w:color w:val="auto"/>
          <w:szCs w:val="21"/>
        </w:rPr>
        <w:t>价格文件</w:t>
      </w:r>
      <w:bookmarkEnd w:id="4"/>
    </w:p>
    <w:p>
      <w:pPr>
        <w:pStyle w:val="64"/>
        <w:spacing w:line="540" w:lineRule="exact"/>
        <w:jc w:val="center"/>
        <w:rPr>
          <w:rFonts w:hint="eastAsia" w:cs="宋体"/>
          <w:color w:val="auto"/>
          <w:sz w:val="21"/>
          <w:szCs w:val="21"/>
        </w:rPr>
      </w:pPr>
      <w:bookmarkStart w:id="5" w:name="_Toc17289"/>
      <w:r>
        <w:rPr>
          <w:rFonts w:hint="eastAsia" w:cs="宋体"/>
          <w:color w:val="auto"/>
          <w:sz w:val="21"/>
          <w:szCs w:val="21"/>
        </w:rPr>
        <w:t>（一）首次报价一览表</w:t>
      </w:r>
      <w:bookmarkEnd w:id="5"/>
    </w:p>
    <w:tbl>
      <w:tblPr>
        <w:tblStyle w:val="21"/>
        <w:tblW w:w="4771"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053"/>
        <w:gridCol w:w="1005"/>
        <w:gridCol w:w="1892"/>
        <w:gridCol w:w="1892"/>
        <w:gridCol w:w="1892"/>
        <w:gridCol w:w="167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35" w:hRule="atLeast"/>
          <w:jc w:val="center"/>
        </w:trPr>
        <w:tc>
          <w:tcPr>
            <w:tcW w:w="560" w:type="pct"/>
            <w:noWrap w:val="0"/>
            <w:vAlign w:val="center"/>
          </w:tcPr>
          <w:p>
            <w:pPr>
              <w:overflowPunct w:val="0"/>
              <w:spacing w:line="540" w:lineRule="exact"/>
              <w:jc w:val="center"/>
              <w:rPr>
                <w:rFonts w:hint="eastAsia" w:ascii="宋体" w:hAnsi="宋体" w:cs="宋体"/>
                <w:b/>
                <w:color w:val="auto"/>
                <w:szCs w:val="21"/>
              </w:rPr>
            </w:pPr>
            <w:r>
              <w:rPr>
                <w:rFonts w:hint="eastAsia" w:ascii="宋体" w:hAnsi="宋体" w:cs="宋体"/>
                <w:b/>
                <w:color w:val="auto"/>
                <w:szCs w:val="21"/>
              </w:rPr>
              <w:t>项目编号</w:t>
            </w:r>
          </w:p>
        </w:tc>
        <w:tc>
          <w:tcPr>
            <w:tcW w:w="534" w:type="pct"/>
            <w:noWrap w:val="0"/>
            <w:vAlign w:val="center"/>
          </w:tcPr>
          <w:p>
            <w:pPr>
              <w:overflowPunct w:val="0"/>
              <w:spacing w:line="540" w:lineRule="exact"/>
              <w:jc w:val="center"/>
              <w:rPr>
                <w:rFonts w:hint="eastAsia" w:ascii="宋体" w:hAnsi="宋体" w:cs="宋体"/>
                <w:b/>
                <w:color w:val="auto"/>
                <w:szCs w:val="21"/>
              </w:rPr>
            </w:pPr>
            <w:r>
              <w:rPr>
                <w:rFonts w:hint="eastAsia" w:ascii="宋体" w:hAnsi="宋体" w:cs="宋体"/>
                <w:b/>
                <w:color w:val="auto"/>
                <w:szCs w:val="21"/>
              </w:rPr>
              <w:t>项目名称</w:t>
            </w:r>
          </w:p>
        </w:tc>
        <w:tc>
          <w:tcPr>
            <w:tcW w:w="1005" w:type="pct"/>
            <w:noWrap w:val="0"/>
            <w:vAlign w:val="center"/>
          </w:tcPr>
          <w:p>
            <w:pPr>
              <w:overflowPunct w:val="0"/>
              <w:spacing w:line="540" w:lineRule="exact"/>
              <w:jc w:val="center"/>
              <w:rPr>
                <w:rFonts w:hint="default" w:eastAsia="宋体"/>
                <w:color w:val="auto"/>
                <w:lang w:val="en-US" w:eastAsia="zh-CN"/>
              </w:rPr>
            </w:pPr>
            <w:r>
              <w:rPr>
                <w:rFonts w:hint="eastAsia"/>
                <w:color w:val="auto"/>
                <w:lang w:val="en-US" w:eastAsia="zh-CN"/>
              </w:rPr>
              <w:t>计费基数（元）</w:t>
            </w:r>
          </w:p>
        </w:tc>
        <w:tc>
          <w:tcPr>
            <w:tcW w:w="1005" w:type="pct"/>
            <w:noWrap w:val="0"/>
            <w:vAlign w:val="center"/>
          </w:tcPr>
          <w:p>
            <w:pPr>
              <w:overflowPunct w:val="0"/>
              <w:spacing w:line="540" w:lineRule="exact"/>
              <w:jc w:val="center"/>
              <w:rPr>
                <w:rFonts w:hint="eastAsia"/>
                <w:color w:val="auto"/>
              </w:rPr>
            </w:pPr>
            <w:r>
              <w:rPr>
                <w:rFonts w:hint="eastAsia"/>
                <w:color w:val="auto"/>
              </w:rPr>
              <w:t>服务收费系数</w:t>
            </w:r>
          </w:p>
        </w:tc>
        <w:tc>
          <w:tcPr>
            <w:tcW w:w="1005" w:type="pct"/>
            <w:noWrap w:val="0"/>
            <w:vAlign w:val="center"/>
          </w:tcPr>
          <w:p>
            <w:pPr>
              <w:overflowPunct w:val="0"/>
              <w:spacing w:line="540" w:lineRule="exact"/>
              <w:jc w:val="center"/>
              <w:rPr>
                <w:rFonts w:hint="eastAsia" w:ascii="宋体" w:hAnsi="宋体" w:cs="宋体"/>
                <w:b/>
                <w:color w:val="auto"/>
                <w:szCs w:val="21"/>
              </w:rPr>
            </w:pPr>
            <w:r>
              <w:rPr>
                <w:rFonts w:hint="eastAsia" w:hAnsi="宋体" w:cs="宋体"/>
                <w:color w:val="auto"/>
                <w:szCs w:val="21"/>
              </w:rPr>
              <w:t>投标暂定总价/元</w:t>
            </w:r>
          </w:p>
        </w:tc>
        <w:tc>
          <w:tcPr>
            <w:tcW w:w="887" w:type="pct"/>
            <w:noWrap w:val="0"/>
            <w:vAlign w:val="center"/>
          </w:tcPr>
          <w:p>
            <w:pPr>
              <w:overflowPunct w:val="0"/>
              <w:spacing w:line="540" w:lineRule="exact"/>
              <w:jc w:val="center"/>
              <w:rPr>
                <w:rFonts w:hint="eastAsia" w:ascii="宋体" w:hAnsi="宋体" w:cs="宋体"/>
                <w:b/>
                <w:color w:val="auto"/>
                <w:szCs w:val="21"/>
              </w:rPr>
            </w:pPr>
            <w:r>
              <w:rPr>
                <w:rFonts w:hint="eastAsia" w:hAnsi="宋体" w:cs="宋体"/>
                <w:bCs/>
                <w:color w:val="auto"/>
                <w:szCs w:val="21"/>
                <w:lang w:bidi="ar"/>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36" w:hRule="atLeast"/>
          <w:jc w:val="center"/>
        </w:trPr>
        <w:tc>
          <w:tcPr>
            <w:tcW w:w="560" w:type="pct"/>
            <w:noWrap w:val="0"/>
            <w:vAlign w:val="center"/>
          </w:tcPr>
          <w:p>
            <w:pPr>
              <w:overflowPunct w:val="0"/>
              <w:spacing w:line="540" w:lineRule="exact"/>
              <w:jc w:val="center"/>
              <w:rPr>
                <w:rFonts w:hint="eastAsia" w:ascii="宋体" w:hAnsi="宋体" w:cs="宋体"/>
                <w:color w:val="auto"/>
                <w:szCs w:val="21"/>
              </w:rPr>
            </w:pPr>
          </w:p>
        </w:tc>
        <w:tc>
          <w:tcPr>
            <w:tcW w:w="534" w:type="pct"/>
            <w:noWrap w:val="0"/>
            <w:vAlign w:val="center"/>
          </w:tcPr>
          <w:p>
            <w:pPr>
              <w:overflowPunct w:val="0"/>
              <w:spacing w:line="540" w:lineRule="exact"/>
              <w:jc w:val="center"/>
              <w:rPr>
                <w:rFonts w:hint="eastAsia" w:ascii="宋体" w:hAnsi="宋体" w:cs="宋体"/>
                <w:color w:val="auto"/>
                <w:szCs w:val="21"/>
              </w:rPr>
            </w:pPr>
          </w:p>
        </w:tc>
        <w:tc>
          <w:tcPr>
            <w:tcW w:w="1005" w:type="pct"/>
            <w:noWrap w:val="0"/>
            <w:vAlign w:val="center"/>
          </w:tcPr>
          <w:p>
            <w:pPr>
              <w:overflowPunct w:val="0"/>
              <w:spacing w:line="540" w:lineRule="exact"/>
              <w:jc w:val="center"/>
              <w:rPr>
                <w:rFonts w:ascii="宋体" w:hAnsi="宋体" w:cs="宋体"/>
                <w:color w:val="auto"/>
                <w:szCs w:val="21"/>
              </w:rPr>
            </w:pPr>
            <w:r>
              <w:rPr>
                <w:rFonts w:hint="eastAsia" w:ascii="宋体" w:hAnsi="宋体" w:cs="宋体"/>
                <w:color w:val="auto"/>
                <w:szCs w:val="21"/>
              </w:rPr>
              <w:t>495733.00</w:t>
            </w:r>
          </w:p>
        </w:tc>
        <w:tc>
          <w:tcPr>
            <w:tcW w:w="1005" w:type="pct"/>
            <w:noWrap w:val="0"/>
            <w:vAlign w:val="center"/>
          </w:tcPr>
          <w:p>
            <w:pPr>
              <w:overflowPunct w:val="0"/>
              <w:spacing w:line="540" w:lineRule="exact"/>
              <w:jc w:val="center"/>
              <w:rPr>
                <w:rFonts w:ascii="宋体" w:hAnsi="宋体" w:cs="宋体"/>
                <w:color w:val="auto"/>
                <w:szCs w:val="21"/>
              </w:rPr>
            </w:pPr>
          </w:p>
        </w:tc>
        <w:tc>
          <w:tcPr>
            <w:tcW w:w="1005" w:type="pct"/>
            <w:noWrap w:val="0"/>
            <w:vAlign w:val="center"/>
          </w:tcPr>
          <w:p>
            <w:pPr>
              <w:pStyle w:val="62"/>
              <w:spacing w:line="540" w:lineRule="exact"/>
              <w:ind w:firstLine="630" w:firstLineChars="300"/>
              <w:rPr>
                <w:rFonts w:hint="eastAsia" w:ascii="宋体" w:hAnsi="宋体" w:cs="宋体"/>
                <w:color w:val="auto"/>
                <w:sz w:val="21"/>
                <w:szCs w:val="21"/>
              </w:rPr>
            </w:pPr>
          </w:p>
        </w:tc>
        <w:tc>
          <w:tcPr>
            <w:tcW w:w="887" w:type="pct"/>
            <w:noWrap w:val="0"/>
            <w:vAlign w:val="center"/>
          </w:tcPr>
          <w:p>
            <w:pPr>
              <w:overflowPunct w:val="0"/>
              <w:spacing w:line="540" w:lineRule="exact"/>
              <w:jc w:val="center"/>
              <w:rPr>
                <w:rFonts w:hint="eastAsia" w:ascii="宋体" w:hAnsi="宋体" w:cs="宋体"/>
                <w:color w:val="auto"/>
                <w:szCs w:val="21"/>
              </w:rPr>
            </w:pPr>
          </w:p>
        </w:tc>
      </w:tr>
    </w:tbl>
    <w:p>
      <w:pPr>
        <w:spacing w:line="540" w:lineRule="exact"/>
        <w:rPr>
          <w:rFonts w:hint="eastAsia" w:ascii="宋体" w:hAnsi="宋体" w:cs="宋体"/>
          <w:color w:val="auto"/>
          <w:szCs w:val="21"/>
        </w:rPr>
      </w:pPr>
    </w:p>
    <w:p>
      <w:pPr>
        <w:overflowPunct w:val="0"/>
        <w:adjustRightInd w:val="0"/>
        <w:spacing w:line="540" w:lineRule="exact"/>
        <w:rPr>
          <w:rFonts w:hint="eastAsia" w:ascii="宋体" w:hAnsi="宋体" w:cs="宋体"/>
          <w:color w:val="auto"/>
          <w:szCs w:val="21"/>
        </w:rPr>
      </w:pPr>
      <w:r>
        <w:rPr>
          <w:rFonts w:hint="eastAsia" w:ascii="宋体" w:hAnsi="宋体" w:cs="宋体"/>
          <w:color w:val="auto"/>
          <w:szCs w:val="21"/>
        </w:rPr>
        <w:t>注：</w:t>
      </w:r>
    </w:p>
    <w:p>
      <w:pPr>
        <w:overflowPunct w:val="0"/>
        <w:adjustRightInd w:val="0"/>
        <w:spacing w:line="540" w:lineRule="exact"/>
        <w:rPr>
          <w:rFonts w:hint="eastAsia" w:ascii="宋体" w:hAnsi="宋体" w:cs="宋体"/>
          <w:color w:val="auto"/>
          <w:szCs w:val="21"/>
        </w:rPr>
      </w:pPr>
      <w:r>
        <w:rPr>
          <w:rFonts w:hint="eastAsia" w:ascii="宋体" w:hAnsi="宋体" w:cs="宋体"/>
          <w:color w:val="auto"/>
          <w:szCs w:val="21"/>
        </w:rPr>
        <w:t>1.供应商应严格按照表格格式填写报价。</w:t>
      </w:r>
    </w:p>
    <w:p>
      <w:pPr>
        <w:overflowPunct w:val="0"/>
        <w:adjustRightInd w:val="0"/>
        <w:spacing w:line="540" w:lineRule="exact"/>
        <w:rPr>
          <w:rFonts w:hint="eastAsia" w:ascii="宋体" w:hAnsi="宋体" w:cs="宋体"/>
          <w:color w:val="auto"/>
          <w:szCs w:val="21"/>
        </w:rPr>
      </w:pPr>
      <w:r>
        <w:rPr>
          <w:rFonts w:hint="eastAsia" w:ascii="宋体" w:hAnsi="宋体" w:cs="宋体"/>
          <w:color w:val="auto"/>
          <w:szCs w:val="21"/>
        </w:rPr>
        <w:t>2.报价应包含各种税务费及合同实施过程中的不可预见费用等全部费用。</w:t>
      </w:r>
    </w:p>
    <w:p>
      <w:pPr>
        <w:overflowPunct w:val="0"/>
        <w:adjustRightInd w:val="0"/>
        <w:spacing w:line="540" w:lineRule="exact"/>
        <w:rPr>
          <w:rFonts w:hint="eastAsia" w:ascii="宋体" w:hAnsi="宋体" w:cs="宋体"/>
          <w:color w:val="auto"/>
          <w:szCs w:val="21"/>
        </w:rPr>
      </w:pPr>
      <w:r>
        <w:rPr>
          <w:rFonts w:hint="eastAsia" w:ascii="宋体" w:hAnsi="宋体" w:cs="宋体"/>
          <w:color w:val="auto"/>
          <w:szCs w:val="21"/>
        </w:rPr>
        <w:t>3.本项目不接受有选择性的磋商报价。</w:t>
      </w:r>
    </w:p>
    <w:p>
      <w:pPr>
        <w:overflowPunct w:val="0"/>
        <w:adjustRightInd w:val="0"/>
        <w:spacing w:line="540" w:lineRule="exact"/>
        <w:rPr>
          <w:rFonts w:hint="eastAsia" w:ascii="宋体" w:hAnsi="宋体" w:cs="宋体"/>
          <w:color w:val="auto"/>
          <w:szCs w:val="21"/>
        </w:rPr>
      </w:pPr>
    </w:p>
    <w:p>
      <w:pPr>
        <w:overflowPunct w:val="0"/>
        <w:adjustRightInd w:val="0"/>
        <w:spacing w:line="540" w:lineRule="exact"/>
        <w:rPr>
          <w:rFonts w:hint="eastAsia" w:ascii="宋体" w:hAnsi="宋体" w:cs="宋体"/>
          <w:color w:val="auto"/>
          <w:szCs w:val="21"/>
        </w:rPr>
      </w:pPr>
    </w:p>
    <w:p>
      <w:pPr>
        <w:overflowPunct w:val="0"/>
        <w:adjustRightInd w:val="0"/>
        <w:spacing w:line="540" w:lineRule="exact"/>
        <w:rPr>
          <w:rFonts w:hint="eastAsia" w:ascii="宋体" w:hAnsi="宋体" w:cs="宋体"/>
          <w:color w:val="auto"/>
          <w:szCs w:val="21"/>
          <w:u w:val="single"/>
        </w:rPr>
      </w:pPr>
      <w:r>
        <w:rPr>
          <w:rFonts w:hint="eastAsia" w:ascii="宋体" w:hAnsi="宋体" w:cs="宋体"/>
          <w:color w:val="auto"/>
          <w:szCs w:val="21"/>
        </w:rPr>
        <w:t>供应商名称（加盖公章）：</w:t>
      </w:r>
      <w:r>
        <w:rPr>
          <w:rFonts w:hint="eastAsia" w:ascii="宋体" w:hAnsi="宋体" w:cs="宋体"/>
          <w:color w:val="auto"/>
          <w:szCs w:val="21"/>
          <w:u w:val="single"/>
        </w:rPr>
        <w:t xml:space="preserve">                    </w:t>
      </w:r>
    </w:p>
    <w:p>
      <w:pPr>
        <w:overflowPunct w:val="0"/>
        <w:adjustRightInd w:val="0"/>
        <w:spacing w:line="540" w:lineRule="exact"/>
        <w:rPr>
          <w:rFonts w:hint="eastAsia" w:ascii="宋体" w:hAnsi="宋体" w:cs="宋体"/>
          <w:color w:val="auto"/>
          <w:szCs w:val="21"/>
          <w:u w:val="single"/>
        </w:rPr>
      </w:pPr>
      <w:r>
        <w:rPr>
          <w:rFonts w:hint="eastAsia" w:ascii="宋体" w:hAnsi="宋体" w:cs="宋体"/>
          <w:color w:val="auto"/>
          <w:szCs w:val="21"/>
        </w:rPr>
        <w:t>供应商法定代表人或受委托人（签名或盖私章）：</w:t>
      </w:r>
      <w:r>
        <w:rPr>
          <w:rFonts w:hint="eastAsia" w:ascii="宋体" w:hAnsi="宋体" w:cs="宋体"/>
          <w:color w:val="auto"/>
          <w:szCs w:val="21"/>
          <w:u w:val="single"/>
        </w:rPr>
        <w:t xml:space="preserve">             </w:t>
      </w:r>
    </w:p>
    <w:p>
      <w:pPr>
        <w:spacing w:line="540" w:lineRule="exact"/>
        <w:rPr>
          <w:rFonts w:hint="eastAsia" w:ascii="宋体" w:hAnsi="宋体" w:cs="宋体"/>
          <w:color w:val="auto"/>
          <w:szCs w:val="21"/>
          <w:u w:val="single"/>
        </w:rPr>
      </w:pPr>
      <w:r>
        <w:rPr>
          <w:rFonts w:hint="eastAsia" w:ascii="宋体" w:hAnsi="宋体" w:cs="宋体"/>
          <w:color w:val="auto"/>
          <w:szCs w:val="21"/>
        </w:rPr>
        <w:t>日期：</w:t>
      </w:r>
      <w:r>
        <w:rPr>
          <w:rFonts w:hint="eastAsia" w:ascii="宋体" w:hAnsi="宋体" w:cs="宋体"/>
          <w:color w:val="auto"/>
          <w:szCs w:val="21"/>
          <w:u w:val="single"/>
        </w:rPr>
        <w:t xml:space="preserve">                  </w:t>
      </w:r>
    </w:p>
    <w:p>
      <w:pPr>
        <w:spacing w:line="540" w:lineRule="exact"/>
        <w:rPr>
          <w:rFonts w:hint="eastAsia" w:ascii="宋体" w:hAnsi="宋体" w:cs="宋体"/>
          <w:color w:val="auto"/>
          <w:szCs w:val="21"/>
          <w:u w:val="single"/>
        </w:rPr>
      </w:pPr>
    </w:p>
    <w:p>
      <w:pPr>
        <w:pStyle w:val="2"/>
        <w:jc w:val="center"/>
        <w:rPr>
          <w:rFonts w:hint="eastAsia" w:ascii="宋体" w:hAnsi="宋体" w:eastAsia="宋体" w:cs="宋体"/>
          <w:b/>
          <w:bCs/>
          <w:i w:val="0"/>
          <w:iCs w:val="0"/>
          <w:color w:val="auto"/>
          <w:kern w:val="0"/>
          <w:sz w:val="24"/>
          <w:szCs w:val="24"/>
          <w:u w:val="none"/>
          <w:lang w:val="en-US" w:eastAsia="zh-CN" w:bidi="ar"/>
        </w:rPr>
      </w:pPr>
    </w:p>
    <w:p>
      <w:pPr>
        <w:pStyle w:val="2"/>
        <w:jc w:val="center"/>
        <w:rPr>
          <w:rFonts w:hint="eastAsia" w:ascii="宋体" w:hAnsi="宋体" w:eastAsia="宋体" w:cs="宋体"/>
          <w:b/>
          <w:bCs/>
          <w:i w:val="0"/>
          <w:iCs w:val="0"/>
          <w:color w:val="auto"/>
          <w:kern w:val="0"/>
          <w:sz w:val="24"/>
          <w:szCs w:val="24"/>
          <w:u w:val="none"/>
          <w:lang w:val="en-US" w:eastAsia="zh-CN" w:bidi="ar"/>
        </w:rPr>
      </w:pPr>
    </w:p>
    <w:p>
      <w:pPr>
        <w:pStyle w:val="2"/>
        <w:jc w:val="center"/>
        <w:rPr>
          <w:rFonts w:hint="eastAsia" w:ascii="宋体" w:hAnsi="宋体" w:eastAsia="宋体" w:cs="宋体"/>
          <w:b/>
          <w:bCs/>
          <w:i w:val="0"/>
          <w:iCs w:val="0"/>
          <w:color w:val="auto"/>
          <w:kern w:val="0"/>
          <w:sz w:val="24"/>
          <w:szCs w:val="24"/>
          <w:u w:val="none"/>
          <w:lang w:val="en-US" w:eastAsia="zh-CN" w:bidi="ar"/>
        </w:rPr>
      </w:pPr>
    </w:p>
    <w:p>
      <w:pPr>
        <w:pStyle w:val="2"/>
        <w:jc w:val="center"/>
        <w:rPr>
          <w:rFonts w:hint="eastAsia" w:ascii="宋体" w:hAnsi="宋体" w:eastAsia="宋体" w:cs="宋体"/>
          <w:b/>
          <w:bCs/>
          <w:i w:val="0"/>
          <w:iCs w:val="0"/>
          <w:color w:val="auto"/>
          <w:kern w:val="0"/>
          <w:sz w:val="24"/>
          <w:szCs w:val="24"/>
          <w:u w:val="none"/>
          <w:lang w:val="en-US" w:eastAsia="zh-CN" w:bidi="ar"/>
        </w:rPr>
      </w:pPr>
    </w:p>
    <w:p>
      <w:pPr>
        <w:pStyle w:val="2"/>
        <w:jc w:val="center"/>
        <w:rPr>
          <w:rFonts w:hint="eastAsia" w:ascii="宋体" w:hAnsi="宋体" w:eastAsia="宋体" w:cs="宋体"/>
          <w:b/>
          <w:bCs/>
          <w:i w:val="0"/>
          <w:iCs w:val="0"/>
          <w:color w:val="auto"/>
          <w:kern w:val="0"/>
          <w:sz w:val="24"/>
          <w:szCs w:val="24"/>
          <w:u w:val="none"/>
          <w:lang w:val="en-US" w:eastAsia="zh-CN" w:bidi="ar"/>
        </w:rPr>
      </w:pPr>
    </w:p>
    <w:p>
      <w:pPr>
        <w:pStyle w:val="2"/>
        <w:jc w:val="center"/>
        <w:rPr>
          <w:rFonts w:hint="eastAsia" w:ascii="宋体" w:hAnsi="宋体" w:eastAsia="宋体" w:cs="宋体"/>
          <w:b/>
          <w:bCs/>
          <w:i w:val="0"/>
          <w:iCs w:val="0"/>
          <w:color w:val="auto"/>
          <w:kern w:val="0"/>
          <w:sz w:val="24"/>
          <w:szCs w:val="24"/>
          <w:u w:val="none"/>
          <w:lang w:val="en-US" w:eastAsia="zh-CN" w:bidi="ar"/>
        </w:rPr>
      </w:pPr>
    </w:p>
    <w:p>
      <w:pPr>
        <w:pStyle w:val="2"/>
        <w:jc w:val="center"/>
        <w:rPr>
          <w:rFonts w:hint="eastAsia" w:ascii="宋体" w:hAnsi="宋体" w:eastAsia="宋体" w:cs="宋体"/>
          <w:b/>
          <w:bCs/>
          <w:i w:val="0"/>
          <w:iCs w:val="0"/>
          <w:color w:val="auto"/>
          <w:kern w:val="0"/>
          <w:sz w:val="24"/>
          <w:szCs w:val="24"/>
          <w:u w:val="none"/>
          <w:lang w:val="en-US" w:eastAsia="zh-CN" w:bidi="ar"/>
        </w:rPr>
      </w:pPr>
    </w:p>
    <w:p>
      <w:pPr>
        <w:pStyle w:val="2"/>
        <w:jc w:val="center"/>
        <w:rPr>
          <w:rFonts w:hint="eastAsia" w:ascii="宋体" w:hAnsi="宋体" w:eastAsia="宋体" w:cs="宋体"/>
          <w:b/>
          <w:bCs/>
          <w:i w:val="0"/>
          <w:iCs w:val="0"/>
          <w:color w:val="auto"/>
          <w:kern w:val="0"/>
          <w:sz w:val="24"/>
          <w:szCs w:val="24"/>
          <w:u w:val="none"/>
          <w:lang w:val="en-US" w:eastAsia="zh-CN" w:bidi="ar"/>
        </w:rPr>
      </w:pPr>
    </w:p>
    <w:p>
      <w:pPr>
        <w:pStyle w:val="2"/>
        <w:jc w:val="center"/>
        <w:rPr>
          <w:rFonts w:hint="eastAsia" w:ascii="宋体" w:hAnsi="宋体" w:eastAsia="宋体" w:cs="宋体"/>
          <w:b/>
          <w:bCs/>
          <w:i w:val="0"/>
          <w:iCs w:val="0"/>
          <w:color w:val="auto"/>
          <w:kern w:val="0"/>
          <w:sz w:val="24"/>
          <w:szCs w:val="24"/>
          <w:u w:val="none"/>
          <w:lang w:val="en-US" w:eastAsia="zh-CN" w:bidi="ar"/>
        </w:rPr>
      </w:pPr>
    </w:p>
    <w:p>
      <w:pPr>
        <w:pStyle w:val="2"/>
        <w:jc w:val="center"/>
        <w:rPr>
          <w:rFonts w:hint="eastAsia" w:ascii="宋体" w:hAnsi="宋体" w:cs="宋体"/>
          <w:color w:val="auto"/>
          <w:szCs w:val="21"/>
          <w:u w:val="single"/>
        </w:rPr>
      </w:pPr>
      <w:r>
        <w:rPr>
          <w:rFonts w:hint="eastAsia" w:ascii="宋体" w:hAnsi="宋体" w:eastAsia="宋体" w:cs="宋体"/>
          <w:b/>
          <w:bCs/>
          <w:i w:val="0"/>
          <w:iCs w:val="0"/>
          <w:color w:val="auto"/>
          <w:kern w:val="0"/>
          <w:sz w:val="24"/>
          <w:szCs w:val="24"/>
          <w:u w:val="none"/>
          <w:lang w:val="en-US" w:eastAsia="zh-CN" w:bidi="ar"/>
        </w:rPr>
        <w:t>（二）报价明细表</w:t>
      </w:r>
    </w:p>
    <w:p>
      <w:pPr>
        <w:pStyle w:val="2"/>
        <w:rPr>
          <w:rFonts w:hint="eastAsia" w:ascii="宋体" w:hAnsi="宋体" w:cs="宋体"/>
          <w:color w:val="auto"/>
          <w:szCs w:val="21"/>
          <w:u w:val="single"/>
        </w:rPr>
      </w:pPr>
    </w:p>
    <w:tbl>
      <w:tblPr>
        <w:tblStyle w:val="21"/>
        <w:tblW w:w="921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30"/>
        <w:gridCol w:w="1853"/>
        <w:gridCol w:w="1110"/>
        <w:gridCol w:w="1005"/>
        <w:gridCol w:w="817"/>
        <w:gridCol w:w="1082"/>
        <w:gridCol w:w="1116"/>
        <w:gridCol w:w="14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216"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 xml:space="preserve"> 广东省东莞市城区配套物流仓储建设项目基坑支护---基坑监测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一</w:t>
            </w:r>
          </w:p>
        </w:tc>
        <w:tc>
          <w:tcPr>
            <w:tcW w:w="1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测点埋设费用</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序号</w:t>
            </w:r>
          </w:p>
        </w:tc>
        <w:tc>
          <w:tcPr>
            <w:tcW w:w="1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项目名称</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单位</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数量</w:t>
            </w:r>
          </w:p>
        </w:tc>
        <w:tc>
          <w:tcPr>
            <w:tcW w:w="30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含税单价（元）</w:t>
            </w: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合价（元）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1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水平位移、沉降工作基点埋设费</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点</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w:t>
            </w:r>
          </w:p>
        </w:tc>
        <w:tc>
          <w:tcPr>
            <w:tcW w:w="30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c>
          <w:tcPr>
            <w:tcW w:w="1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坑顶沉降观测点埋设及辅助材料</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点</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29</w:t>
            </w:r>
          </w:p>
        </w:tc>
        <w:tc>
          <w:tcPr>
            <w:tcW w:w="30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w:t>
            </w:r>
          </w:p>
        </w:tc>
        <w:tc>
          <w:tcPr>
            <w:tcW w:w="1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坑顶位移观测点埋设及辅助材料</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点</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29</w:t>
            </w:r>
          </w:p>
        </w:tc>
        <w:tc>
          <w:tcPr>
            <w:tcW w:w="30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w:t>
            </w:r>
          </w:p>
        </w:tc>
        <w:tc>
          <w:tcPr>
            <w:tcW w:w="1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周边道路、管线沉降观测点埋设及辅助材料</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点</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w:t>
            </w:r>
          </w:p>
        </w:tc>
        <w:tc>
          <w:tcPr>
            <w:tcW w:w="30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c>
          <w:tcPr>
            <w:tcW w:w="1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锚索应力监测点埋设及辅助材料</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w:t>
            </w:r>
          </w:p>
        </w:tc>
        <w:tc>
          <w:tcPr>
            <w:tcW w:w="30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w:t>
            </w:r>
          </w:p>
        </w:tc>
        <w:tc>
          <w:tcPr>
            <w:tcW w:w="1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地下水位孔</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米</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60</w:t>
            </w:r>
          </w:p>
        </w:tc>
        <w:tc>
          <w:tcPr>
            <w:tcW w:w="30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w:t>
            </w:r>
          </w:p>
        </w:tc>
        <w:tc>
          <w:tcPr>
            <w:tcW w:w="1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深层水平位移监测点埋设及辅助材料</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米</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99</w:t>
            </w:r>
          </w:p>
        </w:tc>
        <w:tc>
          <w:tcPr>
            <w:tcW w:w="30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c>
          <w:tcPr>
            <w:tcW w:w="1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小计</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c>
          <w:tcPr>
            <w:tcW w:w="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二</w:t>
            </w:r>
          </w:p>
        </w:tc>
        <w:tc>
          <w:tcPr>
            <w:tcW w:w="1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现场监测费用</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c>
          <w:tcPr>
            <w:tcW w:w="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序号</w:t>
            </w:r>
          </w:p>
        </w:tc>
        <w:tc>
          <w:tcPr>
            <w:tcW w:w="1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项目名称</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单位</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测点数量</w:t>
            </w:r>
          </w:p>
        </w:tc>
        <w:tc>
          <w:tcPr>
            <w:tcW w:w="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监测次数</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监测总点次</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单价</w:t>
            </w: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合价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1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垂直位移基准网</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KM</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c>
          <w:tcPr>
            <w:tcW w:w="1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水平位移基准网</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点</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w:t>
            </w:r>
          </w:p>
        </w:tc>
        <w:tc>
          <w:tcPr>
            <w:tcW w:w="1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水平位移监测</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点.次</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29</w:t>
            </w:r>
          </w:p>
        </w:tc>
        <w:tc>
          <w:tcPr>
            <w:tcW w:w="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w:t>
            </w: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1856</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w:t>
            </w:r>
          </w:p>
        </w:tc>
        <w:tc>
          <w:tcPr>
            <w:tcW w:w="1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坑顶沉降监测</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点.次</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29</w:t>
            </w:r>
          </w:p>
        </w:tc>
        <w:tc>
          <w:tcPr>
            <w:tcW w:w="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w:t>
            </w: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1856</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c>
          <w:tcPr>
            <w:tcW w:w="1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锚索应力监测</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点.次</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w:t>
            </w:r>
          </w:p>
        </w:tc>
        <w:tc>
          <w:tcPr>
            <w:tcW w:w="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w:t>
            </w: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384</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w:t>
            </w:r>
          </w:p>
        </w:tc>
        <w:tc>
          <w:tcPr>
            <w:tcW w:w="1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周边道路管线沉降</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点.次</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w:t>
            </w:r>
          </w:p>
        </w:tc>
        <w:tc>
          <w:tcPr>
            <w:tcW w:w="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w:t>
            </w: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w:t>
            </w:r>
          </w:p>
        </w:tc>
        <w:tc>
          <w:tcPr>
            <w:tcW w:w="1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地下水位观测</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孔.次</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w:t>
            </w:r>
          </w:p>
        </w:tc>
        <w:tc>
          <w:tcPr>
            <w:tcW w:w="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w:t>
            </w: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384</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w:t>
            </w:r>
          </w:p>
        </w:tc>
        <w:tc>
          <w:tcPr>
            <w:tcW w:w="1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深层水平位移观测</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点.次</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c>
          <w:tcPr>
            <w:tcW w:w="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w:t>
            </w: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576</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c>
          <w:tcPr>
            <w:tcW w:w="1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小计</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三</w:t>
            </w:r>
          </w:p>
        </w:tc>
        <w:tc>
          <w:tcPr>
            <w:tcW w:w="1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总价合计</w:t>
            </w:r>
          </w:p>
        </w:tc>
        <w:tc>
          <w:tcPr>
            <w:tcW w:w="4014"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一+二</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60" w:hRule="atLeast"/>
        </w:trPr>
        <w:tc>
          <w:tcPr>
            <w:tcW w:w="9216" w:type="dxa"/>
            <w:gridSpan w:val="8"/>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1.测点埋设费价格参考广东省房屋建筑和市政工程质量安全检测收费指导价，监测费按照工程勘察设计收费标准2002版计算。</w:t>
            </w:r>
          </w:p>
          <w:p>
            <w:pPr>
              <w:keepNext w:val="0"/>
              <w:keepLines w:val="0"/>
              <w:widowControl/>
              <w:suppressLineNumbers w:val="0"/>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本项目从基坑开挖到回填正负零暂定120天，基坑开挖小于5米期间约30天，按1次/2天监测，预计15次；基坑开挖大于5米期间约40天，按1次/1天监测，预计40次；底板浇筑后≤7天，按1次/2天监测，预计3次，底板浇筑后时间7-14天，按1次/3天监测，预计2次，底板浇筑后时间14-28天，按1次/7天监测，预计2次，底板浇筑后时间＞28天，按1次/10天监测预计2次，总监测次数预计为64次；</w:t>
            </w:r>
          </w:p>
          <w:p>
            <w:pPr>
              <w:keepNext w:val="0"/>
              <w:keepLines w:val="0"/>
              <w:widowControl/>
              <w:suppressLineNumbers w:val="0"/>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3、结算时监测项目、监测点数以通过专家论证的监测方案为准。</w:t>
            </w:r>
          </w:p>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4、最终结算工程量以现场实际发生的工作量为准</w:t>
            </w:r>
          </w:p>
        </w:tc>
      </w:tr>
    </w:tbl>
    <w:p>
      <w:pPr>
        <w:rPr>
          <w:rFonts w:hint="eastAsia"/>
          <w:color w:val="auto"/>
        </w:rPr>
      </w:pPr>
    </w:p>
    <w:p>
      <w:pPr>
        <w:rPr>
          <w:rFonts w:hint="eastAsia" w:ascii="宋体" w:hAnsi="宋体" w:cs="宋体"/>
          <w:color w:val="auto"/>
          <w:szCs w:val="21"/>
          <w:u w:val="single"/>
        </w:rPr>
      </w:pPr>
    </w:p>
    <w:p>
      <w:pPr>
        <w:pStyle w:val="2"/>
        <w:rPr>
          <w:rFonts w:hint="eastAsia" w:ascii="宋体" w:hAnsi="宋体" w:cs="宋体"/>
          <w:color w:val="auto"/>
          <w:szCs w:val="21"/>
          <w:u w:val="single"/>
        </w:rPr>
      </w:pPr>
    </w:p>
    <w:p>
      <w:pPr>
        <w:rPr>
          <w:rFonts w:hint="eastAsia"/>
          <w:color w:val="auto"/>
        </w:rPr>
      </w:pPr>
      <w:r>
        <w:rPr>
          <w:rFonts w:hint="eastAsia"/>
          <w:color w:val="auto"/>
        </w:rPr>
        <w:br w:type="page"/>
      </w:r>
    </w:p>
    <w:p>
      <w:pPr>
        <w:widowControl/>
        <w:jc w:val="left"/>
        <w:rPr>
          <w:rFonts w:eastAsia="黑体"/>
          <w:color w:val="auto"/>
          <w:sz w:val="28"/>
          <w:szCs w:val="44"/>
        </w:rPr>
      </w:pPr>
      <w:r>
        <w:rPr>
          <w:rFonts w:hint="eastAsia" w:eastAsia="黑体"/>
          <w:color w:val="auto"/>
          <w:sz w:val="28"/>
          <w:szCs w:val="44"/>
        </w:rPr>
        <w:t>附件二法人证明</w:t>
      </w:r>
    </w:p>
    <w:p>
      <w:pPr>
        <w:pStyle w:val="40"/>
        <w:ind w:firstLine="0" w:firstLineChars="0"/>
        <w:jc w:val="left"/>
        <w:rPr>
          <w:rFonts w:eastAsia="黑体"/>
          <w:color w:val="auto"/>
          <w:sz w:val="28"/>
          <w:szCs w:val="44"/>
        </w:rPr>
      </w:pPr>
    </w:p>
    <w:p>
      <w:pPr>
        <w:jc w:val="center"/>
        <w:rPr>
          <w:rFonts w:eastAsia="仿宋_GB2312"/>
          <w:b/>
          <w:bCs/>
          <w:color w:val="auto"/>
          <w:sz w:val="32"/>
          <w:szCs w:val="32"/>
        </w:rPr>
      </w:pPr>
      <w:r>
        <w:rPr>
          <w:rFonts w:hint="eastAsia" w:eastAsia="仿宋_GB2312"/>
          <w:b/>
          <w:bCs/>
          <w:color w:val="auto"/>
          <w:sz w:val="32"/>
          <w:szCs w:val="32"/>
        </w:rPr>
        <w:t>法定代表人身份证明书及法定代表人身份证复印件</w:t>
      </w:r>
    </w:p>
    <w:p>
      <w:pPr>
        <w:rPr>
          <w:rFonts w:eastAsia="仿宋_GB2312"/>
          <w:color w:val="auto"/>
          <w:sz w:val="32"/>
          <w:szCs w:val="32"/>
        </w:rPr>
      </w:pPr>
    </w:p>
    <w:p>
      <w:pPr>
        <w:rPr>
          <w:rFonts w:eastAsia="仿宋_GB2312"/>
          <w:color w:val="auto"/>
          <w:sz w:val="32"/>
          <w:szCs w:val="32"/>
        </w:rPr>
      </w:pPr>
      <w:r>
        <w:rPr>
          <w:rFonts w:eastAsia="仿宋_GB2312"/>
          <w:color w:val="auto"/>
          <w:sz w:val="32"/>
          <w:szCs w:val="32"/>
          <w:u w:val="single"/>
        </w:rPr>
        <w:t xml:space="preserve"> </w:t>
      </w:r>
      <w:r>
        <w:rPr>
          <w:rFonts w:hint="eastAsia" w:eastAsia="仿宋_GB2312"/>
          <w:color w:val="auto"/>
          <w:sz w:val="32"/>
          <w:szCs w:val="32"/>
          <w:u w:val="single"/>
          <w:lang w:eastAsia="zh-CN"/>
        </w:rPr>
        <w:t>东莞市莞城建筑工程有限公司</w:t>
      </w:r>
      <w:r>
        <w:rPr>
          <w:rFonts w:hint="eastAsia" w:eastAsia="仿宋_GB2312"/>
          <w:color w:val="auto"/>
          <w:sz w:val="32"/>
          <w:szCs w:val="32"/>
        </w:rPr>
        <w:t>：</w:t>
      </w:r>
    </w:p>
    <w:p>
      <w:pPr>
        <w:pStyle w:val="39"/>
        <w:ind w:firstLine="659"/>
        <w:rPr>
          <w:rFonts w:ascii="Times New Roman" w:hAnsi="Times New Roman"/>
          <w:color w:val="auto"/>
          <w:sz w:val="32"/>
          <w:szCs w:val="32"/>
        </w:rPr>
      </w:pPr>
      <w:r>
        <w:rPr>
          <w:rFonts w:hint="eastAsia" w:ascii="Times New Roman" w:hAnsi="Times New Roman"/>
          <w:color w:val="auto"/>
          <w:sz w:val="32"/>
          <w:szCs w:val="32"/>
        </w:rPr>
        <w:t>本证明书声明：注册于（国家名称）的</w:t>
      </w:r>
      <w:r>
        <w:rPr>
          <w:rFonts w:hint="eastAsia" w:ascii="Times New Roman" w:hAnsi="Times New Roman"/>
          <w:color w:val="auto"/>
          <w:sz w:val="32"/>
          <w:szCs w:val="32"/>
          <w:u w:val="single"/>
        </w:rPr>
        <w:t>　　</w:t>
      </w:r>
      <w:r>
        <w:rPr>
          <w:rFonts w:hint="eastAsia" w:ascii="Times New Roman" w:hAnsi="Times New Roman"/>
          <w:color w:val="auto"/>
          <w:sz w:val="32"/>
          <w:szCs w:val="32"/>
          <w:u w:val="single"/>
          <w:lang w:val="en-US" w:eastAsia="zh-CN"/>
        </w:rPr>
        <w:t xml:space="preserve">    </w:t>
      </w:r>
      <w:r>
        <w:rPr>
          <w:rFonts w:hint="eastAsia" w:ascii="Times New Roman" w:hAnsi="Times New Roman"/>
          <w:color w:val="auto"/>
          <w:sz w:val="32"/>
          <w:szCs w:val="32"/>
        </w:rPr>
        <w:t>（响应人名称）在下面签字的</w:t>
      </w:r>
      <w:r>
        <w:rPr>
          <w:rFonts w:hint="eastAsia" w:ascii="Times New Roman" w:hAnsi="Times New Roman"/>
          <w:color w:val="auto"/>
          <w:sz w:val="32"/>
          <w:szCs w:val="32"/>
          <w:u w:val="single"/>
        </w:rPr>
        <w:t>　　　　　</w:t>
      </w:r>
      <w:r>
        <w:rPr>
          <w:rFonts w:hint="eastAsia" w:ascii="Times New Roman" w:hAnsi="Times New Roman"/>
          <w:color w:val="auto"/>
          <w:sz w:val="32"/>
          <w:szCs w:val="32"/>
        </w:rPr>
        <w:t>（法定代表人姓名、职务）为本公司的合法代表人（</w:t>
      </w:r>
      <w:r>
        <w:rPr>
          <w:rFonts w:hint="eastAsia" w:ascii="Times New Roman" w:hAnsi="Times New Roman"/>
          <w:b/>
          <w:bCs/>
          <w:color w:val="auto"/>
          <w:sz w:val="32"/>
          <w:szCs w:val="32"/>
        </w:rPr>
        <w:t>须附法定代表人身份证复印件</w:t>
      </w:r>
      <w:r>
        <w:rPr>
          <w:rFonts w:hint="eastAsia" w:ascii="Times New Roman" w:hAnsi="Times New Roman"/>
          <w:color w:val="auto"/>
          <w:sz w:val="32"/>
          <w:szCs w:val="32"/>
        </w:rPr>
        <w:t>）。</w:t>
      </w:r>
    </w:p>
    <w:p>
      <w:pPr>
        <w:spacing w:line="600" w:lineRule="exact"/>
        <w:ind w:firstLine="480" w:firstLineChars="150"/>
        <w:rPr>
          <w:rFonts w:eastAsia="仿宋_GB2312"/>
          <w:color w:val="auto"/>
          <w:sz w:val="32"/>
          <w:szCs w:val="32"/>
        </w:rPr>
      </w:pPr>
      <w:r>
        <w:rPr>
          <w:rFonts w:hint="eastAsia" w:eastAsia="仿宋_GB2312"/>
          <w:color w:val="auto"/>
          <w:sz w:val="32"/>
          <w:szCs w:val="32"/>
        </w:rPr>
        <w:t>特此证明</w:t>
      </w:r>
    </w:p>
    <w:p>
      <w:pPr>
        <w:spacing w:line="600" w:lineRule="exact"/>
        <w:rPr>
          <w:rFonts w:eastAsia="仿宋_GB2312"/>
          <w:color w:val="auto"/>
          <w:sz w:val="32"/>
          <w:szCs w:val="32"/>
        </w:rPr>
      </w:pPr>
    </w:p>
    <w:p>
      <w:pPr>
        <w:spacing w:line="600" w:lineRule="exact"/>
        <w:rPr>
          <w:rFonts w:eastAsia="仿宋_GB2312"/>
          <w:color w:val="auto"/>
          <w:sz w:val="32"/>
          <w:szCs w:val="32"/>
        </w:rPr>
      </w:pPr>
    </w:p>
    <w:p>
      <w:pPr>
        <w:spacing w:line="600" w:lineRule="exact"/>
        <w:rPr>
          <w:rFonts w:eastAsia="仿宋_GB2312"/>
          <w:color w:val="auto"/>
          <w:sz w:val="32"/>
          <w:szCs w:val="32"/>
        </w:rPr>
      </w:pPr>
    </w:p>
    <w:p>
      <w:pPr>
        <w:spacing w:line="600" w:lineRule="exact"/>
        <w:jc w:val="left"/>
        <w:rPr>
          <w:rFonts w:eastAsia="仿宋_GB2312"/>
          <w:color w:val="auto"/>
          <w:sz w:val="32"/>
          <w:szCs w:val="32"/>
        </w:rPr>
      </w:pPr>
      <w:r>
        <w:rPr>
          <w:rFonts w:hint="eastAsia" w:eastAsia="仿宋_GB2312"/>
          <w:color w:val="auto"/>
          <w:sz w:val="32"/>
          <w:szCs w:val="32"/>
        </w:rPr>
        <w:t>响应人名称（加盖公章）：</w:t>
      </w:r>
    </w:p>
    <w:p>
      <w:pPr>
        <w:spacing w:line="600" w:lineRule="exact"/>
        <w:jc w:val="left"/>
        <w:rPr>
          <w:rFonts w:eastAsia="仿宋_GB2312"/>
          <w:color w:val="auto"/>
          <w:sz w:val="32"/>
          <w:szCs w:val="32"/>
        </w:rPr>
      </w:pPr>
      <w:r>
        <w:rPr>
          <w:rFonts w:hint="eastAsia" w:eastAsia="仿宋_GB2312"/>
          <w:color w:val="auto"/>
          <w:sz w:val="32"/>
          <w:szCs w:val="32"/>
        </w:rPr>
        <w:t>响应人地址：</w:t>
      </w:r>
    </w:p>
    <w:p>
      <w:pPr>
        <w:spacing w:line="600" w:lineRule="exact"/>
        <w:jc w:val="left"/>
        <w:rPr>
          <w:rFonts w:eastAsia="仿宋_GB2312"/>
          <w:color w:val="auto"/>
          <w:sz w:val="32"/>
          <w:szCs w:val="32"/>
        </w:rPr>
      </w:pPr>
      <w:r>
        <w:rPr>
          <w:rFonts w:hint="eastAsia" w:eastAsia="仿宋_GB2312"/>
          <w:color w:val="auto"/>
          <w:sz w:val="32"/>
          <w:szCs w:val="32"/>
        </w:rPr>
        <w:t>法定代表人（签名或盖私章）：</w:t>
      </w:r>
    </w:p>
    <w:p>
      <w:pPr>
        <w:spacing w:line="600" w:lineRule="exact"/>
        <w:jc w:val="left"/>
        <w:rPr>
          <w:rFonts w:eastAsia="仿宋_GB2312"/>
          <w:color w:val="auto"/>
          <w:sz w:val="32"/>
          <w:szCs w:val="32"/>
        </w:rPr>
      </w:pPr>
      <w:r>
        <w:rPr>
          <w:rFonts w:hint="eastAsia" w:eastAsia="仿宋_GB2312"/>
          <w:color w:val="auto"/>
          <w:sz w:val="32"/>
          <w:szCs w:val="32"/>
        </w:rPr>
        <w:t>职务：</w:t>
      </w:r>
    </w:p>
    <w:p>
      <w:pPr>
        <w:rPr>
          <w:rFonts w:eastAsia="仿宋_GB2312"/>
          <w:color w:val="auto"/>
          <w:sz w:val="32"/>
          <w:szCs w:val="32"/>
        </w:rPr>
      </w:pPr>
    </w:p>
    <w:p>
      <w:pPr>
        <w:widowControl/>
        <w:jc w:val="center"/>
        <w:rPr>
          <w:rFonts w:eastAsia="仿宋_GB2312"/>
          <w:color w:val="auto"/>
          <w:sz w:val="32"/>
          <w:szCs w:val="32"/>
        </w:rPr>
      </w:pPr>
      <w:r>
        <w:rPr>
          <w:rFonts w:eastAsia="仿宋_GB2312"/>
          <w:color w:val="auto"/>
          <w:sz w:val="32"/>
          <w:szCs w:val="32"/>
        </w:rPr>
        <w:br w:type="page"/>
      </w:r>
      <w:bookmarkStart w:id="6" w:name="_Toc384752807"/>
    </w:p>
    <w:p>
      <w:pPr>
        <w:rPr>
          <w:rFonts w:eastAsia="黑体"/>
          <w:color w:val="auto"/>
          <w:sz w:val="28"/>
          <w:szCs w:val="44"/>
        </w:rPr>
      </w:pPr>
      <w:bookmarkStart w:id="7" w:name="_Hlk40704362"/>
      <w:r>
        <w:rPr>
          <w:rFonts w:hint="eastAsia" w:eastAsia="黑体"/>
          <w:color w:val="auto"/>
          <w:sz w:val="28"/>
          <w:szCs w:val="44"/>
        </w:rPr>
        <w:t>附件三法人授权书</w:t>
      </w:r>
    </w:p>
    <w:p>
      <w:pPr>
        <w:widowControl/>
        <w:jc w:val="center"/>
        <w:rPr>
          <w:rFonts w:eastAsia="仿宋_GB2312"/>
          <w:b/>
          <w:color w:val="auto"/>
          <w:sz w:val="32"/>
          <w:szCs w:val="32"/>
        </w:rPr>
      </w:pPr>
    </w:p>
    <w:p>
      <w:pPr>
        <w:widowControl/>
        <w:jc w:val="center"/>
        <w:rPr>
          <w:rFonts w:eastAsia="仿宋_GB2312"/>
          <w:color w:val="auto"/>
          <w:sz w:val="32"/>
          <w:szCs w:val="32"/>
        </w:rPr>
      </w:pPr>
      <w:r>
        <w:rPr>
          <w:rFonts w:hint="eastAsia" w:eastAsia="仿宋_GB2312"/>
          <w:b/>
          <w:color w:val="auto"/>
          <w:sz w:val="32"/>
          <w:szCs w:val="32"/>
        </w:rPr>
        <w:t>授权委托书</w:t>
      </w:r>
      <w:bookmarkEnd w:id="6"/>
    </w:p>
    <w:p>
      <w:pPr>
        <w:pStyle w:val="39"/>
        <w:ind w:firstLine="0" w:firstLineChars="0"/>
        <w:rPr>
          <w:rFonts w:ascii="Times New Roman" w:hAnsi="Times New Roman"/>
          <w:color w:val="auto"/>
          <w:sz w:val="32"/>
          <w:szCs w:val="32"/>
        </w:rPr>
      </w:pPr>
    </w:p>
    <w:p>
      <w:pPr>
        <w:rPr>
          <w:rFonts w:eastAsia="仿宋_GB2312"/>
          <w:color w:val="auto"/>
          <w:sz w:val="32"/>
          <w:szCs w:val="32"/>
        </w:rPr>
      </w:pPr>
      <w:r>
        <w:rPr>
          <w:rFonts w:eastAsia="仿宋_GB2312"/>
          <w:color w:val="auto"/>
          <w:sz w:val="32"/>
          <w:szCs w:val="32"/>
          <w:u w:val="single"/>
        </w:rPr>
        <w:t xml:space="preserve">  </w:t>
      </w:r>
      <w:r>
        <w:rPr>
          <w:rFonts w:hint="eastAsia" w:eastAsia="仿宋_GB2312"/>
          <w:color w:val="auto"/>
          <w:sz w:val="32"/>
          <w:szCs w:val="32"/>
          <w:u w:val="single"/>
          <w:lang w:eastAsia="zh-CN"/>
        </w:rPr>
        <w:t>东莞市莞城建筑工程有限公司</w:t>
      </w:r>
      <w:r>
        <w:rPr>
          <w:rFonts w:hint="eastAsia" w:eastAsia="仿宋_GB2312"/>
          <w:color w:val="auto"/>
          <w:sz w:val="32"/>
          <w:szCs w:val="32"/>
        </w:rPr>
        <w:t>：</w:t>
      </w:r>
    </w:p>
    <w:p>
      <w:pPr>
        <w:pStyle w:val="39"/>
        <w:ind w:firstLine="659"/>
        <w:rPr>
          <w:rFonts w:ascii="Times New Roman" w:hAnsi="Times New Roman"/>
          <w:color w:val="auto"/>
          <w:sz w:val="32"/>
          <w:szCs w:val="32"/>
        </w:rPr>
      </w:pPr>
      <w:r>
        <w:rPr>
          <w:rFonts w:hint="eastAsia" w:ascii="Times New Roman" w:hAnsi="Times New Roman"/>
          <w:color w:val="auto"/>
          <w:sz w:val="32"/>
          <w:szCs w:val="32"/>
        </w:rPr>
        <w:t>本委托书声明：在下面签字的</w:t>
      </w:r>
      <w:r>
        <w:rPr>
          <w:rFonts w:hint="eastAsia" w:ascii="Times New Roman" w:hAnsi="Times New Roman"/>
          <w:color w:val="auto"/>
          <w:sz w:val="32"/>
          <w:szCs w:val="32"/>
          <w:u w:val="single"/>
        </w:rPr>
        <w:t>（填写法定代表人姓名、职务）</w:t>
      </w:r>
      <w:r>
        <w:rPr>
          <w:rFonts w:hint="eastAsia" w:ascii="Times New Roman" w:hAnsi="Times New Roman"/>
          <w:color w:val="auto"/>
          <w:sz w:val="32"/>
          <w:szCs w:val="32"/>
        </w:rPr>
        <w:t>代表</w:t>
      </w:r>
      <w:r>
        <w:rPr>
          <w:rFonts w:hint="eastAsia" w:ascii="Times New Roman" w:hAnsi="Times New Roman"/>
          <w:color w:val="auto"/>
          <w:sz w:val="32"/>
          <w:szCs w:val="32"/>
          <w:u w:val="single"/>
        </w:rPr>
        <w:t>（填写响应人名称）</w:t>
      </w:r>
      <w:r>
        <w:rPr>
          <w:rFonts w:hint="eastAsia" w:ascii="Times New Roman" w:hAnsi="Times New Roman"/>
          <w:color w:val="auto"/>
          <w:sz w:val="32"/>
          <w:szCs w:val="32"/>
        </w:rPr>
        <w:t>委托在下面签字的</w:t>
      </w:r>
      <w:r>
        <w:rPr>
          <w:rFonts w:hint="eastAsia" w:ascii="Times New Roman" w:hAnsi="Times New Roman"/>
          <w:color w:val="auto"/>
          <w:sz w:val="32"/>
          <w:szCs w:val="32"/>
          <w:u w:val="single"/>
        </w:rPr>
        <w:t>（填写受委托人的姓名、职务）</w:t>
      </w:r>
      <w:r>
        <w:rPr>
          <w:rFonts w:hint="eastAsia" w:ascii="Times New Roman" w:hAnsi="Times New Roman"/>
          <w:color w:val="auto"/>
          <w:sz w:val="32"/>
          <w:szCs w:val="32"/>
        </w:rPr>
        <w:t>为本公司的合法代表人，就</w:t>
      </w:r>
      <w:r>
        <w:rPr>
          <w:rFonts w:hint="eastAsia"/>
          <w:color w:val="auto"/>
          <w:sz w:val="32"/>
          <w:szCs w:val="32"/>
          <w:u w:val="single"/>
          <w:lang w:eastAsia="zh-CN"/>
        </w:rPr>
        <w:t>东广东省东莞市城区配套物流仓储建设项目-基坑监测</w:t>
      </w:r>
      <w:r>
        <w:rPr>
          <w:rFonts w:hint="eastAsia"/>
          <w:color w:val="auto"/>
          <w:sz w:val="32"/>
          <w:szCs w:val="32"/>
          <w:u w:val="single"/>
          <w:lang w:val="en-US" w:eastAsia="zh-CN"/>
        </w:rPr>
        <w:t>服务</w:t>
      </w:r>
      <w:r>
        <w:rPr>
          <w:rFonts w:hint="eastAsia"/>
          <w:color w:val="auto"/>
          <w:sz w:val="32"/>
          <w:szCs w:val="32"/>
          <w:u w:val="single"/>
        </w:rPr>
        <w:t>（填写项目名称）</w:t>
      </w:r>
      <w:r>
        <w:rPr>
          <w:rFonts w:hint="eastAsia"/>
          <w:color w:val="auto"/>
          <w:sz w:val="32"/>
          <w:szCs w:val="32"/>
        </w:rPr>
        <w:t>项目</w:t>
      </w:r>
      <w:r>
        <w:rPr>
          <w:rFonts w:hint="eastAsia" w:ascii="Times New Roman" w:hAnsi="Times New Roman"/>
          <w:color w:val="auto"/>
          <w:sz w:val="32"/>
          <w:szCs w:val="32"/>
        </w:rPr>
        <w:t>等相关服务的磋商和合同的执行，以我方的名义处理一切与之有关的事宜（相关身份证复印件须附后）。</w:t>
      </w:r>
    </w:p>
    <w:p>
      <w:pPr>
        <w:pStyle w:val="39"/>
        <w:ind w:firstLine="659"/>
        <w:rPr>
          <w:rFonts w:ascii="Times New Roman" w:hAnsi="Times New Roman"/>
          <w:color w:val="auto"/>
          <w:sz w:val="32"/>
          <w:szCs w:val="32"/>
        </w:rPr>
      </w:pPr>
    </w:p>
    <w:p>
      <w:pPr>
        <w:pStyle w:val="39"/>
        <w:ind w:firstLine="659"/>
        <w:rPr>
          <w:rFonts w:ascii="Times New Roman" w:hAnsi="Times New Roman"/>
          <w:color w:val="auto"/>
          <w:sz w:val="32"/>
          <w:szCs w:val="32"/>
        </w:rPr>
      </w:pPr>
      <w:r>
        <w:rPr>
          <w:rFonts w:hint="eastAsia" w:ascii="Times New Roman" w:hAnsi="Times New Roman"/>
          <w:color w:val="auto"/>
          <w:sz w:val="32"/>
          <w:szCs w:val="32"/>
        </w:rPr>
        <w:t>本委托书于</w:t>
      </w:r>
      <w:r>
        <w:rPr>
          <w:rFonts w:hint="eastAsia" w:ascii="Times New Roman" w:hAnsi="Times New Roman"/>
          <w:color w:val="auto"/>
          <w:sz w:val="32"/>
          <w:szCs w:val="32"/>
          <w:u w:val="single"/>
        </w:rPr>
        <w:t xml:space="preserve">    </w:t>
      </w:r>
      <w:r>
        <w:rPr>
          <w:rFonts w:hint="eastAsia" w:ascii="Times New Roman" w:hAnsi="Times New Roman"/>
          <w:color w:val="auto"/>
          <w:sz w:val="32"/>
          <w:szCs w:val="32"/>
        </w:rPr>
        <w:t>年</w:t>
      </w:r>
      <w:r>
        <w:rPr>
          <w:rFonts w:hint="eastAsia" w:ascii="Times New Roman" w:hAnsi="Times New Roman"/>
          <w:color w:val="auto"/>
          <w:sz w:val="32"/>
          <w:szCs w:val="32"/>
          <w:u w:val="single"/>
        </w:rPr>
        <w:t xml:space="preserve">    </w:t>
      </w:r>
      <w:r>
        <w:rPr>
          <w:rFonts w:hint="eastAsia" w:ascii="Times New Roman" w:hAnsi="Times New Roman"/>
          <w:color w:val="auto"/>
          <w:sz w:val="32"/>
          <w:szCs w:val="32"/>
        </w:rPr>
        <w:t>月</w:t>
      </w:r>
      <w:r>
        <w:rPr>
          <w:rFonts w:hint="eastAsia" w:ascii="Times New Roman" w:hAnsi="Times New Roman"/>
          <w:color w:val="auto"/>
          <w:sz w:val="32"/>
          <w:szCs w:val="32"/>
          <w:u w:val="single"/>
        </w:rPr>
        <w:t xml:space="preserve">    </w:t>
      </w:r>
      <w:r>
        <w:rPr>
          <w:rFonts w:hint="eastAsia" w:ascii="Times New Roman" w:hAnsi="Times New Roman"/>
          <w:color w:val="auto"/>
          <w:sz w:val="32"/>
          <w:szCs w:val="32"/>
        </w:rPr>
        <w:t>日至</w:t>
      </w:r>
      <w:r>
        <w:rPr>
          <w:rFonts w:hint="eastAsia" w:ascii="Times New Roman" w:hAnsi="Times New Roman"/>
          <w:color w:val="auto"/>
          <w:sz w:val="32"/>
          <w:szCs w:val="32"/>
          <w:u w:val="single"/>
        </w:rPr>
        <w:t xml:space="preserve">    </w:t>
      </w:r>
      <w:r>
        <w:rPr>
          <w:rFonts w:hint="eastAsia" w:ascii="Times New Roman" w:hAnsi="Times New Roman"/>
          <w:color w:val="auto"/>
          <w:sz w:val="32"/>
          <w:szCs w:val="32"/>
        </w:rPr>
        <w:t>年</w:t>
      </w:r>
      <w:r>
        <w:rPr>
          <w:rFonts w:hint="eastAsia" w:ascii="Times New Roman" w:hAnsi="Times New Roman"/>
          <w:color w:val="auto"/>
          <w:sz w:val="32"/>
          <w:szCs w:val="32"/>
          <w:u w:val="single"/>
        </w:rPr>
        <w:t xml:space="preserve">    </w:t>
      </w:r>
      <w:r>
        <w:rPr>
          <w:rFonts w:hint="eastAsia" w:ascii="Times New Roman" w:hAnsi="Times New Roman"/>
          <w:color w:val="auto"/>
          <w:sz w:val="32"/>
          <w:szCs w:val="32"/>
        </w:rPr>
        <w:t>月</w:t>
      </w:r>
      <w:r>
        <w:rPr>
          <w:rFonts w:hint="eastAsia" w:ascii="Times New Roman" w:hAnsi="Times New Roman"/>
          <w:color w:val="auto"/>
          <w:sz w:val="32"/>
          <w:szCs w:val="32"/>
          <w:u w:val="single"/>
        </w:rPr>
        <w:t xml:space="preserve">    </w:t>
      </w:r>
      <w:r>
        <w:rPr>
          <w:rFonts w:hint="eastAsia" w:ascii="Times New Roman" w:hAnsi="Times New Roman"/>
          <w:color w:val="auto"/>
          <w:sz w:val="32"/>
          <w:szCs w:val="32"/>
        </w:rPr>
        <w:t>日签字生效，特此声明。</w:t>
      </w:r>
    </w:p>
    <w:p>
      <w:pPr>
        <w:pStyle w:val="39"/>
        <w:ind w:firstLine="659"/>
        <w:rPr>
          <w:rFonts w:ascii="Times New Roman" w:hAnsi="Times New Roman"/>
          <w:color w:val="auto"/>
          <w:sz w:val="32"/>
          <w:szCs w:val="32"/>
        </w:rPr>
      </w:pPr>
    </w:p>
    <w:p>
      <w:pPr>
        <w:pStyle w:val="39"/>
        <w:keepNext w:val="0"/>
        <w:keepLines w:val="0"/>
        <w:pageBreakBefore w:val="0"/>
        <w:widowControl w:val="0"/>
        <w:kinsoku/>
        <w:wordWrap/>
        <w:overflowPunct/>
        <w:topLinePunct w:val="0"/>
        <w:autoSpaceDE/>
        <w:autoSpaceDN/>
        <w:bidi w:val="0"/>
        <w:adjustRightInd/>
        <w:snapToGrid/>
        <w:spacing w:line="560" w:lineRule="exact"/>
        <w:ind w:right="160" w:firstLine="0" w:firstLineChars="0"/>
        <w:jc w:val="left"/>
        <w:textAlignment w:val="auto"/>
        <w:rPr>
          <w:rFonts w:ascii="Times New Roman" w:hAnsi="Times New Roman"/>
          <w:color w:val="auto"/>
          <w:sz w:val="32"/>
          <w:szCs w:val="32"/>
        </w:rPr>
      </w:pPr>
      <w:r>
        <w:rPr>
          <w:rFonts w:hint="eastAsia" w:ascii="Times New Roman" w:hAnsi="Times New Roman"/>
          <w:color w:val="auto"/>
          <w:sz w:val="32"/>
          <w:szCs w:val="32"/>
        </w:rPr>
        <w:t>响应人名称（加盖公章）：</w:t>
      </w:r>
    </w:p>
    <w:p>
      <w:pPr>
        <w:pStyle w:val="39"/>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ascii="Times New Roman" w:hAnsi="Times New Roman"/>
          <w:color w:val="auto"/>
          <w:sz w:val="32"/>
          <w:szCs w:val="32"/>
        </w:rPr>
      </w:pPr>
      <w:r>
        <w:rPr>
          <w:rFonts w:hint="eastAsia" w:ascii="Times New Roman" w:hAnsi="Times New Roman"/>
          <w:color w:val="auto"/>
          <w:sz w:val="32"/>
          <w:szCs w:val="32"/>
        </w:rPr>
        <w:t>响应人地址：</w:t>
      </w:r>
    </w:p>
    <w:p>
      <w:pPr>
        <w:pStyle w:val="39"/>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ascii="Times New Roman" w:hAnsi="Times New Roman"/>
          <w:color w:val="auto"/>
          <w:sz w:val="32"/>
          <w:szCs w:val="32"/>
        </w:rPr>
      </w:pPr>
      <w:r>
        <w:rPr>
          <w:rFonts w:hint="eastAsia" w:ascii="Times New Roman" w:hAnsi="Times New Roman"/>
          <w:color w:val="auto"/>
          <w:sz w:val="32"/>
          <w:szCs w:val="32"/>
        </w:rPr>
        <w:t>法定代表人（签字或盖章）：</w:t>
      </w:r>
    </w:p>
    <w:p>
      <w:pPr>
        <w:pStyle w:val="39"/>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ascii="Times New Roman" w:hAnsi="Times New Roman"/>
          <w:color w:val="auto"/>
          <w:sz w:val="32"/>
          <w:szCs w:val="32"/>
        </w:rPr>
      </w:pPr>
      <w:r>
        <w:rPr>
          <w:rFonts w:hint="eastAsia" w:ascii="Times New Roman" w:hAnsi="Times New Roman"/>
          <w:color w:val="auto"/>
          <w:sz w:val="32"/>
          <w:szCs w:val="32"/>
        </w:rPr>
        <w:t>职务：</w:t>
      </w:r>
    </w:p>
    <w:p>
      <w:pPr>
        <w:pStyle w:val="39"/>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ascii="Times New Roman" w:hAnsi="Times New Roman"/>
          <w:color w:val="auto"/>
          <w:sz w:val="32"/>
          <w:szCs w:val="32"/>
        </w:rPr>
      </w:pPr>
      <w:r>
        <w:rPr>
          <w:rFonts w:hint="eastAsia" w:ascii="Times New Roman" w:hAnsi="Times New Roman"/>
          <w:color w:val="auto"/>
          <w:sz w:val="32"/>
          <w:szCs w:val="32"/>
        </w:rPr>
        <w:t>受委托人（签字或盖章）：</w:t>
      </w:r>
    </w:p>
    <w:p>
      <w:pPr>
        <w:pStyle w:val="39"/>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ascii="Times New Roman" w:hAnsi="Times New Roman"/>
          <w:color w:val="auto"/>
          <w:sz w:val="32"/>
          <w:szCs w:val="32"/>
        </w:rPr>
      </w:pPr>
      <w:r>
        <w:rPr>
          <w:rFonts w:hint="eastAsia" w:ascii="Times New Roman" w:hAnsi="Times New Roman"/>
          <w:color w:val="auto"/>
          <w:sz w:val="32"/>
          <w:szCs w:val="32"/>
        </w:rPr>
        <w:t>职务：</w:t>
      </w:r>
    </w:p>
    <w:p>
      <w:pPr>
        <w:pStyle w:val="39"/>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ascii="Times New Roman" w:hAnsi="Times New Roman"/>
          <w:color w:val="auto"/>
          <w:sz w:val="32"/>
          <w:szCs w:val="32"/>
        </w:rPr>
      </w:pPr>
      <w:r>
        <w:rPr>
          <w:rFonts w:hint="eastAsia" w:ascii="Times New Roman" w:hAnsi="Times New Roman"/>
          <w:color w:val="auto"/>
          <w:sz w:val="32"/>
          <w:szCs w:val="32"/>
        </w:rPr>
        <w:t>日期：</w:t>
      </w:r>
    </w:p>
    <w:bookmarkEnd w:id="7"/>
    <w:p>
      <w:pPr>
        <w:rPr>
          <w:rFonts w:eastAsia="黑体"/>
          <w:color w:val="auto"/>
          <w:sz w:val="28"/>
          <w:szCs w:val="44"/>
        </w:rPr>
      </w:pPr>
      <w:r>
        <w:rPr>
          <w:color w:val="auto"/>
          <w:sz w:val="32"/>
          <w:szCs w:val="32"/>
        </w:rPr>
        <w:br w:type="page"/>
      </w:r>
      <w:r>
        <w:rPr>
          <w:rFonts w:hint="eastAsia" w:eastAsia="黑体"/>
          <w:color w:val="auto"/>
          <w:sz w:val="28"/>
          <w:szCs w:val="44"/>
        </w:rPr>
        <w:t>附件四承诺函</w:t>
      </w:r>
    </w:p>
    <w:p>
      <w:pPr>
        <w:pStyle w:val="40"/>
        <w:ind w:firstLine="0" w:firstLineChars="0"/>
        <w:jc w:val="center"/>
        <w:rPr>
          <w:rFonts w:eastAsia="仿宋_GB2312"/>
          <w:b/>
          <w:color w:val="auto"/>
          <w:sz w:val="32"/>
          <w:szCs w:val="32"/>
        </w:rPr>
      </w:pPr>
      <w:r>
        <w:rPr>
          <w:rFonts w:hint="eastAsia" w:eastAsia="仿宋_GB2312"/>
          <w:b/>
          <w:color w:val="auto"/>
          <w:sz w:val="32"/>
          <w:szCs w:val="32"/>
        </w:rPr>
        <w:t>承诺函</w:t>
      </w:r>
    </w:p>
    <w:p>
      <w:pPr>
        <w:rPr>
          <w:rFonts w:eastAsia="仿宋_GB2312"/>
          <w:color w:val="auto"/>
          <w:sz w:val="32"/>
          <w:szCs w:val="32"/>
        </w:rPr>
      </w:pPr>
      <w:r>
        <w:rPr>
          <w:rFonts w:eastAsia="仿宋_GB2312"/>
          <w:color w:val="auto"/>
          <w:sz w:val="32"/>
          <w:szCs w:val="32"/>
          <w:u w:val="single"/>
        </w:rPr>
        <w:t xml:space="preserve">  </w:t>
      </w:r>
      <w:r>
        <w:rPr>
          <w:rFonts w:hint="eastAsia" w:eastAsia="仿宋_GB2312"/>
          <w:color w:val="auto"/>
          <w:sz w:val="32"/>
          <w:szCs w:val="32"/>
          <w:u w:val="single"/>
          <w:lang w:eastAsia="zh-CN"/>
        </w:rPr>
        <w:t>东莞市莞城建筑工程有限公司</w:t>
      </w:r>
      <w:r>
        <w:rPr>
          <w:rFonts w:hint="eastAsia" w:eastAsia="仿宋_GB2312"/>
          <w:color w:val="auto"/>
          <w:sz w:val="32"/>
          <w:szCs w:val="32"/>
        </w:rPr>
        <w:t>：</w:t>
      </w:r>
    </w:p>
    <w:p>
      <w:pPr>
        <w:pStyle w:val="39"/>
        <w:ind w:firstLine="640" w:firstLineChars="0"/>
        <w:rPr>
          <w:rFonts w:ascii="Times New Roman" w:hAnsi="Times New Roman"/>
          <w:color w:val="auto"/>
          <w:sz w:val="32"/>
          <w:szCs w:val="32"/>
        </w:rPr>
      </w:pPr>
      <w:r>
        <w:rPr>
          <w:rFonts w:hint="eastAsia" w:ascii="Times New Roman" w:hAnsi="Times New Roman"/>
          <w:color w:val="auto"/>
          <w:sz w:val="32"/>
          <w:szCs w:val="32"/>
        </w:rPr>
        <w:t>我司就参加</w:t>
      </w:r>
      <w:r>
        <w:rPr>
          <w:rFonts w:hint="eastAsia"/>
          <w:color w:val="auto"/>
          <w:sz w:val="32"/>
          <w:szCs w:val="32"/>
          <w:u w:val="single"/>
          <w:lang w:eastAsia="zh-CN"/>
        </w:rPr>
        <w:t>广东省东莞市城区配套物流仓储建设项目-基坑监测</w:t>
      </w:r>
      <w:r>
        <w:rPr>
          <w:rFonts w:hint="eastAsia"/>
          <w:color w:val="auto"/>
          <w:sz w:val="32"/>
          <w:szCs w:val="32"/>
          <w:u w:val="single"/>
        </w:rPr>
        <w:t>（项目名称）</w:t>
      </w:r>
      <w:r>
        <w:rPr>
          <w:rFonts w:hint="eastAsia"/>
          <w:color w:val="auto"/>
          <w:sz w:val="32"/>
          <w:szCs w:val="32"/>
        </w:rPr>
        <w:t>项目</w:t>
      </w:r>
      <w:r>
        <w:rPr>
          <w:rFonts w:hint="eastAsia" w:ascii="Times New Roman" w:hAnsi="Times New Roman"/>
          <w:color w:val="auto"/>
          <w:sz w:val="32"/>
          <w:szCs w:val="32"/>
        </w:rPr>
        <w:t>投标工作，作出以下承诺：</w:t>
      </w:r>
    </w:p>
    <w:p>
      <w:pPr>
        <w:pStyle w:val="39"/>
        <w:ind w:firstLine="659"/>
        <w:rPr>
          <w:rFonts w:ascii="Times New Roman" w:hAnsi="Times New Roman"/>
          <w:color w:val="auto"/>
          <w:sz w:val="32"/>
          <w:szCs w:val="32"/>
        </w:rPr>
      </w:pPr>
      <w:r>
        <w:rPr>
          <w:rFonts w:hint="eastAsia" w:ascii="Times New Roman" w:hAnsi="Times New Roman"/>
          <w:color w:val="auto"/>
          <w:sz w:val="32"/>
          <w:szCs w:val="32"/>
        </w:rPr>
        <w:t>我公司已充分了解采购项目情况，本次报价完全响应竞争性磋商文件的要求，我公司所提供的基坑监测服务</w:t>
      </w:r>
      <w:r>
        <w:rPr>
          <w:rFonts w:hint="eastAsia" w:eastAsia="仿宋_GB2312"/>
          <w:color w:val="auto"/>
          <w:sz w:val="32"/>
          <w:szCs w:val="32"/>
          <w:u w:val="single"/>
          <w:lang w:eastAsia="zh-CN"/>
        </w:rPr>
        <w:t>基坑监测服务</w:t>
      </w:r>
      <w:r>
        <w:rPr>
          <w:rFonts w:hint="eastAsia"/>
          <w:color w:val="auto"/>
          <w:sz w:val="32"/>
          <w:szCs w:val="32"/>
          <w:u w:val="single"/>
        </w:rPr>
        <w:t>（服务内容）</w:t>
      </w:r>
      <w:r>
        <w:rPr>
          <w:rFonts w:hint="eastAsia" w:ascii="Times New Roman" w:hAnsi="Times New Roman"/>
          <w:color w:val="auto"/>
          <w:sz w:val="32"/>
          <w:szCs w:val="32"/>
        </w:rPr>
        <w:t>等于或优于采购人需求，并承诺如不满足采购人需求，采购人有权取消合同并进行违约处罚。</w:t>
      </w:r>
    </w:p>
    <w:p>
      <w:pPr>
        <w:pStyle w:val="39"/>
        <w:ind w:firstLine="659"/>
        <w:rPr>
          <w:rFonts w:ascii="Times New Roman" w:hAnsi="Times New Roman"/>
          <w:color w:val="auto"/>
          <w:sz w:val="32"/>
          <w:szCs w:val="32"/>
        </w:rPr>
      </w:pPr>
    </w:p>
    <w:p>
      <w:pPr>
        <w:pStyle w:val="39"/>
        <w:ind w:firstLine="0" w:firstLineChars="0"/>
        <w:jc w:val="left"/>
        <w:rPr>
          <w:rFonts w:ascii="Times New Roman" w:hAnsi="Times New Roman"/>
          <w:color w:val="auto"/>
          <w:sz w:val="32"/>
          <w:szCs w:val="32"/>
        </w:rPr>
      </w:pPr>
    </w:p>
    <w:p>
      <w:pPr>
        <w:jc w:val="left"/>
        <w:rPr>
          <w:rFonts w:eastAsia="仿宋"/>
          <w:color w:val="auto"/>
          <w:sz w:val="32"/>
          <w:szCs w:val="32"/>
        </w:rPr>
      </w:pPr>
    </w:p>
    <w:p>
      <w:pPr>
        <w:jc w:val="left"/>
        <w:rPr>
          <w:rFonts w:eastAsia="仿宋"/>
          <w:color w:val="auto"/>
          <w:sz w:val="32"/>
          <w:szCs w:val="32"/>
        </w:rPr>
      </w:pPr>
    </w:p>
    <w:p>
      <w:pPr>
        <w:jc w:val="left"/>
        <w:rPr>
          <w:rFonts w:eastAsia="仿宋"/>
          <w:color w:val="auto"/>
          <w:sz w:val="32"/>
          <w:szCs w:val="32"/>
        </w:rPr>
      </w:pPr>
    </w:p>
    <w:p>
      <w:pPr>
        <w:pStyle w:val="39"/>
        <w:ind w:right="160" w:firstLine="0" w:firstLineChars="0"/>
        <w:jc w:val="left"/>
        <w:rPr>
          <w:rFonts w:ascii="Times New Roman" w:hAnsi="Times New Roman"/>
          <w:color w:val="auto"/>
          <w:sz w:val="32"/>
          <w:szCs w:val="32"/>
        </w:rPr>
      </w:pPr>
      <w:r>
        <w:rPr>
          <w:rFonts w:hint="eastAsia" w:ascii="Times New Roman" w:hAnsi="Times New Roman"/>
          <w:color w:val="auto"/>
          <w:sz w:val="32"/>
          <w:szCs w:val="32"/>
        </w:rPr>
        <w:t>响应人名称（加盖公章）：</w:t>
      </w:r>
    </w:p>
    <w:p>
      <w:pPr>
        <w:pStyle w:val="39"/>
        <w:ind w:firstLine="0" w:firstLineChars="0"/>
        <w:jc w:val="left"/>
        <w:rPr>
          <w:rFonts w:ascii="Times New Roman" w:hAnsi="Times New Roman"/>
          <w:color w:val="auto"/>
          <w:sz w:val="32"/>
          <w:szCs w:val="32"/>
        </w:rPr>
      </w:pPr>
      <w:r>
        <w:rPr>
          <w:rFonts w:hint="eastAsia" w:ascii="Times New Roman" w:hAnsi="Times New Roman"/>
          <w:color w:val="auto"/>
          <w:sz w:val="32"/>
          <w:szCs w:val="32"/>
        </w:rPr>
        <w:t>响应人地址：</w:t>
      </w:r>
    </w:p>
    <w:p>
      <w:pPr>
        <w:pStyle w:val="39"/>
        <w:ind w:firstLine="0" w:firstLineChars="0"/>
        <w:jc w:val="left"/>
        <w:rPr>
          <w:rFonts w:ascii="Times New Roman" w:hAnsi="Times New Roman"/>
          <w:color w:val="auto"/>
          <w:sz w:val="32"/>
          <w:szCs w:val="32"/>
        </w:rPr>
      </w:pPr>
      <w:r>
        <w:rPr>
          <w:rFonts w:hint="eastAsia" w:ascii="Times New Roman" w:hAnsi="Times New Roman"/>
          <w:color w:val="auto"/>
          <w:sz w:val="32"/>
          <w:szCs w:val="32"/>
        </w:rPr>
        <w:t>法定代表人（签字或盖章）：</w:t>
      </w:r>
    </w:p>
    <w:p>
      <w:pPr>
        <w:pStyle w:val="39"/>
        <w:ind w:firstLine="0" w:firstLineChars="0"/>
        <w:jc w:val="left"/>
        <w:rPr>
          <w:rFonts w:ascii="Times New Roman" w:hAnsi="Times New Roman"/>
          <w:color w:val="auto"/>
          <w:sz w:val="32"/>
          <w:szCs w:val="32"/>
        </w:rPr>
      </w:pPr>
      <w:r>
        <w:rPr>
          <w:rFonts w:hint="eastAsia" w:ascii="Times New Roman" w:hAnsi="Times New Roman"/>
          <w:color w:val="auto"/>
          <w:sz w:val="32"/>
          <w:szCs w:val="32"/>
        </w:rPr>
        <w:t>职务：</w:t>
      </w:r>
    </w:p>
    <w:p>
      <w:pPr>
        <w:pStyle w:val="39"/>
        <w:ind w:firstLine="0" w:firstLineChars="0"/>
        <w:jc w:val="left"/>
        <w:rPr>
          <w:rFonts w:hint="eastAsia" w:ascii="Times New Roman" w:hAnsi="Times New Roman"/>
          <w:color w:val="auto"/>
          <w:sz w:val="32"/>
          <w:szCs w:val="32"/>
        </w:rPr>
      </w:pPr>
      <w:r>
        <w:rPr>
          <w:rFonts w:hint="eastAsia" w:ascii="Times New Roman" w:hAnsi="Times New Roman"/>
          <w:color w:val="auto"/>
          <w:sz w:val="32"/>
          <w:szCs w:val="32"/>
        </w:rPr>
        <w:t>日期：</w:t>
      </w:r>
    </w:p>
    <w:p>
      <w:pPr>
        <w:pStyle w:val="39"/>
        <w:ind w:firstLine="0" w:firstLineChars="0"/>
        <w:jc w:val="left"/>
        <w:rPr>
          <w:rFonts w:hint="eastAsia" w:ascii="Times New Roman" w:hAnsi="Times New Roman"/>
          <w:color w:val="auto"/>
          <w:sz w:val="32"/>
          <w:szCs w:val="32"/>
        </w:rPr>
      </w:pPr>
    </w:p>
    <w:p>
      <w:pPr>
        <w:pStyle w:val="39"/>
        <w:ind w:firstLine="0" w:firstLineChars="0"/>
        <w:jc w:val="left"/>
        <w:rPr>
          <w:rFonts w:hint="eastAsia" w:ascii="Times New Roman" w:hAnsi="Times New Roman"/>
          <w:color w:val="auto"/>
          <w:sz w:val="32"/>
          <w:szCs w:val="32"/>
        </w:rPr>
      </w:pPr>
    </w:p>
    <w:p>
      <w:pPr>
        <w:rPr>
          <w:rFonts w:hint="eastAsia" w:ascii="Times New Roman" w:hAnsi="Times New Roman"/>
          <w:color w:val="auto"/>
          <w:sz w:val="32"/>
          <w:szCs w:val="32"/>
        </w:rPr>
      </w:pPr>
      <w:r>
        <w:rPr>
          <w:rFonts w:hint="eastAsia" w:ascii="Times New Roman" w:hAnsi="Times New Roman"/>
          <w:color w:val="auto"/>
          <w:sz w:val="32"/>
          <w:szCs w:val="32"/>
        </w:rPr>
        <w:br w:type="page"/>
      </w:r>
    </w:p>
    <w:p>
      <w:pPr>
        <w:pStyle w:val="40"/>
        <w:ind w:firstLine="0" w:firstLineChars="0"/>
        <w:jc w:val="left"/>
        <w:outlineLvl w:val="1"/>
        <w:rPr>
          <w:rFonts w:hAnsi="宋体"/>
          <w:b/>
          <w:bCs/>
          <w:color w:val="auto"/>
          <w:kern w:val="44"/>
          <w:sz w:val="30"/>
          <w:szCs w:val="30"/>
          <w:lang w:val="zh-CN"/>
        </w:rPr>
      </w:pPr>
      <w:bookmarkStart w:id="8" w:name="_Hlk40704598"/>
      <w:r>
        <w:rPr>
          <w:rFonts w:hint="eastAsia" w:eastAsia="黑体"/>
          <w:color w:val="auto"/>
          <w:sz w:val="28"/>
          <w:szCs w:val="44"/>
        </w:rPr>
        <w:t>附件五用户需求书</w:t>
      </w:r>
      <w:bookmarkEnd w:id="8"/>
      <w:bookmarkStart w:id="9" w:name="_Toc148265712"/>
      <w:bookmarkEnd w:id="9"/>
    </w:p>
    <w:p>
      <w:pPr>
        <w:adjustRightInd/>
        <w:spacing w:line="360" w:lineRule="auto"/>
        <w:rPr>
          <w:rFonts w:hint="eastAsia" w:hAnsi="宋体"/>
          <w:b/>
          <w:color w:val="auto"/>
        </w:rPr>
      </w:pPr>
      <w:bookmarkStart w:id="10" w:name="_Toc11633"/>
    </w:p>
    <w:p>
      <w:pPr>
        <w:adjustRightInd/>
        <w:spacing w:line="360" w:lineRule="auto"/>
        <w:rPr>
          <w:rFonts w:hint="eastAsia" w:ascii="宋体" w:hAnsi="宋体" w:eastAsia="宋体" w:cs="宋体"/>
          <w:b/>
          <w:color w:val="auto"/>
        </w:rPr>
      </w:pPr>
      <w:r>
        <w:rPr>
          <w:rFonts w:hint="eastAsia" w:hAnsi="宋体"/>
          <w:b/>
          <w:color w:val="auto"/>
        </w:rPr>
        <w:t>一、</w:t>
      </w:r>
      <w:r>
        <w:rPr>
          <w:rFonts w:hAnsi="宋体"/>
          <w:b/>
          <w:color w:val="auto"/>
        </w:rPr>
        <w:t>项目简介</w:t>
      </w:r>
    </w:p>
    <w:p>
      <w:pPr>
        <w:keepNext w:val="0"/>
        <w:keepLines w:val="0"/>
        <w:pageBreakBefore w:val="0"/>
        <w:kinsoku/>
        <w:wordWrap/>
        <w:overflowPunct/>
        <w:topLinePunct w:val="0"/>
        <w:bidi w:val="0"/>
        <w:snapToGrid/>
        <w:spacing w:line="360" w:lineRule="auto"/>
        <w:ind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1</w:t>
      </w:r>
      <w:r>
        <w:rPr>
          <w:rFonts w:hint="eastAsia" w:ascii="宋体" w:hAnsi="宋体" w:cs="宋体"/>
          <w:color w:val="auto"/>
          <w:sz w:val="21"/>
          <w:szCs w:val="21"/>
          <w:lang w:eastAsia="zh-CN"/>
        </w:rPr>
        <w:t>、</w:t>
      </w:r>
      <w:r>
        <w:rPr>
          <w:rFonts w:hint="eastAsia" w:ascii="宋体" w:hAnsi="宋体" w:cs="宋体"/>
          <w:b w:val="0"/>
          <w:bCs/>
          <w:color w:val="auto"/>
          <w:sz w:val="21"/>
          <w:szCs w:val="21"/>
          <w:lang w:val="en-US" w:eastAsia="zh-CN"/>
        </w:rPr>
        <w:t>项目</w:t>
      </w:r>
      <w:r>
        <w:rPr>
          <w:rFonts w:hint="eastAsia" w:ascii="宋体" w:hAnsi="宋体" w:eastAsia="宋体" w:cs="宋体"/>
          <w:color w:val="auto"/>
          <w:sz w:val="21"/>
          <w:szCs w:val="21"/>
        </w:rPr>
        <w:t>名称：广东省东莞市城区配套物流仓储建设项目-基坑监测服务</w:t>
      </w:r>
      <w:r>
        <w:rPr>
          <w:rFonts w:hint="eastAsia" w:ascii="宋体" w:hAnsi="宋体" w:cs="宋体"/>
          <w:color w:val="auto"/>
          <w:sz w:val="21"/>
          <w:szCs w:val="21"/>
          <w:lang w:eastAsia="zh-CN"/>
        </w:rPr>
        <w:t>。</w:t>
      </w:r>
    </w:p>
    <w:p>
      <w:pPr>
        <w:keepNext w:val="0"/>
        <w:keepLines w:val="0"/>
        <w:pageBreakBefore w:val="0"/>
        <w:kinsoku/>
        <w:wordWrap/>
        <w:overflowPunct/>
        <w:topLinePunct w:val="0"/>
        <w:bidi w:val="0"/>
        <w:snapToGrid/>
        <w:spacing w:line="360" w:lineRule="auto"/>
        <w:ind w:firstLine="420" w:firstLineChars="200"/>
        <w:textAlignment w:val="auto"/>
        <w:rPr>
          <w:rFonts w:hint="eastAsia" w:ascii="宋体" w:hAnsi="宋体" w:eastAsia="宋体" w:cs="宋体"/>
          <w:color w:val="auto"/>
        </w:rPr>
      </w:pPr>
      <w:r>
        <w:rPr>
          <w:rFonts w:hint="eastAsia" w:ascii="宋体" w:hAnsi="宋体" w:eastAsia="宋体" w:cs="宋体"/>
          <w:color w:val="auto"/>
          <w:sz w:val="21"/>
          <w:szCs w:val="21"/>
        </w:rPr>
        <w:t>2</w:t>
      </w:r>
      <w:r>
        <w:rPr>
          <w:rFonts w:hint="eastAsia" w:ascii="宋体" w:hAnsi="宋体" w:cs="宋体"/>
          <w:color w:val="auto"/>
          <w:sz w:val="21"/>
          <w:szCs w:val="21"/>
          <w:lang w:eastAsia="zh-CN"/>
        </w:rPr>
        <w:t>、</w:t>
      </w:r>
      <w:r>
        <w:rPr>
          <w:rFonts w:hint="eastAsia" w:ascii="宋体" w:hAnsi="宋体" w:eastAsia="宋体" w:cs="宋体"/>
          <w:color w:val="auto"/>
          <w:sz w:val="21"/>
          <w:szCs w:val="21"/>
        </w:rPr>
        <w:t>项目概况：</w:t>
      </w:r>
      <w:r>
        <w:rPr>
          <w:rFonts w:hint="eastAsia" w:ascii="宋体" w:hAnsi="宋体" w:eastAsia="宋体" w:cs="宋体"/>
          <w:color w:val="auto"/>
          <w:sz w:val="21"/>
          <w:szCs w:val="21"/>
          <w:lang w:val="en-US" w:eastAsia="zh-CN"/>
        </w:rPr>
        <w:t>广东省东莞市城区配套物流仓储建设项目规划用地面积约23748.62平方米，总建筑面积约49606平方米。建设仓储物流（冷链），配套建设约1000个公共停车位等。（具体建设规模及内容以批复方案为准）。</w:t>
      </w:r>
    </w:p>
    <w:p>
      <w:pPr>
        <w:adjustRightInd/>
        <w:spacing w:line="360" w:lineRule="auto"/>
        <w:rPr>
          <w:rFonts w:hint="eastAsia" w:ascii="宋体" w:hAnsi="宋体" w:eastAsia="宋体" w:cs="宋体"/>
          <w:b/>
          <w:color w:val="auto"/>
        </w:rPr>
      </w:pPr>
      <w:r>
        <w:rPr>
          <w:rFonts w:hint="eastAsia" w:ascii="宋体" w:hAnsi="宋体" w:eastAsia="宋体" w:cs="宋体"/>
          <w:b/>
          <w:color w:val="auto"/>
        </w:rPr>
        <w:t>二、基坑监测内容、监测频率</w:t>
      </w:r>
    </w:p>
    <w:p>
      <w:pPr>
        <w:keepNext w:val="0"/>
        <w:keepLines w:val="0"/>
        <w:pageBreakBefore w:val="0"/>
        <w:kinsoku/>
        <w:wordWrap/>
        <w:overflowPunct/>
        <w:topLinePunct w:val="0"/>
        <w:bidi w:val="0"/>
        <w:snapToGrid/>
        <w:spacing w:line="360" w:lineRule="auto"/>
        <w:ind w:firstLine="420" w:firstLineChars="200"/>
        <w:textAlignment w:val="auto"/>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1</w:t>
      </w:r>
      <w:r>
        <w:rPr>
          <w:rFonts w:hint="eastAsia" w:ascii="宋体" w:hAnsi="宋体" w:cs="宋体"/>
          <w:color w:val="auto"/>
          <w:sz w:val="21"/>
          <w:szCs w:val="21"/>
          <w:lang w:val="en-US" w:eastAsia="zh-CN"/>
        </w:rPr>
        <w:t>、</w:t>
      </w:r>
      <w:r>
        <w:rPr>
          <w:rFonts w:hint="eastAsia" w:ascii="宋体" w:hAnsi="宋体" w:eastAsia="宋体" w:cs="宋体"/>
          <w:color w:val="auto"/>
          <w:sz w:val="21"/>
          <w:szCs w:val="21"/>
          <w:lang w:val="en-US"/>
        </w:rPr>
        <w:t>水平位移、沉降工作基点埋设、现场监测及成果整理等。</w:t>
      </w:r>
    </w:p>
    <w:p>
      <w:pPr>
        <w:keepNext w:val="0"/>
        <w:keepLines w:val="0"/>
        <w:pageBreakBefore w:val="0"/>
        <w:kinsoku/>
        <w:wordWrap/>
        <w:overflowPunct/>
        <w:topLinePunct w:val="0"/>
        <w:bidi w:val="0"/>
        <w:snapToGrid/>
        <w:spacing w:line="360" w:lineRule="auto"/>
        <w:ind w:firstLine="420" w:firstLineChars="200"/>
        <w:textAlignment w:val="auto"/>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2</w:t>
      </w:r>
      <w:r>
        <w:rPr>
          <w:rFonts w:hint="eastAsia" w:ascii="宋体" w:hAnsi="宋体" w:cs="宋体"/>
          <w:color w:val="auto"/>
          <w:sz w:val="21"/>
          <w:szCs w:val="21"/>
          <w:lang w:val="en-US" w:eastAsia="zh-CN"/>
        </w:rPr>
        <w:t>、</w:t>
      </w:r>
      <w:r>
        <w:rPr>
          <w:rFonts w:hint="eastAsia" w:ascii="宋体" w:hAnsi="宋体" w:eastAsia="宋体" w:cs="宋体"/>
          <w:color w:val="auto"/>
          <w:sz w:val="21"/>
          <w:szCs w:val="21"/>
          <w:lang w:val="en-US"/>
        </w:rPr>
        <w:t>坑顶沉降观测点埋设、现场监测及成果整理等。</w:t>
      </w:r>
    </w:p>
    <w:p>
      <w:pPr>
        <w:keepNext w:val="0"/>
        <w:keepLines w:val="0"/>
        <w:pageBreakBefore w:val="0"/>
        <w:kinsoku/>
        <w:wordWrap/>
        <w:overflowPunct/>
        <w:topLinePunct w:val="0"/>
        <w:bidi w:val="0"/>
        <w:snapToGrid/>
        <w:spacing w:line="360" w:lineRule="auto"/>
        <w:ind w:firstLine="420" w:firstLineChars="200"/>
        <w:textAlignment w:val="auto"/>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3</w:t>
      </w:r>
      <w:r>
        <w:rPr>
          <w:rFonts w:hint="eastAsia" w:ascii="宋体" w:hAnsi="宋体" w:cs="宋体"/>
          <w:color w:val="auto"/>
          <w:sz w:val="21"/>
          <w:szCs w:val="21"/>
          <w:lang w:val="en-US" w:eastAsia="zh-CN"/>
        </w:rPr>
        <w:t>、</w:t>
      </w:r>
      <w:r>
        <w:rPr>
          <w:rFonts w:hint="eastAsia" w:ascii="宋体" w:hAnsi="宋体" w:eastAsia="宋体" w:cs="宋体"/>
          <w:color w:val="auto"/>
          <w:sz w:val="21"/>
          <w:szCs w:val="21"/>
          <w:lang w:val="en-US"/>
        </w:rPr>
        <w:t>坑顶位移观测点埋设、现场监测及成果整理等。</w:t>
      </w:r>
    </w:p>
    <w:p>
      <w:pPr>
        <w:keepNext w:val="0"/>
        <w:keepLines w:val="0"/>
        <w:pageBreakBefore w:val="0"/>
        <w:kinsoku/>
        <w:wordWrap/>
        <w:overflowPunct/>
        <w:topLinePunct w:val="0"/>
        <w:bidi w:val="0"/>
        <w:snapToGrid/>
        <w:spacing w:line="360" w:lineRule="auto"/>
        <w:ind w:firstLine="420" w:firstLineChars="200"/>
        <w:textAlignment w:val="auto"/>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4</w:t>
      </w:r>
      <w:r>
        <w:rPr>
          <w:rFonts w:hint="eastAsia" w:ascii="宋体" w:hAnsi="宋体" w:cs="宋体"/>
          <w:color w:val="auto"/>
          <w:sz w:val="21"/>
          <w:szCs w:val="21"/>
          <w:lang w:val="en-US" w:eastAsia="zh-CN"/>
        </w:rPr>
        <w:t>、</w:t>
      </w:r>
      <w:r>
        <w:rPr>
          <w:rFonts w:hint="eastAsia" w:ascii="宋体" w:hAnsi="宋体" w:eastAsia="宋体" w:cs="宋体"/>
          <w:color w:val="auto"/>
          <w:sz w:val="21"/>
          <w:szCs w:val="21"/>
          <w:lang w:val="en-US"/>
        </w:rPr>
        <w:t>周边道路、管线沉降观测点埋设、现场监测及成果整理等。</w:t>
      </w:r>
    </w:p>
    <w:p>
      <w:pPr>
        <w:keepNext w:val="0"/>
        <w:keepLines w:val="0"/>
        <w:pageBreakBefore w:val="0"/>
        <w:kinsoku/>
        <w:wordWrap/>
        <w:overflowPunct/>
        <w:topLinePunct w:val="0"/>
        <w:bidi w:val="0"/>
        <w:snapToGrid/>
        <w:spacing w:line="360" w:lineRule="auto"/>
        <w:ind w:firstLine="420" w:firstLineChars="200"/>
        <w:textAlignment w:val="auto"/>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5</w:t>
      </w:r>
      <w:r>
        <w:rPr>
          <w:rFonts w:hint="eastAsia" w:ascii="宋体" w:hAnsi="宋体" w:cs="宋体"/>
          <w:color w:val="auto"/>
          <w:sz w:val="21"/>
          <w:szCs w:val="21"/>
          <w:lang w:val="en-US" w:eastAsia="zh-CN"/>
        </w:rPr>
        <w:t>、</w:t>
      </w:r>
      <w:r>
        <w:rPr>
          <w:rFonts w:hint="eastAsia" w:ascii="宋体" w:hAnsi="宋体" w:eastAsia="宋体" w:cs="宋体"/>
          <w:color w:val="auto"/>
          <w:sz w:val="21"/>
          <w:szCs w:val="21"/>
          <w:lang w:val="en-US"/>
        </w:rPr>
        <w:t>锚索应力监测点埋设、现场监测及成果整理等。</w:t>
      </w:r>
    </w:p>
    <w:p>
      <w:pPr>
        <w:keepNext w:val="0"/>
        <w:keepLines w:val="0"/>
        <w:pageBreakBefore w:val="0"/>
        <w:kinsoku/>
        <w:wordWrap/>
        <w:overflowPunct/>
        <w:topLinePunct w:val="0"/>
        <w:bidi w:val="0"/>
        <w:snapToGrid/>
        <w:spacing w:line="360" w:lineRule="auto"/>
        <w:ind w:firstLine="420" w:firstLineChars="200"/>
        <w:textAlignment w:val="auto"/>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6</w:t>
      </w:r>
      <w:r>
        <w:rPr>
          <w:rFonts w:hint="eastAsia" w:ascii="宋体" w:hAnsi="宋体" w:cs="宋体"/>
          <w:color w:val="auto"/>
          <w:sz w:val="21"/>
          <w:szCs w:val="21"/>
          <w:lang w:val="en-US" w:eastAsia="zh-CN"/>
        </w:rPr>
        <w:t>、</w:t>
      </w:r>
      <w:r>
        <w:rPr>
          <w:rFonts w:hint="eastAsia" w:ascii="宋体" w:hAnsi="宋体" w:eastAsia="宋体" w:cs="宋体"/>
          <w:color w:val="auto"/>
          <w:sz w:val="21"/>
          <w:szCs w:val="21"/>
          <w:lang w:val="en-US"/>
        </w:rPr>
        <w:t>地下水位孔、深层水平位移监测点埋设、现场监测及成果整理等</w:t>
      </w:r>
    </w:p>
    <w:p>
      <w:pPr>
        <w:keepNext w:val="0"/>
        <w:keepLines w:val="0"/>
        <w:pageBreakBefore w:val="0"/>
        <w:kinsoku/>
        <w:wordWrap/>
        <w:overflowPunct/>
        <w:topLinePunct w:val="0"/>
        <w:bidi w:val="0"/>
        <w:snapToGrid/>
        <w:spacing w:line="360" w:lineRule="auto"/>
        <w:ind w:firstLine="420" w:firstLineChars="200"/>
        <w:textAlignment w:val="auto"/>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7</w:t>
      </w:r>
      <w:r>
        <w:rPr>
          <w:rFonts w:hint="eastAsia" w:ascii="宋体" w:hAnsi="宋体" w:cs="宋体"/>
          <w:color w:val="auto"/>
          <w:sz w:val="21"/>
          <w:szCs w:val="21"/>
          <w:lang w:val="en-US" w:eastAsia="zh-CN"/>
        </w:rPr>
        <w:t>、</w:t>
      </w:r>
      <w:r>
        <w:rPr>
          <w:rFonts w:hint="eastAsia" w:ascii="宋体" w:hAnsi="宋体" w:eastAsia="宋体" w:cs="宋体"/>
          <w:color w:val="auto"/>
          <w:sz w:val="21"/>
          <w:szCs w:val="21"/>
          <w:lang w:val="en-US"/>
        </w:rPr>
        <w:t>基坑监测详细要求见附件2《广东省东莞市城区配套物流仓储建设项目-基坑监测平面布置图》。该项目启用基坑工程安全监测信息管理平台，乙方统一接入东莞市住建局建科所“东莞市基坑工程安全监测预警平台”，将各项监测数据上传至东莞市基坑工程安全监测预警平台、进行信息化监测。</w:t>
      </w:r>
    </w:p>
    <w:p>
      <w:pPr>
        <w:keepNext w:val="0"/>
        <w:keepLines w:val="0"/>
        <w:pageBreakBefore w:val="0"/>
        <w:kinsoku/>
        <w:wordWrap/>
        <w:overflowPunct/>
        <w:topLinePunct w:val="0"/>
        <w:bidi w:val="0"/>
        <w:snapToGrid/>
        <w:spacing w:line="360" w:lineRule="auto"/>
        <w:ind w:firstLine="420" w:firstLineChars="200"/>
        <w:textAlignment w:val="auto"/>
        <w:rPr>
          <w:rFonts w:hint="eastAsia" w:ascii="宋体" w:hAnsi="宋体" w:eastAsia="宋体" w:cs="宋体"/>
          <w:color w:val="auto"/>
          <w:sz w:val="21"/>
          <w:szCs w:val="21"/>
          <w:lang w:val="en-US"/>
        </w:rPr>
      </w:pPr>
      <w:r>
        <w:rPr>
          <w:rFonts w:hint="eastAsia" w:ascii="宋体" w:hAnsi="宋体" w:cs="宋体"/>
          <w:color w:val="auto"/>
          <w:sz w:val="21"/>
          <w:szCs w:val="21"/>
          <w:lang w:val="en-US" w:eastAsia="zh-CN"/>
        </w:rPr>
        <w:t>8</w:t>
      </w:r>
      <w:r>
        <w:rPr>
          <w:rFonts w:hint="eastAsia" w:ascii="宋体" w:hAnsi="宋体" w:eastAsia="宋体" w:cs="宋体"/>
          <w:color w:val="auto"/>
          <w:sz w:val="21"/>
          <w:szCs w:val="21"/>
          <w:lang w:val="en-US"/>
        </w:rPr>
        <w:t>、监测频率：满足附件2《广东省东莞市城区配套物流仓储建设项目-基坑监测平面布置图》中的要求以及经甲方和监理单位确认的基坑监测方案。</w:t>
      </w:r>
    </w:p>
    <w:p>
      <w:pPr>
        <w:keepNext w:val="0"/>
        <w:keepLines w:val="0"/>
        <w:pageBreakBefore w:val="0"/>
        <w:kinsoku/>
        <w:wordWrap/>
        <w:overflowPunct/>
        <w:topLinePunct w:val="0"/>
        <w:bidi w:val="0"/>
        <w:snapToGrid/>
        <w:spacing w:line="360" w:lineRule="auto"/>
        <w:ind w:firstLine="420" w:firstLineChars="200"/>
        <w:textAlignment w:val="auto"/>
        <w:rPr>
          <w:rFonts w:hint="eastAsia" w:ascii="宋体" w:hAnsi="宋体" w:eastAsia="宋体" w:cs="宋体"/>
          <w:color w:val="auto"/>
          <w:sz w:val="21"/>
          <w:szCs w:val="21"/>
          <w:lang w:val="en-US"/>
        </w:rPr>
      </w:pPr>
      <w:r>
        <w:rPr>
          <w:rFonts w:hint="eastAsia" w:ascii="宋体" w:hAnsi="宋体" w:cs="宋体"/>
          <w:color w:val="auto"/>
          <w:sz w:val="21"/>
          <w:szCs w:val="21"/>
          <w:lang w:val="en-US" w:eastAsia="zh-CN"/>
        </w:rPr>
        <w:t>9、</w:t>
      </w:r>
      <w:r>
        <w:rPr>
          <w:rFonts w:hint="eastAsia" w:ascii="宋体" w:hAnsi="宋体" w:eastAsia="宋体" w:cs="宋体"/>
          <w:color w:val="auto"/>
          <w:sz w:val="21"/>
          <w:szCs w:val="21"/>
          <w:lang w:val="en-US"/>
        </w:rPr>
        <w:t>所有的监测成果文件须满足当地政府相关部门的要求、审核归档等。</w:t>
      </w:r>
    </w:p>
    <w:p>
      <w:pPr>
        <w:keepNext w:val="0"/>
        <w:keepLines w:val="0"/>
        <w:pageBreakBefore w:val="0"/>
        <w:kinsoku/>
        <w:wordWrap/>
        <w:overflowPunct/>
        <w:topLinePunct w:val="0"/>
        <w:bidi w:val="0"/>
        <w:snapToGrid/>
        <w:spacing w:line="360" w:lineRule="auto"/>
        <w:ind w:firstLine="420" w:firstLineChars="200"/>
        <w:textAlignment w:val="auto"/>
        <w:rPr>
          <w:rFonts w:hint="eastAsia" w:ascii="宋体" w:hAnsi="宋体" w:eastAsia="宋体" w:cs="宋体"/>
          <w:color w:val="auto"/>
          <w:sz w:val="21"/>
          <w:szCs w:val="21"/>
          <w:lang w:val="en-US"/>
        </w:rPr>
      </w:pPr>
      <w:r>
        <w:rPr>
          <w:rFonts w:hint="eastAsia" w:ascii="宋体" w:hAnsi="宋体" w:cs="宋体"/>
          <w:color w:val="auto"/>
          <w:sz w:val="21"/>
          <w:szCs w:val="21"/>
          <w:lang w:val="en-US" w:eastAsia="zh-CN"/>
        </w:rPr>
        <w:t>10、</w:t>
      </w:r>
      <w:r>
        <w:rPr>
          <w:rFonts w:hint="eastAsia" w:ascii="宋体" w:hAnsi="宋体" w:eastAsia="宋体" w:cs="宋体"/>
          <w:color w:val="auto"/>
          <w:sz w:val="21"/>
          <w:szCs w:val="21"/>
          <w:lang w:val="en-US"/>
        </w:rPr>
        <w:t xml:space="preserve">本工程基坑监测数量为暂定数量，乙方需按照甲方提供的有关图纸及其他技术资料编制基坑监测方案，基坑监测方案须经相关部门专家论证后并经甲方、监理单位共同确认后方可执行。 </w:t>
      </w:r>
    </w:p>
    <w:p>
      <w:pPr>
        <w:keepNext w:val="0"/>
        <w:keepLines w:val="0"/>
        <w:pageBreakBefore w:val="0"/>
        <w:kinsoku/>
        <w:wordWrap/>
        <w:overflowPunct/>
        <w:topLinePunct w:val="0"/>
        <w:bidi w:val="0"/>
        <w:snapToGrid/>
        <w:spacing w:line="360" w:lineRule="auto"/>
        <w:ind w:firstLine="422" w:firstLineChars="200"/>
        <w:textAlignment w:val="auto"/>
        <w:rPr>
          <w:rFonts w:hint="eastAsia" w:ascii="宋体" w:hAnsi="宋体" w:eastAsia="宋体" w:cs="宋体"/>
          <w:b/>
          <w:color w:val="auto"/>
        </w:rPr>
      </w:pPr>
      <w:r>
        <w:rPr>
          <w:rFonts w:hint="eastAsia" w:ascii="宋体" w:hAnsi="宋体" w:eastAsia="宋体" w:cs="宋体"/>
          <w:b/>
          <w:color w:val="auto"/>
        </w:rPr>
        <w:t>三、监测依据</w:t>
      </w:r>
    </w:p>
    <w:p>
      <w:pPr>
        <w:keepNext w:val="0"/>
        <w:keepLines w:val="0"/>
        <w:pageBreakBefore w:val="0"/>
        <w:kinsoku/>
        <w:wordWrap/>
        <w:overflowPunct/>
        <w:topLinePunct w:val="0"/>
        <w:bidi w:val="0"/>
        <w:snapToGrid/>
        <w:spacing w:line="360" w:lineRule="auto"/>
        <w:ind w:firstLine="420" w:firstLineChars="20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按国家有关标准及程序进行验收，包括但不限于下列规范（如有新规范，以新的为准）：</w:t>
      </w:r>
    </w:p>
    <w:p>
      <w:pPr>
        <w:keepNext w:val="0"/>
        <w:keepLines w:val="0"/>
        <w:pageBreakBefore w:val="0"/>
        <w:kinsoku/>
        <w:wordWrap/>
        <w:overflowPunct/>
        <w:topLinePunct w:val="0"/>
        <w:bidi w:val="0"/>
        <w:snapToGrid/>
        <w:spacing w:line="360" w:lineRule="auto"/>
        <w:ind w:firstLine="420" w:firstLineChars="200"/>
        <w:textAlignment w:val="auto"/>
        <w:rPr>
          <w:rFonts w:hint="eastAsia" w:ascii="宋体" w:hAnsi="宋体" w:eastAsia="宋体" w:cs="宋体"/>
          <w:b w:val="0"/>
          <w:bCs/>
          <w:color w:val="auto"/>
          <w:sz w:val="21"/>
          <w:szCs w:val="21"/>
        </w:rPr>
      </w:pPr>
      <w:r>
        <w:rPr>
          <w:rFonts w:hint="eastAsia" w:ascii="宋体" w:hAnsi="宋体" w:cs="宋体"/>
          <w:b w:val="0"/>
          <w:bCs/>
          <w:color w:val="auto"/>
          <w:sz w:val="21"/>
          <w:szCs w:val="21"/>
          <w:lang w:val="en-US" w:eastAsia="zh-CN"/>
        </w:rPr>
        <w:t>1、</w:t>
      </w:r>
      <w:r>
        <w:rPr>
          <w:rFonts w:hint="eastAsia" w:ascii="宋体" w:hAnsi="宋体" w:eastAsia="宋体" w:cs="宋体"/>
          <w:b w:val="0"/>
          <w:bCs/>
          <w:color w:val="auto"/>
          <w:sz w:val="21"/>
          <w:szCs w:val="21"/>
        </w:rPr>
        <w:t>《</w:t>
      </w:r>
      <w:r>
        <w:rPr>
          <w:rFonts w:hint="eastAsia" w:ascii="宋体" w:hAnsi="宋体" w:eastAsia="宋体" w:cs="宋体"/>
          <w:color w:val="auto"/>
          <w:sz w:val="21"/>
          <w:szCs w:val="21"/>
        </w:rPr>
        <w:t>广东省东莞市城区配套物流仓储建设项目-基坑监测</w:t>
      </w:r>
      <w:r>
        <w:rPr>
          <w:rFonts w:hint="eastAsia" w:ascii="宋体" w:hAnsi="宋体" w:eastAsia="宋体" w:cs="宋体"/>
          <w:b w:val="0"/>
          <w:bCs/>
          <w:color w:val="auto"/>
          <w:sz w:val="21"/>
          <w:szCs w:val="21"/>
        </w:rPr>
        <w:t>监测平面布置图》及相关说明书。</w:t>
      </w:r>
    </w:p>
    <w:p>
      <w:pPr>
        <w:keepNext w:val="0"/>
        <w:keepLines w:val="0"/>
        <w:pageBreakBefore w:val="0"/>
        <w:kinsoku/>
        <w:wordWrap/>
        <w:overflowPunct/>
        <w:topLinePunct w:val="0"/>
        <w:bidi w:val="0"/>
        <w:snapToGrid/>
        <w:spacing w:line="360" w:lineRule="auto"/>
        <w:ind w:firstLine="420" w:firstLineChars="200"/>
        <w:textAlignment w:val="auto"/>
        <w:rPr>
          <w:rFonts w:hint="eastAsia" w:ascii="宋体" w:hAnsi="宋体" w:eastAsia="宋体" w:cs="宋体"/>
          <w:b w:val="0"/>
          <w:bCs/>
          <w:color w:val="auto"/>
          <w:sz w:val="21"/>
          <w:szCs w:val="21"/>
        </w:rPr>
      </w:pPr>
      <w:r>
        <w:rPr>
          <w:rFonts w:hint="eastAsia" w:ascii="宋体" w:hAnsi="宋体" w:cs="宋体"/>
          <w:b w:val="0"/>
          <w:bCs/>
          <w:color w:val="auto"/>
          <w:sz w:val="21"/>
          <w:szCs w:val="21"/>
          <w:lang w:val="en-US" w:eastAsia="zh-CN"/>
        </w:rPr>
        <w:t>2、</w:t>
      </w:r>
      <w:r>
        <w:rPr>
          <w:rFonts w:hint="eastAsia" w:ascii="宋体" w:hAnsi="宋体" w:eastAsia="宋体" w:cs="宋体"/>
          <w:b w:val="0"/>
          <w:bCs/>
          <w:color w:val="auto"/>
          <w:sz w:val="21"/>
          <w:szCs w:val="21"/>
        </w:rPr>
        <w:t>《建筑基坑工程监测技术标准》（GB 50497-2019）。</w:t>
      </w:r>
    </w:p>
    <w:p>
      <w:pPr>
        <w:keepNext w:val="0"/>
        <w:keepLines w:val="0"/>
        <w:pageBreakBefore w:val="0"/>
        <w:kinsoku/>
        <w:wordWrap/>
        <w:overflowPunct/>
        <w:topLinePunct w:val="0"/>
        <w:bidi w:val="0"/>
        <w:snapToGrid/>
        <w:spacing w:line="360" w:lineRule="auto"/>
        <w:ind w:firstLine="420" w:firstLineChars="200"/>
        <w:textAlignment w:val="auto"/>
        <w:rPr>
          <w:rFonts w:hint="eastAsia" w:ascii="宋体" w:hAnsi="宋体" w:eastAsia="宋体" w:cs="宋体"/>
          <w:b w:val="0"/>
          <w:bCs/>
          <w:color w:val="auto"/>
          <w:sz w:val="21"/>
          <w:szCs w:val="21"/>
        </w:rPr>
      </w:pPr>
      <w:r>
        <w:rPr>
          <w:rFonts w:hint="eastAsia" w:ascii="宋体" w:hAnsi="宋体" w:cs="宋体"/>
          <w:b w:val="0"/>
          <w:bCs/>
          <w:color w:val="auto"/>
          <w:sz w:val="21"/>
          <w:szCs w:val="21"/>
          <w:lang w:val="en-US" w:eastAsia="zh-CN"/>
        </w:rPr>
        <w:t>3、</w:t>
      </w:r>
      <w:r>
        <w:rPr>
          <w:rFonts w:hint="eastAsia" w:ascii="宋体" w:hAnsi="宋体" w:eastAsia="宋体" w:cs="宋体"/>
          <w:b w:val="0"/>
          <w:bCs/>
          <w:color w:val="auto"/>
          <w:sz w:val="21"/>
          <w:szCs w:val="21"/>
        </w:rPr>
        <w:t>工程地形图及岩石工程勘察报告。</w:t>
      </w:r>
    </w:p>
    <w:p>
      <w:pPr>
        <w:keepNext w:val="0"/>
        <w:keepLines w:val="0"/>
        <w:pageBreakBefore w:val="0"/>
        <w:kinsoku/>
        <w:wordWrap/>
        <w:overflowPunct/>
        <w:topLinePunct w:val="0"/>
        <w:bidi w:val="0"/>
        <w:snapToGrid/>
        <w:spacing w:line="360" w:lineRule="auto"/>
        <w:ind w:firstLine="420" w:firstLineChars="200"/>
        <w:textAlignment w:val="auto"/>
        <w:rPr>
          <w:rFonts w:hint="eastAsia" w:ascii="宋体" w:hAnsi="宋体" w:eastAsia="宋体" w:cs="宋体"/>
          <w:b w:val="0"/>
          <w:bCs/>
          <w:color w:val="auto"/>
          <w:spacing w:val="0"/>
          <w:kern w:val="2"/>
          <w:sz w:val="21"/>
          <w:szCs w:val="21"/>
        </w:rPr>
      </w:pPr>
      <w:r>
        <w:rPr>
          <w:rFonts w:hint="eastAsia" w:ascii="宋体" w:hAnsi="宋体" w:cs="宋体"/>
          <w:b w:val="0"/>
          <w:bCs/>
          <w:color w:val="auto"/>
          <w:sz w:val="21"/>
          <w:szCs w:val="21"/>
          <w:lang w:val="en-US" w:eastAsia="zh-CN"/>
        </w:rPr>
        <w:t>4、</w:t>
      </w:r>
      <w:r>
        <w:rPr>
          <w:rFonts w:hint="eastAsia" w:ascii="宋体" w:hAnsi="宋体" w:eastAsia="宋体" w:cs="宋体"/>
          <w:b w:val="0"/>
          <w:bCs/>
          <w:color w:val="auto"/>
          <w:sz w:val="21"/>
          <w:szCs w:val="21"/>
        </w:rPr>
        <w:t>本项目设计文件相关法律、法规以及工程建设行业标准技术规范要求等。</w:t>
      </w:r>
    </w:p>
    <w:p>
      <w:pPr>
        <w:adjustRightInd/>
        <w:spacing w:line="360" w:lineRule="auto"/>
        <w:rPr>
          <w:rFonts w:hint="eastAsia" w:ascii="宋体" w:hAnsi="宋体" w:eastAsia="宋体" w:cs="宋体"/>
          <w:b/>
          <w:color w:val="auto"/>
        </w:rPr>
      </w:pPr>
      <w:r>
        <w:rPr>
          <w:rFonts w:hint="eastAsia" w:ascii="宋体" w:hAnsi="宋体" w:eastAsia="宋体" w:cs="宋体"/>
          <w:b/>
          <w:color w:val="auto"/>
        </w:rPr>
        <w:t>四、验收</w:t>
      </w:r>
      <w:bookmarkEnd w:id="10"/>
    </w:p>
    <w:p>
      <w:pPr>
        <w:keepNext w:val="0"/>
        <w:keepLines w:val="0"/>
        <w:pageBreakBefore w:val="0"/>
        <w:kinsoku/>
        <w:wordWrap/>
        <w:overflowPunct/>
        <w:topLinePunct w:val="0"/>
        <w:bidi w:val="0"/>
        <w:snapToGrid/>
        <w:spacing w:line="360" w:lineRule="auto"/>
        <w:ind w:firstLine="420" w:firstLineChars="200"/>
        <w:textAlignment w:val="auto"/>
        <w:rPr>
          <w:rFonts w:hint="eastAsia" w:ascii="宋体" w:hAnsi="宋体" w:eastAsia="宋体" w:cs="宋体"/>
          <w:b/>
          <w:color w:val="auto"/>
          <w:sz w:val="21"/>
          <w:szCs w:val="21"/>
        </w:rPr>
      </w:pPr>
      <w:r>
        <w:rPr>
          <w:rFonts w:hint="eastAsia" w:ascii="宋体" w:hAnsi="宋体" w:eastAsia="宋体" w:cs="宋体"/>
          <w:color w:val="auto"/>
          <w:sz w:val="21"/>
          <w:szCs w:val="21"/>
        </w:rPr>
        <w:t>供应商</w:t>
      </w:r>
      <w:r>
        <w:rPr>
          <w:rFonts w:hint="eastAsia" w:ascii="宋体" w:hAnsi="宋体" w:eastAsia="宋体" w:cs="宋体"/>
          <w:bCs/>
          <w:color w:val="auto"/>
          <w:sz w:val="21"/>
          <w:szCs w:val="21"/>
        </w:rPr>
        <w:t>应在监测工作全部完成后7日内向采购人提供监测总结报告等材料。若采购人发现服务质量与合同文件要求不符，采购人有权要求供应商限期整改。若供应商拒绝整改或未在规定时间内整改，采购人有权单方解除合同并无需支付剩余监测费用，同时供应商需向采购人支付暂定合同价10%的违约金。</w:t>
      </w:r>
    </w:p>
    <w:p>
      <w:pPr>
        <w:pStyle w:val="62"/>
        <w:spacing w:line="360" w:lineRule="auto"/>
        <w:ind w:firstLine="0" w:firstLineChars="0"/>
        <w:rPr>
          <w:rFonts w:hint="eastAsia" w:ascii="宋体" w:hAnsi="宋体" w:eastAsia="宋体" w:cs="宋体"/>
          <w:b/>
          <w:color w:val="auto"/>
        </w:rPr>
      </w:pPr>
      <w:r>
        <w:rPr>
          <w:rFonts w:hint="eastAsia" w:ascii="宋体" w:hAnsi="宋体" w:eastAsia="宋体" w:cs="宋体"/>
          <w:b/>
          <w:color w:val="auto"/>
          <w:lang w:val="en-US"/>
        </w:rPr>
        <w:t>五、服务期</w:t>
      </w:r>
    </w:p>
    <w:p>
      <w:pPr>
        <w:keepNext w:val="0"/>
        <w:keepLines w:val="0"/>
        <w:pageBreakBefore w:val="0"/>
        <w:kinsoku/>
        <w:wordWrap/>
        <w:overflowPunct/>
        <w:topLinePunct w:val="0"/>
        <w:bidi w:val="0"/>
        <w:snapToGrid/>
        <w:spacing w:line="360" w:lineRule="auto"/>
        <w:ind w:firstLine="420" w:firstLineChars="200"/>
        <w:textAlignment w:val="auto"/>
        <w:rPr>
          <w:rFonts w:hint="eastAsia" w:ascii="宋体" w:hAnsi="宋体" w:eastAsia="宋体" w:cs="宋体"/>
          <w:bCs/>
          <w:color w:val="auto"/>
          <w:sz w:val="21"/>
          <w:szCs w:val="21"/>
          <w:lang w:val="en-US" w:eastAsia="zh-CN"/>
        </w:rPr>
      </w:pPr>
      <w:r>
        <w:rPr>
          <w:rFonts w:hint="eastAsia" w:ascii="宋体" w:hAnsi="宋体" w:cs="宋体"/>
          <w:bCs/>
          <w:color w:val="auto"/>
          <w:sz w:val="21"/>
          <w:szCs w:val="21"/>
          <w:lang w:val="en-US" w:eastAsia="zh-CN"/>
        </w:rPr>
        <w:t>1、</w:t>
      </w:r>
      <w:r>
        <w:rPr>
          <w:rFonts w:hint="eastAsia" w:ascii="宋体" w:hAnsi="宋体" w:eastAsia="宋体" w:cs="宋体"/>
          <w:bCs/>
          <w:color w:val="auto"/>
          <w:sz w:val="21"/>
          <w:szCs w:val="21"/>
          <w:lang w:val="en-US" w:eastAsia="zh-CN"/>
        </w:rPr>
        <w:t>收到甲方发出的中标通知书后10个工作日内，基坑监测方案通过东莞市建筑科学研究所专家论证评审并完成相关备案工作；</w:t>
      </w:r>
    </w:p>
    <w:p>
      <w:pPr>
        <w:keepNext w:val="0"/>
        <w:keepLines w:val="0"/>
        <w:pageBreakBefore w:val="0"/>
        <w:kinsoku/>
        <w:wordWrap/>
        <w:overflowPunct/>
        <w:topLinePunct w:val="0"/>
        <w:bidi w:val="0"/>
        <w:snapToGrid/>
        <w:spacing w:line="360" w:lineRule="auto"/>
        <w:ind w:firstLine="420" w:firstLineChars="200"/>
        <w:textAlignment w:val="auto"/>
        <w:rPr>
          <w:rFonts w:hint="eastAsia" w:ascii="宋体" w:hAnsi="宋体" w:eastAsia="宋体" w:cs="宋体"/>
          <w:bCs/>
          <w:color w:val="auto"/>
          <w:sz w:val="21"/>
          <w:szCs w:val="21"/>
          <w:lang w:val="en-US" w:eastAsia="zh-CN"/>
        </w:rPr>
      </w:pPr>
      <w:r>
        <w:rPr>
          <w:rFonts w:hint="eastAsia" w:ascii="宋体" w:hAnsi="宋体" w:cs="宋体"/>
          <w:bCs/>
          <w:color w:val="auto"/>
          <w:sz w:val="21"/>
          <w:szCs w:val="21"/>
          <w:lang w:val="en-US" w:eastAsia="zh-CN"/>
        </w:rPr>
        <w:t>2、</w:t>
      </w:r>
      <w:r>
        <w:rPr>
          <w:rFonts w:hint="eastAsia" w:ascii="宋体" w:hAnsi="宋体" w:eastAsia="宋体" w:cs="宋体"/>
          <w:bCs/>
          <w:color w:val="auto"/>
          <w:sz w:val="21"/>
          <w:szCs w:val="21"/>
          <w:lang w:val="en-US" w:eastAsia="zh-CN"/>
        </w:rPr>
        <w:t>基坑监测服务期涵盖整个从基坑开挖到回填正负零暂定120天，具体开工日期以甲方书面通知为准。</w:t>
      </w:r>
    </w:p>
    <w:p>
      <w:pPr>
        <w:pStyle w:val="63"/>
        <w:spacing w:line="360" w:lineRule="auto"/>
        <w:rPr>
          <w:rFonts w:hint="eastAsia" w:ascii="宋体" w:hAnsi="宋体" w:eastAsia="宋体" w:cs="宋体"/>
          <w:b/>
          <w:color w:val="auto"/>
          <w:szCs w:val="24"/>
        </w:rPr>
      </w:pPr>
      <w:r>
        <w:rPr>
          <w:rFonts w:hint="eastAsia" w:ascii="宋体" w:hAnsi="宋体" w:eastAsia="宋体" w:cs="宋体"/>
          <w:b/>
          <w:color w:val="auto"/>
          <w:szCs w:val="24"/>
        </w:rPr>
        <w:t>六、工程款支付</w:t>
      </w:r>
    </w:p>
    <w:p>
      <w:pPr>
        <w:keepNext w:val="0"/>
        <w:keepLines w:val="0"/>
        <w:pageBreakBefore w:val="0"/>
        <w:kinsoku/>
        <w:wordWrap/>
        <w:overflowPunct/>
        <w:topLinePunct w:val="0"/>
        <w:bidi w:val="0"/>
        <w:snapToGrid/>
        <w:spacing w:line="360" w:lineRule="auto"/>
        <w:ind w:firstLine="420" w:firstLineChars="200"/>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1、转账方式支付（成交供应商收款信息以合同落款处确定的成交供应商银行账号信息为准）；</w:t>
      </w:r>
    </w:p>
    <w:p>
      <w:pPr>
        <w:keepNext w:val="0"/>
        <w:keepLines w:val="0"/>
        <w:pageBreakBefore w:val="0"/>
        <w:kinsoku/>
        <w:wordWrap/>
        <w:overflowPunct/>
        <w:topLinePunct w:val="0"/>
        <w:bidi w:val="0"/>
        <w:snapToGrid/>
        <w:spacing w:line="360" w:lineRule="auto"/>
        <w:ind w:firstLine="420" w:firstLineChars="200"/>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2、乙方监测方案通过甲方、监理单位及</w:t>
      </w:r>
      <w:r>
        <w:rPr>
          <w:rFonts w:hint="eastAsia" w:ascii="宋体" w:hAnsi="宋体" w:eastAsia="宋体" w:cs="宋体"/>
          <w:b/>
          <w:bCs w:val="0"/>
          <w:color w:val="auto"/>
          <w:sz w:val="21"/>
          <w:szCs w:val="21"/>
        </w:rPr>
        <w:t>东莞市建筑科学研究所</w:t>
      </w:r>
      <w:r>
        <w:rPr>
          <w:rFonts w:hint="eastAsia" w:ascii="宋体" w:hAnsi="宋体" w:eastAsia="宋体" w:cs="宋体"/>
          <w:bCs/>
          <w:color w:val="auto"/>
          <w:sz w:val="21"/>
          <w:szCs w:val="21"/>
        </w:rPr>
        <w:t>专家论证评审后支付合同暂定价的10%进度款；</w:t>
      </w:r>
    </w:p>
    <w:p>
      <w:pPr>
        <w:keepNext w:val="0"/>
        <w:keepLines w:val="0"/>
        <w:pageBreakBefore w:val="0"/>
        <w:kinsoku/>
        <w:wordWrap/>
        <w:overflowPunct/>
        <w:topLinePunct w:val="0"/>
        <w:bidi w:val="0"/>
        <w:snapToGrid/>
        <w:spacing w:line="360" w:lineRule="auto"/>
        <w:ind w:firstLine="420" w:firstLineChars="200"/>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3、乙方按每月完成监测工作量并提交监测结果给甲方，甲方按照每月实际完成</w:t>
      </w:r>
      <w:r>
        <w:rPr>
          <w:rFonts w:hint="eastAsia" w:ascii="宋体" w:hAnsi="宋体" w:cs="宋体"/>
          <w:bCs/>
          <w:color w:val="auto"/>
          <w:sz w:val="21"/>
          <w:szCs w:val="21"/>
          <w:lang w:val="en-US" w:eastAsia="zh-CN"/>
        </w:rPr>
        <w:t>产值的80%</w:t>
      </w:r>
      <w:r>
        <w:rPr>
          <w:rFonts w:hint="eastAsia" w:ascii="宋体" w:hAnsi="宋体" w:eastAsia="宋体" w:cs="宋体"/>
          <w:bCs/>
          <w:color w:val="auto"/>
          <w:sz w:val="21"/>
          <w:szCs w:val="21"/>
        </w:rPr>
        <w:t>支付工程进度款；</w:t>
      </w:r>
    </w:p>
    <w:p>
      <w:pPr>
        <w:keepNext w:val="0"/>
        <w:keepLines w:val="0"/>
        <w:pageBreakBefore w:val="0"/>
        <w:kinsoku/>
        <w:wordWrap/>
        <w:overflowPunct/>
        <w:topLinePunct w:val="0"/>
        <w:bidi w:val="0"/>
        <w:snapToGrid/>
        <w:spacing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4、</w:t>
      </w:r>
      <w:r>
        <w:rPr>
          <w:rFonts w:hint="eastAsia" w:ascii="宋体" w:hAnsi="宋体" w:eastAsia="宋体" w:cs="宋体"/>
          <w:bCs/>
          <w:color w:val="auto"/>
          <w:sz w:val="21"/>
          <w:szCs w:val="21"/>
        </w:rPr>
        <w:t>工程</w:t>
      </w:r>
      <w:r>
        <w:rPr>
          <w:rFonts w:hint="eastAsia" w:ascii="宋体" w:hAnsi="宋体" w:eastAsia="宋体" w:cs="宋体"/>
          <w:color w:val="auto"/>
          <w:sz w:val="21"/>
          <w:szCs w:val="21"/>
        </w:rPr>
        <w:t>进度款累计支付达合同基坑监测部分暂定价款总额的</w:t>
      </w:r>
      <w:r>
        <w:rPr>
          <w:rFonts w:hint="eastAsia" w:ascii="宋体" w:hAnsi="宋体" w:eastAsia="宋体" w:cs="宋体"/>
          <w:color w:val="auto"/>
          <w:sz w:val="21"/>
          <w:szCs w:val="21"/>
          <w:u w:val="single"/>
        </w:rPr>
        <w:t>80%</w:t>
      </w:r>
      <w:r>
        <w:rPr>
          <w:rFonts w:hint="eastAsia" w:ascii="宋体" w:hAnsi="宋体" w:cs="宋体"/>
          <w:color w:val="auto"/>
          <w:sz w:val="21"/>
          <w:szCs w:val="21"/>
          <w:u w:val="single"/>
          <w:lang w:val="en-US" w:eastAsia="zh-CN"/>
        </w:rPr>
        <w:t xml:space="preserve"> </w:t>
      </w:r>
      <w:r>
        <w:rPr>
          <w:rFonts w:hint="eastAsia" w:ascii="宋体" w:hAnsi="宋体" w:eastAsia="宋体" w:cs="宋体"/>
          <w:color w:val="auto"/>
          <w:sz w:val="21"/>
          <w:szCs w:val="21"/>
        </w:rPr>
        <w:t>时，则停止支付进度款；</w:t>
      </w:r>
    </w:p>
    <w:p>
      <w:pPr>
        <w:keepNext w:val="0"/>
        <w:keepLines w:val="0"/>
        <w:pageBreakBefore w:val="0"/>
        <w:kinsoku/>
        <w:wordWrap/>
        <w:overflowPunct/>
        <w:topLinePunct w:val="0"/>
        <w:bidi w:val="0"/>
        <w:snapToGrid/>
        <w:spacing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5、甲方在乙方全部监测结束，提交监测资料且满足住建局的相关要求后，乙方提交完整的结算资料，经结算定案后一个月内付清余款。所有的付款需提交等额的增值税专用发票给甲方。</w:t>
      </w:r>
    </w:p>
    <w:p>
      <w:pPr>
        <w:pStyle w:val="63"/>
        <w:spacing w:line="360" w:lineRule="auto"/>
        <w:rPr>
          <w:rFonts w:hint="eastAsia" w:ascii="宋体" w:hAnsi="宋体" w:eastAsia="宋体" w:cs="宋体"/>
          <w:b/>
          <w:color w:val="auto"/>
          <w:szCs w:val="24"/>
        </w:rPr>
      </w:pPr>
      <w:r>
        <w:rPr>
          <w:rFonts w:hint="eastAsia" w:ascii="宋体" w:hAnsi="宋体" w:eastAsia="宋体" w:cs="宋体"/>
          <w:b/>
          <w:color w:val="auto"/>
          <w:szCs w:val="24"/>
        </w:rPr>
        <w:t>七、报价要求</w:t>
      </w:r>
    </w:p>
    <w:p>
      <w:pPr>
        <w:keepNext w:val="0"/>
        <w:keepLines w:val="0"/>
        <w:pageBreakBefore w:val="0"/>
        <w:kinsoku/>
        <w:wordWrap/>
        <w:overflowPunct/>
        <w:topLinePunct w:val="0"/>
        <w:bidi w:val="0"/>
        <w:snapToGrid/>
        <w:spacing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bCs/>
          <w:color w:val="auto"/>
          <w:sz w:val="21"/>
          <w:szCs w:val="21"/>
        </w:rPr>
        <w:t>1、计费标准：测点埋设费价格参考广东省房屋建筑和市政工程质量安全检测收费指导价，监测费按照工程勘察设计收费标准2002版计算，暂估服务费49.57万元</w:t>
      </w:r>
      <w:r>
        <w:rPr>
          <w:rFonts w:hint="eastAsia" w:ascii="宋体" w:hAnsi="宋体" w:cs="宋体"/>
          <w:bCs/>
          <w:color w:val="auto"/>
          <w:sz w:val="21"/>
          <w:szCs w:val="21"/>
          <w:lang w:eastAsia="zh-CN"/>
        </w:rPr>
        <w:t>（</w:t>
      </w:r>
      <w:r>
        <w:rPr>
          <w:rFonts w:hint="eastAsia" w:ascii="宋体" w:hAnsi="宋体" w:cs="宋体"/>
          <w:bCs/>
          <w:color w:val="auto"/>
          <w:sz w:val="21"/>
          <w:szCs w:val="21"/>
          <w:lang w:val="en-US" w:eastAsia="zh-CN"/>
        </w:rPr>
        <w:t>含税）</w:t>
      </w:r>
      <w:r>
        <w:rPr>
          <w:rFonts w:hint="eastAsia" w:ascii="宋体" w:hAnsi="宋体" w:eastAsia="宋体" w:cs="宋体"/>
          <w:bCs/>
          <w:color w:val="auto"/>
          <w:sz w:val="21"/>
          <w:szCs w:val="21"/>
        </w:rPr>
        <w:t>；（按8折计取39.66万元</w:t>
      </w:r>
      <w:r>
        <w:rPr>
          <w:rFonts w:hint="eastAsia" w:ascii="宋体" w:hAnsi="宋体" w:cs="宋体"/>
          <w:bCs/>
          <w:color w:val="auto"/>
          <w:sz w:val="21"/>
          <w:szCs w:val="21"/>
          <w:lang w:eastAsia="zh-CN"/>
        </w:rPr>
        <w:t>（</w:t>
      </w:r>
      <w:r>
        <w:rPr>
          <w:rFonts w:hint="eastAsia" w:ascii="宋体" w:hAnsi="宋体" w:cs="宋体"/>
          <w:bCs/>
          <w:color w:val="auto"/>
          <w:sz w:val="21"/>
          <w:szCs w:val="21"/>
          <w:lang w:val="en-US" w:eastAsia="zh-CN"/>
        </w:rPr>
        <w:t>含税）</w:t>
      </w:r>
      <w:r>
        <w:rPr>
          <w:rFonts w:hint="eastAsia" w:ascii="宋体" w:hAnsi="宋体" w:eastAsia="宋体" w:cs="宋体"/>
          <w:bCs/>
          <w:color w:val="auto"/>
          <w:sz w:val="21"/>
          <w:szCs w:val="21"/>
        </w:rPr>
        <w:t>，以此作为采购最高限价）</w:t>
      </w:r>
    </w:p>
    <w:p>
      <w:pPr>
        <w:pStyle w:val="40"/>
        <w:ind w:firstLine="0" w:firstLineChars="0"/>
        <w:jc w:val="left"/>
        <w:outlineLvl w:val="1"/>
        <w:rPr>
          <w:rFonts w:eastAsia="黑体"/>
          <w:color w:val="auto"/>
          <w:sz w:val="28"/>
          <w:szCs w:val="44"/>
        </w:rPr>
        <w:sectPr>
          <w:pgSz w:w="11907" w:h="16840"/>
          <w:pgMar w:top="1440" w:right="1134" w:bottom="1440" w:left="1134" w:header="851" w:footer="720" w:gutter="0"/>
          <w:cols w:space="720" w:num="1"/>
          <w:titlePg/>
          <w:docGrid w:linePitch="326" w:charSpace="0"/>
        </w:sectPr>
      </w:pPr>
    </w:p>
    <w:p>
      <w:pPr>
        <w:pStyle w:val="40"/>
        <w:ind w:firstLine="0" w:firstLineChars="0"/>
        <w:jc w:val="left"/>
        <w:outlineLvl w:val="1"/>
        <w:rPr>
          <w:rFonts w:eastAsia="黑体"/>
          <w:color w:val="auto"/>
          <w:sz w:val="28"/>
          <w:szCs w:val="44"/>
        </w:rPr>
      </w:pPr>
    </w:p>
    <w:p>
      <w:pPr>
        <w:pStyle w:val="40"/>
        <w:ind w:firstLine="640"/>
        <w:jc w:val="center"/>
        <w:outlineLvl w:val="1"/>
        <w:rPr>
          <w:rFonts w:eastAsia="黑体"/>
          <w:color w:val="auto"/>
          <w:sz w:val="28"/>
          <w:szCs w:val="44"/>
        </w:rPr>
      </w:pPr>
      <w:r>
        <w:rPr>
          <w:rFonts w:hint="eastAsia" w:eastAsia="黑体"/>
          <w:color w:val="auto"/>
          <w:sz w:val="32"/>
          <w:szCs w:val="48"/>
        </w:rPr>
        <w:t>第三部分 合同条款</w:t>
      </w:r>
    </w:p>
    <w:p>
      <w:pPr>
        <w:widowControl/>
        <w:tabs>
          <w:tab w:val="left" w:pos="851"/>
          <w:tab w:val="left" w:pos="993"/>
          <w:tab w:val="left" w:pos="1276"/>
        </w:tabs>
        <w:spacing w:line="360" w:lineRule="auto"/>
        <w:ind w:right="418" w:rightChars="199" w:firstLine="4919" w:firstLineChars="1750"/>
        <w:rPr>
          <w:rFonts w:hint="eastAsia" w:ascii="宋体" w:hAnsi="宋体" w:eastAsia="宋体" w:cs="宋体"/>
          <w:b/>
          <w:bCs/>
          <w:color w:val="auto"/>
          <w:sz w:val="28"/>
          <w:szCs w:val="28"/>
        </w:rPr>
      </w:pPr>
      <w:bookmarkStart w:id="11" w:name="_Hlk524442005"/>
    </w:p>
    <w:p>
      <w:pPr>
        <w:widowControl/>
        <w:tabs>
          <w:tab w:val="left" w:pos="851"/>
          <w:tab w:val="left" w:pos="993"/>
          <w:tab w:val="left" w:pos="1276"/>
        </w:tabs>
        <w:spacing w:line="360" w:lineRule="auto"/>
        <w:ind w:right="418" w:rightChars="199" w:firstLine="7449" w:firstLineChars="2650"/>
        <w:rPr>
          <w:rFonts w:hint="eastAsia" w:ascii="宋体" w:hAnsi="宋体" w:eastAsia="宋体" w:cs="宋体"/>
          <w:b/>
          <w:bCs/>
          <w:color w:val="auto"/>
          <w:sz w:val="52"/>
          <w:szCs w:val="52"/>
        </w:rPr>
      </w:pPr>
      <w:r>
        <w:rPr>
          <w:rFonts w:hint="eastAsia" w:ascii="宋体" w:hAnsi="宋体" w:eastAsia="宋体" w:cs="宋体"/>
          <w:b/>
          <w:bCs/>
          <w:color w:val="auto"/>
          <w:sz w:val="28"/>
          <w:szCs w:val="28"/>
        </w:rPr>
        <w:t>合同编号：</w:t>
      </w:r>
    </w:p>
    <w:p>
      <w:pPr>
        <w:pStyle w:val="2"/>
        <w:spacing w:line="360" w:lineRule="auto"/>
        <w:ind w:firstLine="0" w:firstLineChars="0"/>
        <w:rPr>
          <w:rFonts w:hint="eastAsia" w:ascii="宋体" w:hAnsi="宋体" w:eastAsia="宋体" w:cs="宋体"/>
          <w:b/>
          <w:bCs/>
          <w:color w:val="auto"/>
        </w:rPr>
      </w:pPr>
    </w:p>
    <w:p>
      <w:pPr>
        <w:pStyle w:val="2"/>
        <w:spacing w:line="360" w:lineRule="auto"/>
        <w:ind w:firstLine="0" w:firstLineChars="0"/>
        <w:rPr>
          <w:rFonts w:hint="eastAsia" w:ascii="宋体" w:hAnsi="宋体" w:eastAsia="宋体" w:cs="宋体"/>
          <w:b/>
          <w:bCs/>
          <w:color w:val="auto"/>
        </w:rPr>
      </w:pPr>
    </w:p>
    <w:p>
      <w:pPr>
        <w:ind w:firstLine="522" w:firstLineChars="100"/>
        <w:jc w:val="center"/>
        <w:rPr>
          <w:rFonts w:hint="eastAsia" w:ascii="宋体" w:hAnsi="宋体" w:eastAsia="宋体" w:cs="宋体"/>
          <w:b/>
          <w:bCs/>
          <w:color w:val="auto"/>
          <w:sz w:val="52"/>
          <w:szCs w:val="52"/>
        </w:rPr>
      </w:pPr>
      <w:r>
        <w:rPr>
          <w:rFonts w:hint="eastAsia" w:ascii="宋体" w:hAnsi="宋体" w:eastAsia="宋体" w:cs="宋体"/>
          <w:b/>
          <w:bCs/>
          <w:color w:val="auto"/>
          <w:sz w:val="52"/>
          <w:szCs w:val="52"/>
        </w:rPr>
        <w:t>广东省东莞市城区配套物流仓储建设项目</w:t>
      </w:r>
      <w:r>
        <w:rPr>
          <w:rFonts w:hint="eastAsia" w:ascii="宋体" w:hAnsi="宋体" w:cs="宋体"/>
          <w:b/>
          <w:bCs/>
          <w:color w:val="auto"/>
          <w:sz w:val="52"/>
          <w:szCs w:val="52"/>
          <w:lang w:val="en-US" w:eastAsia="zh-CN"/>
        </w:rPr>
        <w:t>-基坑</w:t>
      </w:r>
      <w:r>
        <w:rPr>
          <w:rFonts w:hint="eastAsia" w:ascii="宋体" w:hAnsi="宋体" w:eastAsia="宋体" w:cs="宋体"/>
          <w:b/>
          <w:bCs/>
          <w:color w:val="auto"/>
          <w:sz w:val="52"/>
          <w:szCs w:val="52"/>
        </w:rPr>
        <w:t>监测服务合同</w:t>
      </w:r>
    </w:p>
    <w:p>
      <w:pPr>
        <w:pStyle w:val="2"/>
        <w:spacing w:line="360" w:lineRule="auto"/>
        <w:ind w:firstLine="0" w:firstLineChars="0"/>
        <w:rPr>
          <w:rFonts w:hint="eastAsia" w:ascii="宋体" w:hAnsi="宋体" w:eastAsia="宋体" w:cs="宋体"/>
          <w:b/>
          <w:bCs/>
          <w:color w:val="auto"/>
        </w:rPr>
      </w:pPr>
    </w:p>
    <w:p>
      <w:pPr>
        <w:pStyle w:val="2"/>
        <w:spacing w:line="360" w:lineRule="auto"/>
        <w:ind w:firstLine="0" w:firstLineChars="0"/>
        <w:rPr>
          <w:rFonts w:hint="eastAsia" w:ascii="宋体" w:hAnsi="宋体" w:eastAsia="宋体" w:cs="宋体"/>
          <w:b/>
          <w:bCs/>
          <w:color w:val="auto"/>
        </w:rPr>
      </w:pPr>
    </w:p>
    <w:p>
      <w:pPr>
        <w:pStyle w:val="2"/>
        <w:spacing w:line="360" w:lineRule="auto"/>
        <w:ind w:firstLine="0" w:firstLineChars="0"/>
        <w:rPr>
          <w:rFonts w:hint="eastAsia" w:ascii="宋体" w:hAnsi="宋体" w:eastAsia="宋体" w:cs="宋体"/>
          <w:b/>
          <w:bCs/>
          <w:color w:val="auto"/>
        </w:rPr>
      </w:pPr>
    </w:p>
    <w:p>
      <w:pPr>
        <w:pStyle w:val="2"/>
        <w:spacing w:line="360" w:lineRule="auto"/>
        <w:ind w:firstLine="0" w:firstLineChars="0"/>
        <w:rPr>
          <w:rFonts w:hint="eastAsia" w:ascii="宋体" w:hAnsi="宋体" w:eastAsia="宋体" w:cs="宋体"/>
          <w:b/>
          <w:bCs/>
          <w:color w:val="auto"/>
        </w:rPr>
      </w:pPr>
    </w:p>
    <w:p>
      <w:pPr>
        <w:pStyle w:val="2"/>
        <w:spacing w:line="360" w:lineRule="auto"/>
        <w:ind w:firstLine="0" w:firstLineChars="0"/>
        <w:rPr>
          <w:rFonts w:hint="eastAsia" w:ascii="宋体" w:hAnsi="宋体" w:eastAsia="宋体" w:cs="宋体"/>
          <w:b/>
          <w:bCs/>
          <w:color w:val="auto"/>
        </w:rPr>
      </w:pPr>
    </w:p>
    <w:p>
      <w:pPr>
        <w:pStyle w:val="2"/>
        <w:spacing w:line="360" w:lineRule="auto"/>
        <w:ind w:firstLine="0" w:firstLineChars="0"/>
        <w:rPr>
          <w:rFonts w:hint="eastAsia" w:ascii="宋体" w:hAnsi="宋体" w:eastAsia="宋体" w:cs="宋体"/>
          <w:b/>
          <w:bCs/>
          <w:color w:val="auto"/>
        </w:rPr>
      </w:pPr>
    </w:p>
    <w:p>
      <w:pPr>
        <w:pStyle w:val="2"/>
        <w:spacing w:line="360" w:lineRule="auto"/>
        <w:ind w:firstLine="0" w:firstLineChars="0"/>
        <w:rPr>
          <w:rFonts w:hint="eastAsia" w:ascii="宋体" w:hAnsi="宋体" w:eastAsia="宋体" w:cs="宋体"/>
          <w:b/>
          <w:bCs/>
          <w:color w:val="auto"/>
        </w:rPr>
      </w:pPr>
    </w:p>
    <w:p>
      <w:pPr>
        <w:pStyle w:val="2"/>
        <w:spacing w:line="360" w:lineRule="auto"/>
        <w:ind w:firstLine="0" w:firstLineChars="0"/>
        <w:rPr>
          <w:rFonts w:hint="eastAsia" w:ascii="宋体" w:hAnsi="宋体" w:eastAsia="宋体" w:cs="宋体"/>
          <w:b/>
          <w:bCs/>
          <w:color w:val="auto"/>
        </w:rPr>
      </w:pPr>
    </w:p>
    <w:p>
      <w:pPr>
        <w:pStyle w:val="2"/>
        <w:spacing w:line="360" w:lineRule="auto"/>
        <w:ind w:firstLine="0" w:firstLineChars="0"/>
        <w:rPr>
          <w:rFonts w:hint="eastAsia" w:ascii="宋体" w:hAnsi="宋体" w:eastAsia="宋体" w:cs="宋体"/>
          <w:b/>
          <w:bCs/>
          <w:color w:val="auto"/>
        </w:rPr>
      </w:pPr>
    </w:p>
    <w:p>
      <w:pPr>
        <w:pStyle w:val="2"/>
        <w:spacing w:line="360" w:lineRule="auto"/>
        <w:ind w:firstLine="0" w:firstLineChars="0"/>
        <w:rPr>
          <w:rFonts w:hint="eastAsia" w:ascii="宋体" w:hAnsi="宋体" w:eastAsia="宋体" w:cs="宋体"/>
          <w:b/>
          <w:color w:val="auto"/>
          <w:position w:val="6"/>
          <w:sz w:val="21"/>
          <w:szCs w:val="28"/>
          <w:highlight w:val="none"/>
          <w:u w:val="single"/>
          <w:lang w:val="en-US" w:eastAsia="zh-CN" w:bidi="ar-SA"/>
        </w:rPr>
      </w:pPr>
    </w:p>
    <w:p>
      <w:pPr>
        <w:spacing w:line="720" w:lineRule="auto"/>
        <w:ind w:left="1971" w:leftChars="413" w:hanging="1104" w:hangingChars="500"/>
        <w:rPr>
          <w:rFonts w:hint="eastAsia" w:ascii="宋体" w:hAnsi="宋体" w:eastAsia="宋体" w:cs="宋体"/>
          <w:b/>
          <w:color w:val="auto"/>
          <w:position w:val="6"/>
          <w:sz w:val="22"/>
          <w:szCs w:val="32"/>
          <w:highlight w:val="none"/>
          <w:u w:val="single"/>
          <w:lang w:val="en-US" w:eastAsia="zh-CN" w:bidi="ar-SA"/>
        </w:rPr>
      </w:pPr>
      <w:r>
        <w:rPr>
          <w:rFonts w:hint="eastAsia" w:ascii="宋体" w:hAnsi="宋体" w:eastAsia="宋体" w:cs="宋体"/>
          <w:b/>
          <w:color w:val="auto"/>
          <w:position w:val="6"/>
          <w:sz w:val="22"/>
          <w:szCs w:val="32"/>
          <w:highlight w:val="none"/>
          <w:u w:val="single"/>
          <w:lang w:val="en-US" w:eastAsia="zh-CN" w:bidi="ar-SA"/>
        </w:rPr>
        <w:t>项目名称：广东省东莞市城区配套物流仓储建设项目</w:t>
      </w:r>
      <w:r>
        <w:rPr>
          <w:rFonts w:hint="eastAsia" w:ascii="宋体" w:hAnsi="宋体" w:cs="宋体"/>
          <w:b/>
          <w:color w:val="auto"/>
          <w:position w:val="6"/>
          <w:sz w:val="22"/>
          <w:szCs w:val="32"/>
          <w:highlight w:val="none"/>
          <w:u w:val="single"/>
          <w:lang w:val="en-US" w:eastAsia="zh-CN" w:bidi="ar-SA"/>
        </w:rPr>
        <w:t>-基坑</w:t>
      </w:r>
      <w:r>
        <w:rPr>
          <w:rFonts w:hint="eastAsia" w:ascii="宋体" w:hAnsi="宋体" w:eastAsia="宋体" w:cs="宋体"/>
          <w:b/>
          <w:color w:val="auto"/>
          <w:position w:val="6"/>
          <w:sz w:val="22"/>
          <w:szCs w:val="32"/>
          <w:highlight w:val="none"/>
          <w:u w:val="single"/>
          <w:lang w:val="en-US" w:eastAsia="zh-CN" w:bidi="ar-SA"/>
        </w:rPr>
        <w:t>监测服务</w:t>
      </w:r>
    </w:p>
    <w:p>
      <w:pPr>
        <w:spacing w:line="720" w:lineRule="auto"/>
        <w:ind w:left="867" w:leftChars="413"/>
        <w:rPr>
          <w:rFonts w:hint="default" w:ascii="宋体" w:hAnsi="宋体" w:eastAsia="宋体" w:cs="宋体"/>
          <w:b/>
          <w:color w:val="auto"/>
          <w:position w:val="6"/>
          <w:sz w:val="22"/>
          <w:szCs w:val="32"/>
          <w:highlight w:val="none"/>
          <w:u w:val="single"/>
          <w:lang w:val="en-US" w:eastAsia="zh-CN" w:bidi="ar-SA"/>
        </w:rPr>
      </w:pPr>
      <w:r>
        <w:rPr>
          <w:rFonts w:hint="eastAsia" w:ascii="宋体" w:hAnsi="宋体" w:eastAsia="宋体" w:cs="宋体"/>
          <w:b/>
          <w:color w:val="auto"/>
          <w:position w:val="6"/>
          <w:sz w:val="22"/>
          <w:szCs w:val="32"/>
          <w:highlight w:val="none"/>
          <w:u w:val="single"/>
          <w:lang w:val="en-US" w:eastAsia="zh-CN" w:bidi="ar-SA"/>
        </w:rPr>
        <w:t>项目地点：东莞市南城街道</w:t>
      </w:r>
      <w:r>
        <w:rPr>
          <w:rFonts w:hint="eastAsia" w:hAnsi="宋体" w:cs="宋体"/>
          <w:b/>
          <w:color w:val="auto"/>
          <w:position w:val="6"/>
          <w:sz w:val="22"/>
          <w:szCs w:val="32"/>
          <w:highlight w:val="none"/>
          <w:u w:val="single"/>
          <w:lang w:val="en-US" w:eastAsia="zh-CN" w:bidi="ar-SA"/>
        </w:rPr>
        <w:t xml:space="preserve"> </w:t>
      </w:r>
    </w:p>
    <w:p>
      <w:pPr>
        <w:spacing w:line="720" w:lineRule="auto"/>
        <w:ind w:left="867" w:leftChars="413"/>
        <w:rPr>
          <w:rFonts w:hint="eastAsia" w:ascii="宋体" w:hAnsi="宋体" w:eastAsia="宋体" w:cs="宋体"/>
          <w:b/>
          <w:color w:val="auto"/>
          <w:position w:val="6"/>
          <w:sz w:val="22"/>
          <w:szCs w:val="32"/>
          <w:highlight w:val="none"/>
          <w:u w:val="single"/>
          <w:lang w:val="en-US" w:eastAsia="zh-CN" w:bidi="ar-SA"/>
        </w:rPr>
      </w:pPr>
      <w:r>
        <w:rPr>
          <w:rFonts w:hint="eastAsia" w:ascii="宋体" w:hAnsi="宋体" w:eastAsia="宋体" w:cs="宋体"/>
          <w:b/>
          <w:color w:val="auto"/>
          <w:position w:val="6"/>
          <w:sz w:val="22"/>
          <w:szCs w:val="32"/>
          <w:highlight w:val="none"/>
          <w:u w:val="single"/>
          <w:lang w:val="en-US" w:eastAsia="zh-CN" w:bidi="ar-SA"/>
        </w:rPr>
        <w:t>甲方（建设单位）：东莞市莞城建筑工程有限公司（公章）</w:t>
      </w:r>
    </w:p>
    <w:p>
      <w:pPr>
        <w:spacing w:line="720" w:lineRule="auto"/>
        <w:ind w:left="867" w:leftChars="413"/>
        <w:rPr>
          <w:rFonts w:hint="eastAsia" w:ascii="宋体" w:hAnsi="宋体" w:eastAsia="宋体" w:cs="宋体"/>
          <w:b/>
          <w:color w:val="auto"/>
          <w:position w:val="6"/>
          <w:sz w:val="22"/>
          <w:szCs w:val="32"/>
          <w:highlight w:val="none"/>
          <w:u w:val="single"/>
          <w:lang w:val="en-US" w:eastAsia="zh-CN" w:bidi="ar-SA"/>
        </w:rPr>
      </w:pPr>
      <w:r>
        <w:rPr>
          <w:rFonts w:hint="eastAsia" w:ascii="宋体" w:hAnsi="宋体" w:eastAsia="宋体" w:cs="宋体"/>
          <w:b/>
          <w:color w:val="auto"/>
          <w:position w:val="6"/>
          <w:sz w:val="22"/>
          <w:szCs w:val="32"/>
          <w:highlight w:val="none"/>
          <w:u w:val="single"/>
          <w:lang w:val="en-US" w:eastAsia="zh-CN" w:bidi="ar-SA"/>
        </w:rPr>
        <w:t>乙方（监测单位）：                          （公章）</w:t>
      </w:r>
    </w:p>
    <w:p>
      <w:pPr>
        <w:spacing w:line="720" w:lineRule="auto"/>
        <w:ind w:left="867" w:leftChars="413"/>
        <w:rPr>
          <w:rFonts w:hint="eastAsia" w:ascii="宋体" w:hAnsi="宋体" w:eastAsia="宋体" w:cs="宋体"/>
          <w:b/>
          <w:color w:val="auto"/>
          <w:position w:val="6"/>
          <w:sz w:val="22"/>
          <w:szCs w:val="32"/>
          <w:highlight w:val="none"/>
          <w:u w:val="single"/>
          <w:lang w:val="en-US" w:eastAsia="zh-CN" w:bidi="ar-SA"/>
        </w:rPr>
      </w:pPr>
      <w:r>
        <w:rPr>
          <w:rFonts w:hint="eastAsia" w:ascii="宋体" w:hAnsi="宋体" w:eastAsia="宋体" w:cs="宋体"/>
          <w:b/>
          <w:color w:val="auto"/>
          <w:position w:val="6"/>
          <w:sz w:val="22"/>
          <w:szCs w:val="32"/>
          <w:highlight w:val="none"/>
          <w:u w:val="single"/>
          <w:lang w:val="en-US" w:eastAsia="zh-CN" w:bidi="ar-SA"/>
        </w:rPr>
        <w:t>签订日期：2022 年   月   日</w:t>
      </w:r>
    </w:p>
    <w:p>
      <w:pPr>
        <w:spacing w:line="720" w:lineRule="auto"/>
        <w:ind w:left="867" w:leftChars="413"/>
        <w:rPr>
          <w:rFonts w:hint="eastAsia" w:ascii="宋体" w:hAnsi="宋体" w:eastAsia="宋体" w:cs="宋体"/>
          <w:b/>
          <w:bCs/>
          <w:color w:val="auto"/>
          <w:sz w:val="36"/>
          <w:szCs w:val="36"/>
        </w:rPr>
      </w:pPr>
      <w:r>
        <w:rPr>
          <w:rFonts w:hint="eastAsia" w:ascii="宋体" w:hAnsi="宋体" w:eastAsia="宋体" w:cs="宋体"/>
          <w:b/>
          <w:color w:val="auto"/>
          <w:position w:val="6"/>
          <w:sz w:val="22"/>
          <w:szCs w:val="32"/>
          <w:highlight w:val="none"/>
          <w:u w:val="single"/>
          <w:lang w:val="en-US" w:eastAsia="zh-CN" w:bidi="ar-SA"/>
        </w:rPr>
        <w:t>签订地点：东莞市</w:t>
      </w:r>
      <w:r>
        <w:rPr>
          <w:rFonts w:hint="eastAsia" w:hAnsi="宋体" w:cs="宋体"/>
          <w:b/>
          <w:color w:val="auto"/>
          <w:position w:val="6"/>
          <w:sz w:val="22"/>
          <w:szCs w:val="32"/>
          <w:highlight w:val="none"/>
          <w:u w:val="single"/>
          <w:lang w:val="en-US" w:eastAsia="zh-CN" w:bidi="ar-SA"/>
        </w:rPr>
        <w:t xml:space="preserve"> </w:t>
      </w:r>
    </w:p>
    <w:p>
      <w:pPr>
        <w:keepNext w:val="0"/>
        <w:keepLines w:val="0"/>
        <w:pageBreakBefore w:val="0"/>
        <w:widowControl/>
        <w:kinsoku/>
        <w:wordWrap/>
        <w:overflowPunct/>
        <w:topLinePunct w:val="0"/>
        <w:bidi w:val="0"/>
        <w:snapToGrid/>
        <w:spacing w:line="360" w:lineRule="auto"/>
        <w:jc w:val="center"/>
        <w:textAlignment w:val="auto"/>
        <w:rPr>
          <w:rFonts w:hint="eastAsia" w:ascii="宋体" w:hAnsi="宋体" w:eastAsia="宋体" w:cs="宋体"/>
          <w:b/>
          <w:bCs/>
          <w:color w:val="auto"/>
          <w:sz w:val="36"/>
          <w:szCs w:val="36"/>
        </w:rPr>
      </w:pPr>
      <w:r>
        <w:rPr>
          <w:rFonts w:hint="eastAsia" w:ascii="宋体" w:hAnsi="宋体" w:eastAsia="宋体" w:cs="宋体"/>
          <w:b/>
          <w:bCs/>
          <w:color w:val="auto"/>
          <w:sz w:val="36"/>
          <w:szCs w:val="36"/>
        </w:rPr>
        <w:t>广东省东莞市城区配套物流仓储建设项目</w:t>
      </w:r>
      <w:r>
        <w:rPr>
          <w:rFonts w:hint="eastAsia" w:ascii="宋体" w:hAnsi="宋体" w:cs="宋体"/>
          <w:b/>
          <w:bCs/>
          <w:color w:val="auto"/>
          <w:sz w:val="36"/>
          <w:szCs w:val="36"/>
          <w:lang w:val="en-US" w:eastAsia="zh-CN"/>
        </w:rPr>
        <w:t>-基坑</w:t>
      </w:r>
      <w:r>
        <w:rPr>
          <w:rFonts w:hint="eastAsia" w:ascii="宋体" w:hAnsi="宋体" w:eastAsia="宋体" w:cs="宋体"/>
          <w:b/>
          <w:bCs/>
          <w:color w:val="auto"/>
          <w:sz w:val="36"/>
          <w:szCs w:val="36"/>
        </w:rPr>
        <w:t>监测服务</w:t>
      </w:r>
    </w:p>
    <w:p>
      <w:pPr>
        <w:keepNext w:val="0"/>
        <w:keepLines w:val="0"/>
        <w:pageBreakBefore w:val="0"/>
        <w:widowControl/>
        <w:kinsoku/>
        <w:wordWrap/>
        <w:overflowPunct/>
        <w:topLinePunct w:val="0"/>
        <w:bidi w:val="0"/>
        <w:snapToGrid/>
        <w:spacing w:line="320" w:lineRule="exact"/>
        <w:ind w:firstLine="420" w:firstLineChars="200"/>
        <w:textAlignment w:val="auto"/>
        <w:rPr>
          <w:rFonts w:hint="eastAsia" w:ascii="宋体" w:hAnsi="宋体" w:eastAsia="宋体" w:cs="宋体"/>
          <w:color w:val="auto"/>
          <w:szCs w:val="21"/>
        </w:rPr>
      </w:pPr>
    </w:p>
    <w:p>
      <w:pPr>
        <w:keepNext w:val="0"/>
        <w:keepLines w:val="0"/>
        <w:pageBreakBefore w:val="0"/>
        <w:kinsoku/>
        <w:wordWrap/>
        <w:overflowPunct/>
        <w:topLinePunct w:val="0"/>
        <w:bidi w:val="0"/>
        <w:snapToGrid/>
        <w:spacing w:line="320" w:lineRule="exact"/>
        <w:ind w:firstLine="420" w:firstLineChars="200"/>
        <w:textAlignment w:val="auto"/>
        <w:rPr>
          <w:rFonts w:hint="eastAsia" w:ascii="宋体" w:hAnsi="宋体" w:eastAsia="宋体" w:cs="宋体"/>
          <w:color w:val="auto"/>
          <w:szCs w:val="21"/>
        </w:rPr>
      </w:pPr>
      <w:r>
        <w:rPr>
          <w:rFonts w:hint="eastAsia" w:ascii="宋体" w:hAnsi="宋体" w:eastAsia="宋体" w:cs="宋体"/>
          <w:color w:val="auto"/>
          <w:szCs w:val="21"/>
        </w:rPr>
        <w:t>甲方（建设单位）：</w:t>
      </w:r>
      <w:r>
        <w:rPr>
          <w:rFonts w:hint="eastAsia" w:ascii="宋体" w:hAnsi="宋体" w:eastAsia="宋体" w:cs="宋体"/>
          <w:color w:val="auto"/>
          <w:szCs w:val="21"/>
          <w:u w:val="single"/>
        </w:rPr>
        <w:t>东莞市莞城建筑工程有限公司</w:t>
      </w:r>
    </w:p>
    <w:p>
      <w:pPr>
        <w:keepNext w:val="0"/>
        <w:keepLines w:val="0"/>
        <w:pageBreakBefore w:val="0"/>
        <w:kinsoku/>
        <w:wordWrap/>
        <w:overflowPunct/>
        <w:topLinePunct w:val="0"/>
        <w:bidi w:val="0"/>
        <w:snapToGrid/>
        <w:spacing w:line="320" w:lineRule="exact"/>
        <w:ind w:firstLine="420" w:firstLineChars="200"/>
        <w:textAlignment w:val="auto"/>
        <w:rPr>
          <w:rFonts w:hint="eastAsia" w:ascii="宋体" w:hAnsi="宋体" w:eastAsia="宋体" w:cs="宋体"/>
          <w:color w:val="auto"/>
          <w:szCs w:val="21"/>
          <w:u w:val="single"/>
          <w:lang w:val="en-US" w:eastAsia="zh-CN"/>
        </w:rPr>
      </w:pPr>
      <w:r>
        <w:rPr>
          <w:rFonts w:hint="eastAsia" w:ascii="宋体" w:hAnsi="宋体" w:eastAsia="宋体" w:cs="宋体"/>
          <w:color w:val="auto"/>
          <w:szCs w:val="21"/>
        </w:rPr>
        <w:t>乙方（监测单位）：</w:t>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lang w:val="en-US" w:eastAsia="zh-CN"/>
        </w:rPr>
        <w:t xml:space="preserve">                         </w:t>
      </w:r>
    </w:p>
    <w:p>
      <w:pPr>
        <w:keepNext w:val="0"/>
        <w:keepLines w:val="0"/>
        <w:pageBreakBefore w:val="0"/>
        <w:kinsoku/>
        <w:wordWrap/>
        <w:overflowPunct/>
        <w:topLinePunct w:val="0"/>
        <w:bidi w:val="0"/>
        <w:snapToGrid/>
        <w:spacing w:line="320" w:lineRule="exact"/>
        <w:ind w:firstLine="420" w:firstLineChars="200"/>
        <w:textAlignment w:val="auto"/>
        <w:rPr>
          <w:rFonts w:hint="eastAsia" w:ascii="宋体" w:hAnsi="宋体" w:eastAsia="宋体" w:cs="宋体"/>
          <w:color w:val="auto"/>
          <w:szCs w:val="21"/>
        </w:rPr>
      </w:pPr>
    </w:p>
    <w:p>
      <w:pPr>
        <w:keepNext w:val="0"/>
        <w:keepLines w:val="0"/>
        <w:pageBreakBefore w:val="0"/>
        <w:kinsoku/>
        <w:wordWrap/>
        <w:overflowPunct/>
        <w:topLinePunct w:val="0"/>
        <w:bidi w:val="0"/>
        <w:snapToGrid/>
        <w:spacing w:line="32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甲方现委托乙方承担</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广东省东莞市城区配套物流仓储建设项目-基坑监测服务</w:t>
      </w:r>
      <w:r>
        <w:rPr>
          <w:rFonts w:hint="eastAsia" w:ascii="宋体" w:hAnsi="宋体" w:cs="宋体"/>
          <w:color w:val="auto"/>
          <w:sz w:val="21"/>
          <w:szCs w:val="21"/>
          <w:u w:val="single"/>
          <w:lang w:val="en-US" w:eastAsia="zh-CN"/>
        </w:rPr>
        <w:t xml:space="preserve"> </w:t>
      </w:r>
      <w:r>
        <w:rPr>
          <w:rFonts w:hint="eastAsia" w:ascii="宋体" w:hAnsi="宋体" w:eastAsia="宋体" w:cs="宋体"/>
          <w:color w:val="auto"/>
          <w:sz w:val="21"/>
          <w:szCs w:val="21"/>
        </w:rPr>
        <w:t>工作，本着平等、公平、诚实信用等原则，经双方协商一致，签订本合同。</w:t>
      </w:r>
    </w:p>
    <w:p>
      <w:pPr>
        <w:keepNext w:val="0"/>
        <w:keepLines w:val="0"/>
        <w:pageBreakBefore w:val="0"/>
        <w:tabs>
          <w:tab w:val="left" w:pos="1695"/>
          <w:tab w:val="left" w:pos="2700"/>
        </w:tabs>
        <w:kinsoku/>
        <w:wordWrap/>
        <w:overflowPunct/>
        <w:topLinePunct w:val="0"/>
        <w:bidi w:val="0"/>
        <w:snapToGrid/>
        <w:spacing w:line="320" w:lineRule="exact"/>
        <w:ind w:firstLine="422" w:firstLineChars="200"/>
        <w:textAlignment w:val="auto"/>
        <w:outlineLvl w:val="2"/>
        <w:rPr>
          <w:rFonts w:hint="eastAsia" w:ascii="宋体" w:hAnsi="宋体" w:eastAsia="宋体" w:cs="宋体"/>
          <w:b/>
          <w:color w:val="auto"/>
          <w:sz w:val="21"/>
          <w:szCs w:val="21"/>
        </w:rPr>
      </w:pPr>
      <w:bookmarkStart w:id="12" w:name="_Toc109914415"/>
      <w:bookmarkStart w:id="13" w:name="_Toc97339354"/>
      <w:bookmarkStart w:id="14" w:name="_Toc97717268"/>
      <w:r>
        <w:rPr>
          <w:rFonts w:hint="eastAsia" w:ascii="宋体" w:hAnsi="宋体" w:eastAsia="宋体" w:cs="宋体"/>
          <w:b/>
          <w:color w:val="auto"/>
          <w:sz w:val="21"/>
          <w:szCs w:val="21"/>
        </w:rPr>
        <w:t>第一条   本合同依据下列文件签订：</w:t>
      </w:r>
      <w:bookmarkEnd w:id="12"/>
      <w:bookmarkEnd w:id="13"/>
      <w:bookmarkEnd w:id="14"/>
    </w:p>
    <w:p>
      <w:pPr>
        <w:keepNext w:val="0"/>
        <w:keepLines w:val="0"/>
        <w:pageBreakBefore w:val="0"/>
        <w:tabs>
          <w:tab w:val="left" w:pos="2700"/>
        </w:tabs>
        <w:kinsoku/>
        <w:wordWrap/>
        <w:overflowPunct/>
        <w:topLinePunct w:val="0"/>
        <w:bidi w:val="0"/>
        <w:snapToGrid/>
        <w:spacing w:line="32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1.1《中华人民共和国民法典》、《中华人民共和国建筑法》、《中华人民共和国建设工程质量管理条例》、《实施工程建设强制性标准监督规定》（建设部令第81号）、《广东省建设工程勘察设计管理条例》、《建筑基坑工程监测技术标准》（GB50497-2019）等相关法律法规及规范。</w:t>
      </w:r>
    </w:p>
    <w:p>
      <w:pPr>
        <w:keepNext w:val="0"/>
        <w:keepLines w:val="0"/>
        <w:pageBreakBefore w:val="0"/>
        <w:tabs>
          <w:tab w:val="left" w:pos="2700"/>
        </w:tabs>
        <w:kinsoku/>
        <w:wordWrap/>
        <w:overflowPunct/>
        <w:topLinePunct w:val="0"/>
        <w:bidi w:val="0"/>
        <w:snapToGrid/>
        <w:spacing w:line="32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1.2 国家及地方有关建设工程勘察设计管理法规和规章。</w:t>
      </w:r>
    </w:p>
    <w:p>
      <w:pPr>
        <w:keepNext w:val="0"/>
        <w:keepLines w:val="0"/>
        <w:pageBreakBefore w:val="0"/>
        <w:tabs>
          <w:tab w:val="left" w:pos="2700"/>
        </w:tabs>
        <w:kinsoku/>
        <w:wordWrap/>
        <w:overflowPunct/>
        <w:topLinePunct w:val="0"/>
        <w:bidi w:val="0"/>
        <w:snapToGrid/>
        <w:spacing w:line="32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1.3 建设工程批准文件。</w:t>
      </w:r>
    </w:p>
    <w:p>
      <w:pPr>
        <w:keepNext w:val="0"/>
        <w:keepLines w:val="0"/>
        <w:pageBreakBefore w:val="0"/>
        <w:tabs>
          <w:tab w:val="left" w:pos="2700"/>
        </w:tabs>
        <w:kinsoku/>
        <w:wordWrap/>
        <w:overflowPunct/>
        <w:topLinePunct w:val="0"/>
        <w:bidi w:val="0"/>
        <w:snapToGrid/>
        <w:spacing w:line="32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1.4 招标公告、招标文件、投标文件及中标通知书。</w:t>
      </w:r>
    </w:p>
    <w:p>
      <w:pPr>
        <w:keepNext w:val="0"/>
        <w:keepLines w:val="0"/>
        <w:pageBreakBefore w:val="0"/>
        <w:tabs>
          <w:tab w:val="left" w:pos="1695"/>
          <w:tab w:val="left" w:pos="2700"/>
        </w:tabs>
        <w:kinsoku/>
        <w:wordWrap/>
        <w:overflowPunct/>
        <w:topLinePunct w:val="0"/>
        <w:bidi w:val="0"/>
        <w:snapToGrid/>
        <w:spacing w:line="320" w:lineRule="exact"/>
        <w:ind w:firstLine="422" w:firstLineChars="200"/>
        <w:textAlignment w:val="auto"/>
        <w:outlineLvl w:val="2"/>
        <w:rPr>
          <w:rFonts w:hint="eastAsia" w:ascii="宋体" w:hAnsi="宋体" w:eastAsia="宋体" w:cs="宋体"/>
          <w:b/>
          <w:color w:val="auto"/>
          <w:sz w:val="21"/>
          <w:szCs w:val="21"/>
        </w:rPr>
      </w:pPr>
      <w:bookmarkStart w:id="15" w:name="_Toc97717269"/>
      <w:bookmarkStart w:id="16" w:name="_Toc97339355"/>
      <w:bookmarkStart w:id="17" w:name="_Toc109914416"/>
      <w:bookmarkStart w:id="18" w:name="_Hlk15374519"/>
      <w:r>
        <w:rPr>
          <w:rFonts w:hint="eastAsia" w:ascii="宋体" w:hAnsi="宋体" w:eastAsia="宋体" w:cs="宋体"/>
          <w:b/>
          <w:color w:val="auto"/>
          <w:sz w:val="21"/>
          <w:szCs w:val="21"/>
        </w:rPr>
        <w:t>第二条   项目概况：</w:t>
      </w:r>
      <w:bookmarkEnd w:id="15"/>
      <w:bookmarkEnd w:id="16"/>
      <w:bookmarkEnd w:id="17"/>
    </w:p>
    <w:p>
      <w:pPr>
        <w:keepNext w:val="0"/>
        <w:keepLines w:val="0"/>
        <w:pageBreakBefore w:val="0"/>
        <w:kinsoku/>
        <w:wordWrap/>
        <w:overflowPunct/>
        <w:topLinePunct w:val="0"/>
        <w:bidi w:val="0"/>
        <w:snapToGrid/>
        <w:spacing w:line="32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广东省东莞市城区配套物流仓储建设项目规划用地面积约23748.62平方米，总建筑面积约49606平方米。建设仓储物流（冷链），配套建设约1000个公共停车位等。（具体建设规模及内容以批复方案为准）。</w:t>
      </w:r>
    </w:p>
    <w:bookmarkEnd w:id="18"/>
    <w:p>
      <w:pPr>
        <w:keepNext w:val="0"/>
        <w:keepLines w:val="0"/>
        <w:pageBreakBefore w:val="0"/>
        <w:tabs>
          <w:tab w:val="left" w:pos="1695"/>
          <w:tab w:val="left" w:pos="2700"/>
        </w:tabs>
        <w:kinsoku/>
        <w:wordWrap/>
        <w:overflowPunct/>
        <w:topLinePunct w:val="0"/>
        <w:bidi w:val="0"/>
        <w:snapToGrid/>
        <w:spacing w:line="320" w:lineRule="exact"/>
        <w:ind w:firstLine="422" w:firstLineChars="200"/>
        <w:textAlignment w:val="auto"/>
        <w:outlineLvl w:val="2"/>
        <w:rPr>
          <w:rFonts w:hint="eastAsia" w:ascii="宋体" w:hAnsi="宋体" w:eastAsia="宋体" w:cs="宋体"/>
          <w:b/>
          <w:color w:val="auto"/>
          <w:sz w:val="21"/>
          <w:szCs w:val="21"/>
        </w:rPr>
      </w:pPr>
      <w:bookmarkStart w:id="19" w:name="_Toc97717270"/>
      <w:bookmarkStart w:id="20" w:name="_Toc97339356"/>
      <w:bookmarkStart w:id="21" w:name="_Toc109914417"/>
      <w:r>
        <w:rPr>
          <w:rFonts w:hint="eastAsia" w:ascii="宋体" w:hAnsi="宋体" w:eastAsia="宋体" w:cs="宋体"/>
          <w:b/>
          <w:color w:val="auto"/>
          <w:sz w:val="21"/>
          <w:szCs w:val="21"/>
        </w:rPr>
        <w:t>第三条   基坑监测内容、监测频率：</w:t>
      </w:r>
      <w:bookmarkEnd w:id="19"/>
      <w:bookmarkEnd w:id="20"/>
      <w:bookmarkEnd w:id="21"/>
    </w:p>
    <w:p>
      <w:pPr>
        <w:keepNext w:val="0"/>
        <w:keepLines w:val="0"/>
        <w:pageBreakBefore w:val="0"/>
        <w:kinsoku/>
        <w:wordWrap/>
        <w:overflowPunct/>
        <w:topLinePunct w:val="0"/>
        <w:bidi w:val="0"/>
        <w:snapToGrid/>
        <w:spacing w:line="320" w:lineRule="exact"/>
        <w:ind w:firstLine="420" w:firstLineChars="200"/>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3.1、水平位移、沉降工作基点埋设、现场监测及成果整理等。</w:t>
      </w:r>
    </w:p>
    <w:p>
      <w:pPr>
        <w:keepNext w:val="0"/>
        <w:keepLines w:val="0"/>
        <w:pageBreakBefore w:val="0"/>
        <w:kinsoku/>
        <w:wordWrap/>
        <w:overflowPunct/>
        <w:topLinePunct w:val="0"/>
        <w:bidi w:val="0"/>
        <w:snapToGrid/>
        <w:spacing w:line="320" w:lineRule="exact"/>
        <w:ind w:firstLine="420" w:firstLineChars="200"/>
        <w:textAlignment w:val="auto"/>
        <w:rPr>
          <w:rFonts w:hint="eastAsia" w:ascii="宋体" w:hAnsi="宋体" w:eastAsia="宋体" w:cs="宋体"/>
          <w:bCs/>
          <w:color w:val="auto"/>
          <w:sz w:val="21"/>
          <w:szCs w:val="21"/>
        </w:rPr>
      </w:pPr>
      <w:r>
        <w:rPr>
          <w:rFonts w:hint="eastAsia" w:ascii="宋体" w:hAnsi="宋体" w:cs="宋体"/>
          <w:bCs/>
          <w:color w:val="auto"/>
          <w:sz w:val="21"/>
          <w:szCs w:val="21"/>
          <w:lang w:val="en-US" w:eastAsia="zh-CN"/>
        </w:rPr>
        <w:t>3.</w:t>
      </w:r>
      <w:r>
        <w:rPr>
          <w:rFonts w:hint="eastAsia" w:ascii="宋体" w:hAnsi="宋体" w:eastAsia="宋体" w:cs="宋体"/>
          <w:bCs/>
          <w:color w:val="auto"/>
          <w:sz w:val="21"/>
          <w:szCs w:val="21"/>
        </w:rPr>
        <w:t>2、坑顶沉降观测点埋设、现场监测及成果整理等。</w:t>
      </w:r>
    </w:p>
    <w:p>
      <w:pPr>
        <w:keepNext w:val="0"/>
        <w:keepLines w:val="0"/>
        <w:pageBreakBefore w:val="0"/>
        <w:kinsoku/>
        <w:wordWrap/>
        <w:overflowPunct/>
        <w:topLinePunct w:val="0"/>
        <w:bidi w:val="0"/>
        <w:snapToGrid/>
        <w:spacing w:line="320" w:lineRule="exact"/>
        <w:ind w:firstLine="420" w:firstLineChars="200"/>
        <w:textAlignment w:val="auto"/>
        <w:rPr>
          <w:rFonts w:hint="eastAsia" w:ascii="宋体" w:hAnsi="宋体" w:eastAsia="宋体" w:cs="宋体"/>
          <w:bCs/>
          <w:color w:val="auto"/>
          <w:sz w:val="21"/>
          <w:szCs w:val="21"/>
        </w:rPr>
      </w:pPr>
      <w:r>
        <w:rPr>
          <w:rFonts w:hint="eastAsia" w:ascii="宋体" w:hAnsi="宋体" w:cs="宋体"/>
          <w:bCs/>
          <w:color w:val="auto"/>
          <w:sz w:val="21"/>
          <w:szCs w:val="21"/>
          <w:lang w:val="en-US" w:eastAsia="zh-CN"/>
        </w:rPr>
        <w:t>3.</w:t>
      </w:r>
      <w:r>
        <w:rPr>
          <w:rFonts w:hint="eastAsia" w:ascii="宋体" w:hAnsi="宋体" w:eastAsia="宋体" w:cs="宋体"/>
          <w:bCs/>
          <w:color w:val="auto"/>
          <w:sz w:val="21"/>
          <w:szCs w:val="21"/>
        </w:rPr>
        <w:t>3、坑顶位移观测点埋设、现场监测及成果整理等。</w:t>
      </w:r>
    </w:p>
    <w:p>
      <w:pPr>
        <w:keepNext w:val="0"/>
        <w:keepLines w:val="0"/>
        <w:pageBreakBefore w:val="0"/>
        <w:kinsoku/>
        <w:wordWrap/>
        <w:overflowPunct/>
        <w:topLinePunct w:val="0"/>
        <w:bidi w:val="0"/>
        <w:snapToGrid/>
        <w:spacing w:line="320" w:lineRule="exact"/>
        <w:ind w:firstLine="420" w:firstLineChars="200"/>
        <w:textAlignment w:val="auto"/>
        <w:rPr>
          <w:rFonts w:hint="eastAsia" w:ascii="宋体" w:hAnsi="宋体" w:eastAsia="宋体" w:cs="宋体"/>
          <w:bCs/>
          <w:color w:val="auto"/>
          <w:sz w:val="21"/>
          <w:szCs w:val="21"/>
        </w:rPr>
      </w:pPr>
      <w:r>
        <w:rPr>
          <w:rFonts w:hint="eastAsia" w:ascii="宋体" w:hAnsi="宋体" w:cs="宋体"/>
          <w:bCs/>
          <w:color w:val="auto"/>
          <w:sz w:val="21"/>
          <w:szCs w:val="21"/>
          <w:lang w:val="en-US" w:eastAsia="zh-CN"/>
        </w:rPr>
        <w:t>3.</w:t>
      </w:r>
      <w:r>
        <w:rPr>
          <w:rFonts w:hint="eastAsia" w:ascii="宋体" w:hAnsi="宋体" w:eastAsia="宋体" w:cs="宋体"/>
          <w:bCs/>
          <w:color w:val="auto"/>
          <w:sz w:val="21"/>
          <w:szCs w:val="21"/>
        </w:rPr>
        <w:t>4、周边道路、管线沉降观测点埋设、现场监测及成果整理等。</w:t>
      </w:r>
    </w:p>
    <w:p>
      <w:pPr>
        <w:keepNext w:val="0"/>
        <w:keepLines w:val="0"/>
        <w:pageBreakBefore w:val="0"/>
        <w:kinsoku/>
        <w:wordWrap/>
        <w:overflowPunct/>
        <w:topLinePunct w:val="0"/>
        <w:bidi w:val="0"/>
        <w:snapToGrid/>
        <w:spacing w:line="320" w:lineRule="exact"/>
        <w:ind w:firstLine="420" w:firstLineChars="200"/>
        <w:textAlignment w:val="auto"/>
        <w:rPr>
          <w:rFonts w:hint="eastAsia" w:ascii="宋体" w:hAnsi="宋体" w:eastAsia="宋体" w:cs="宋体"/>
          <w:bCs/>
          <w:color w:val="auto"/>
          <w:sz w:val="21"/>
          <w:szCs w:val="21"/>
        </w:rPr>
      </w:pPr>
      <w:r>
        <w:rPr>
          <w:rFonts w:hint="eastAsia" w:ascii="宋体" w:hAnsi="宋体" w:cs="宋体"/>
          <w:bCs/>
          <w:color w:val="auto"/>
          <w:sz w:val="21"/>
          <w:szCs w:val="21"/>
          <w:lang w:val="en-US" w:eastAsia="zh-CN"/>
        </w:rPr>
        <w:t>3.</w:t>
      </w:r>
      <w:r>
        <w:rPr>
          <w:rFonts w:hint="eastAsia" w:ascii="宋体" w:hAnsi="宋体" w:eastAsia="宋体" w:cs="宋体"/>
          <w:bCs/>
          <w:color w:val="auto"/>
          <w:sz w:val="21"/>
          <w:szCs w:val="21"/>
        </w:rPr>
        <w:t>5、锚索应力监测点埋设、现场监测及成果整理等。</w:t>
      </w:r>
    </w:p>
    <w:p>
      <w:pPr>
        <w:keepNext w:val="0"/>
        <w:keepLines w:val="0"/>
        <w:pageBreakBefore w:val="0"/>
        <w:kinsoku/>
        <w:wordWrap/>
        <w:overflowPunct/>
        <w:topLinePunct w:val="0"/>
        <w:bidi w:val="0"/>
        <w:snapToGrid/>
        <w:spacing w:line="320" w:lineRule="exact"/>
        <w:ind w:firstLine="420" w:firstLineChars="200"/>
        <w:textAlignment w:val="auto"/>
        <w:rPr>
          <w:rFonts w:hint="eastAsia" w:ascii="宋体" w:hAnsi="宋体" w:eastAsia="宋体" w:cs="宋体"/>
          <w:bCs/>
          <w:color w:val="auto"/>
          <w:sz w:val="21"/>
          <w:szCs w:val="21"/>
        </w:rPr>
      </w:pPr>
      <w:r>
        <w:rPr>
          <w:rFonts w:hint="eastAsia" w:ascii="宋体" w:hAnsi="宋体" w:cs="宋体"/>
          <w:bCs/>
          <w:color w:val="auto"/>
          <w:sz w:val="21"/>
          <w:szCs w:val="21"/>
          <w:lang w:val="en-US" w:eastAsia="zh-CN"/>
        </w:rPr>
        <w:t>3.</w:t>
      </w:r>
      <w:r>
        <w:rPr>
          <w:rFonts w:hint="eastAsia" w:ascii="宋体" w:hAnsi="宋体" w:eastAsia="宋体" w:cs="宋体"/>
          <w:bCs/>
          <w:color w:val="auto"/>
          <w:sz w:val="21"/>
          <w:szCs w:val="21"/>
        </w:rPr>
        <w:t>6、地下水位孔、深层水平位移监测点埋设、现场监测及成果整理等</w:t>
      </w:r>
    </w:p>
    <w:p>
      <w:pPr>
        <w:keepNext w:val="0"/>
        <w:keepLines w:val="0"/>
        <w:pageBreakBefore w:val="0"/>
        <w:kinsoku/>
        <w:wordWrap/>
        <w:overflowPunct/>
        <w:topLinePunct w:val="0"/>
        <w:bidi w:val="0"/>
        <w:snapToGrid/>
        <w:spacing w:line="320" w:lineRule="exact"/>
        <w:ind w:firstLine="420" w:firstLineChars="200"/>
        <w:textAlignment w:val="auto"/>
        <w:rPr>
          <w:rFonts w:hint="eastAsia" w:ascii="宋体" w:hAnsi="宋体" w:eastAsia="宋体" w:cs="宋体"/>
          <w:bCs/>
          <w:color w:val="auto"/>
          <w:sz w:val="21"/>
          <w:szCs w:val="21"/>
        </w:rPr>
      </w:pPr>
      <w:r>
        <w:rPr>
          <w:rFonts w:hint="eastAsia" w:ascii="宋体" w:hAnsi="宋体" w:cs="宋体"/>
          <w:bCs/>
          <w:color w:val="auto"/>
          <w:sz w:val="21"/>
          <w:szCs w:val="21"/>
          <w:lang w:val="en-US" w:eastAsia="zh-CN"/>
        </w:rPr>
        <w:t>3.</w:t>
      </w:r>
      <w:r>
        <w:rPr>
          <w:rFonts w:hint="eastAsia" w:ascii="宋体" w:hAnsi="宋体" w:eastAsia="宋体" w:cs="宋体"/>
          <w:bCs/>
          <w:color w:val="auto"/>
          <w:sz w:val="21"/>
          <w:szCs w:val="21"/>
        </w:rPr>
        <w:t>7、基坑监测详细要求见附件2《广东省东莞市城区配套物流仓储建设项目-基坑监测平面布置图》。该项目启用基坑工程安全监测信息管理平台，乙方统一接入东莞市住建局建科所“东莞市基坑工程安全监测预警平台”，将各项监测数据上传至东莞市基坑工程安全监测预警平台、进行信息化监测。</w:t>
      </w:r>
    </w:p>
    <w:p>
      <w:pPr>
        <w:keepNext w:val="0"/>
        <w:keepLines w:val="0"/>
        <w:pageBreakBefore w:val="0"/>
        <w:kinsoku/>
        <w:wordWrap/>
        <w:overflowPunct/>
        <w:topLinePunct w:val="0"/>
        <w:bidi w:val="0"/>
        <w:snapToGrid/>
        <w:spacing w:line="320" w:lineRule="exact"/>
        <w:ind w:firstLine="420" w:firstLineChars="200"/>
        <w:textAlignment w:val="auto"/>
        <w:rPr>
          <w:rFonts w:hint="eastAsia" w:ascii="宋体" w:hAnsi="宋体" w:eastAsia="宋体" w:cs="宋体"/>
          <w:bCs/>
          <w:color w:val="auto"/>
          <w:sz w:val="21"/>
          <w:szCs w:val="21"/>
        </w:rPr>
      </w:pPr>
      <w:r>
        <w:rPr>
          <w:rFonts w:hint="eastAsia" w:ascii="宋体" w:hAnsi="宋体" w:cs="宋体"/>
          <w:bCs/>
          <w:color w:val="auto"/>
          <w:sz w:val="21"/>
          <w:szCs w:val="21"/>
          <w:lang w:val="en-US" w:eastAsia="zh-CN"/>
        </w:rPr>
        <w:t>3.</w:t>
      </w:r>
      <w:r>
        <w:rPr>
          <w:rFonts w:hint="eastAsia" w:ascii="宋体" w:hAnsi="宋体" w:eastAsia="宋体" w:cs="宋体"/>
          <w:bCs/>
          <w:color w:val="auto"/>
          <w:sz w:val="21"/>
          <w:szCs w:val="21"/>
        </w:rPr>
        <w:t>8、监测频率：满足附件2《广东省东莞市城区配套物流仓储建设项目-基坑监测平面布置图》中的要求以及经甲方和监理单位确认的基坑监测方案。</w:t>
      </w:r>
    </w:p>
    <w:p>
      <w:pPr>
        <w:keepNext w:val="0"/>
        <w:keepLines w:val="0"/>
        <w:pageBreakBefore w:val="0"/>
        <w:kinsoku/>
        <w:wordWrap/>
        <w:overflowPunct/>
        <w:topLinePunct w:val="0"/>
        <w:bidi w:val="0"/>
        <w:snapToGrid/>
        <w:spacing w:line="320" w:lineRule="exact"/>
        <w:ind w:firstLine="420" w:firstLineChars="200"/>
        <w:textAlignment w:val="auto"/>
        <w:rPr>
          <w:rFonts w:hint="eastAsia" w:ascii="宋体" w:hAnsi="宋体" w:eastAsia="宋体" w:cs="宋体"/>
          <w:bCs/>
          <w:color w:val="auto"/>
          <w:sz w:val="21"/>
          <w:szCs w:val="21"/>
        </w:rPr>
      </w:pPr>
      <w:r>
        <w:rPr>
          <w:rFonts w:hint="eastAsia" w:ascii="宋体" w:hAnsi="宋体" w:cs="宋体"/>
          <w:bCs/>
          <w:color w:val="auto"/>
          <w:sz w:val="21"/>
          <w:szCs w:val="21"/>
          <w:lang w:val="en-US" w:eastAsia="zh-CN"/>
        </w:rPr>
        <w:t>3.</w:t>
      </w:r>
      <w:r>
        <w:rPr>
          <w:rFonts w:hint="eastAsia" w:ascii="宋体" w:hAnsi="宋体" w:eastAsia="宋体" w:cs="宋体"/>
          <w:bCs/>
          <w:color w:val="auto"/>
          <w:sz w:val="21"/>
          <w:szCs w:val="21"/>
        </w:rPr>
        <w:t>9、所有的监测成果文件须满足当地政府相关部门的要求、审核归档等。</w:t>
      </w:r>
    </w:p>
    <w:p>
      <w:pPr>
        <w:keepNext w:val="0"/>
        <w:keepLines w:val="0"/>
        <w:pageBreakBefore w:val="0"/>
        <w:kinsoku/>
        <w:wordWrap/>
        <w:overflowPunct/>
        <w:topLinePunct w:val="0"/>
        <w:bidi w:val="0"/>
        <w:snapToGrid/>
        <w:spacing w:line="320" w:lineRule="exact"/>
        <w:ind w:firstLine="420" w:firstLineChars="200"/>
        <w:textAlignment w:val="auto"/>
        <w:rPr>
          <w:rFonts w:hint="eastAsia" w:ascii="宋体" w:hAnsi="宋体" w:eastAsia="宋体" w:cs="宋体"/>
          <w:bCs/>
          <w:color w:val="auto"/>
          <w:sz w:val="21"/>
          <w:szCs w:val="21"/>
        </w:rPr>
      </w:pPr>
      <w:r>
        <w:rPr>
          <w:rFonts w:hint="eastAsia" w:ascii="宋体" w:hAnsi="宋体" w:cs="宋体"/>
          <w:bCs/>
          <w:color w:val="auto"/>
          <w:sz w:val="21"/>
          <w:szCs w:val="21"/>
          <w:lang w:val="en-US" w:eastAsia="zh-CN"/>
        </w:rPr>
        <w:t>3.</w:t>
      </w:r>
      <w:r>
        <w:rPr>
          <w:rFonts w:hint="eastAsia" w:ascii="宋体" w:hAnsi="宋体" w:eastAsia="宋体" w:cs="宋体"/>
          <w:bCs/>
          <w:color w:val="auto"/>
          <w:sz w:val="21"/>
          <w:szCs w:val="21"/>
        </w:rPr>
        <w:t xml:space="preserve">10、本工程基坑监测数量为暂定数量，乙方需按照甲方提供的有关图纸及其他技术资料编制基坑监测方案，基坑监测方案须经相关部门专家论证后并经甲方、监理单位共同确认后方可执行。 </w:t>
      </w:r>
    </w:p>
    <w:p>
      <w:pPr>
        <w:pStyle w:val="61"/>
        <w:keepNext w:val="0"/>
        <w:keepLines w:val="0"/>
        <w:pageBreakBefore w:val="0"/>
        <w:kinsoku/>
        <w:wordWrap/>
        <w:overflowPunct/>
        <w:topLinePunct w:val="0"/>
        <w:autoSpaceDE/>
        <w:autoSpaceDN/>
        <w:bidi w:val="0"/>
        <w:adjustRightInd/>
        <w:snapToGrid/>
        <w:spacing w:line="320" w:lineRule="exact"/>
        <w:ind w:firstLine="422"/>
        <w:jc w:val="both"/>
        <w:textAlignment w:val="auto"/>
        <w:outlineLvl w:val="2"/>
        <w:rPr>
          <w:rFonts w:hint="eastAsia" w:ascii="宋体" w:hAnsi="宋体" w:eastAsia="宋体" w:cs="宋体"/>
          <w:b/>
          <w:color w:val="auto"/>
          <w:sz w:val="21"/>
          <w:szCs w:val="21"/>
        </w:rPr>
      </w:pPr>
      <w:bookmarkStart w:id="22" w:name="_Toc109914418"/>
      <w:bookmarkStart w:id="23" w:name="_Toc97717271"/>
      <w:bookmarkStart w:id="24" w:name="_Toc97339357"/>
      <w:r>
        <w:rPr>
          <w:rFonts w:hint="eastAsia" w:ascii="宋体" w:hAnsi="宋体" w:eastAsia="宋体" w:cs="宋体"/>
          <w:b/>
          <w:color w:val="auto"/>
          <w:sz w:val="21"/>
          <w:szCs w:val="21"/>
        </w:rPr>
        <w:t>第四条   合同价款、付款及结算方式：</w:t>
      </w:r>
      <w:bookmarkEnd w:id="22"/>
      <w:bookmarkEnd w:id="23"/>
      <w:bookmarkEnd w:id="24"/>
    </w:p>
    <w:p>
      <w:pPr>
        <w:pStyle w:val="61"/>
        <w:keepNext w:val="0"/>
        <w:keepLines w:val="0"/>
        <w:pageBreakBefore w:val="0"/>
        <w:kinsoku/>
        <w:wordWrap/>
        <w:overflowPunct/>
        <w:topLinePunct w:val="0"/>
        <w:bidi w:val="0"/>
        <w:adjustRightInd/>
        <w:snapToGrid/>
        <w:spacing w:line="320" w:lineRule="exact"/>
        <w:ind w:firstLine="422"/>
        <w:textAlignment w:val="auto"/>
        <w:rPr>
          <w:rFonts w:hint="eastAsia" w:ascii="宋体" w:hAnsi="宋体" w:eastAsia="宋体" w:cs="宋体"/>
          <w:color w:val="auto"/>
          <w:sz w:val="21"/>
          <w:szCs w:val="21"/>
        </w:rPr>
      </w:pPr>
      <w:r>
        <w:rPr>
          <w:rFonts w:hint="eastAsia" w:ascii="宋体" w:hAnsi="宋体" w:eastAsia="宋体" w:cs="宋体"/>
          <w:b/>
          <w:color w:val="auto"/>
          <w:sz w:val="21"/>
          <w:szCs w:val="21"/>
        </w:rPr>
        <w:t>4.1、合同价款：</w:t>
      </w:r>
    </w:p>
    <w:p>
      <w:pPr>
        <w:pStyle w:val="61"/>
        <w:keepNext w:val="0"/>
        <w:keepLines w:val="0"/>
        <w:pageBreakBefore w:val="0"/>
        <w:kinsoku/>
        <w:wordWrap/>
        <w:overflowPunct/>
        <w:topLinePunct w:val="0"/>
        <w:bidi w:val="0"/>
        <w:adjustRightInd/>
        <w:snapToGrid/>
        <w:spacing w:line="32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4.1.1、基坑监测服务费含税总价暂定为</w:t>
      </w:r>
      <w:r>
        <w:rPr>
          <w:rFonts w:hint="eastAsia" w:ascii="宋体" w:hAnsi="宋体" w:eastAsia="宋体" w:cs="宋体"/>
          <w:color w:val="auto"/>
          <w:sz w:val="21"/>
          <w:szCs w:val="21"/>
          <w:u w:val="single"/>
        </w:rPr>
        <w:t xml:space="preserve"> ￥    元（大写人民币：     </w:t>
      </w:r>
      <w:r>
        <w:rPr>
          <w:rFonts w:hint="eastAsia" w:ascii="宋体" w:hAnsi="宋体" w:eastAsia="宋体" w:cs="宋体"/>
          <w:color w:val="auto"/>
          <w:sz w:val="21"/>
          <w:szCs w:val="21"/>
        </w:rPr>
        <w:t>），（含税</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%增值税专用发票）。最终费用以实际完成工作量乘以综合单价乘以收费系数</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计费，综合单价参考《工程勘察设计收费标准（2002年修订本）》及《广东省房屋建筑和市政工程质量安全检测收费指导价》。最终结算价不超投标报价。</w:t>
      </w:r>
    </w:p>
    <w:p>
      <w:pPr>
        <w:pStyle w:val="61"/>
        <w:keepNext w:val="0"/>
        <w:keepLines w:val="0"/>
        <w:pageBreakBefore w:val="0"/>
        <w:kinsoku/>
        <w:wordWrap/>
        <w:overflowPunct/>
        <w:topLinePunct w:val="0"/>
        <w:bidi w:val="0"/>
        <w:adjustRightInd/>
        <w:snapToGrid/>
        <w:spacing w:line="320" w:lineRule="exact"/>
        <w:textAlignment w:val="auto"/>
        <w:rPr>
          <w:rFonts w:hint="eastAsia" w:ascii="宋体" w:hAnsi="宋体" w:eastAsia="宋体" w:cs="宋体"/>
          <w:b/>
          <w:bCs w:val="0"/>
          <w:color w:val="auto"/>
          <w:sz w:val="21"/>
          <w:szCs w:val="21"/>
        </w:rPr>
      </w:pPr>
      <w:r>
        <w:rPr>
          <w:rFonts w:hint="eastAsia" w:ascii="宋体" w:hAnsi="宋体" w:eastAsia="宋体" w:cs="宋体"/>
          <w:color w:val="auto"/>
          <w:sz w:val="21"/>
          <w:szCs w:val="21"/>
        </w:rPr>
        <w:t>基坑监测服务收费系数的有效区间：0.00≤基坑监测服务收费系数≤0.80，供应商在报价一览表上填报的基坑监测服务收费系数必须在上述有效区间内，否则其投标文件作无效投标文件处理。</w:t>
      </w:r>
    </w:p>
    <w:p>
      <w:pPr>
        <w:pStyle w:val="61"/>
        <w:keepNext w:val="0"/>
        <w:keepLines w:val="0"/>
        <w:pageBreakBefore w:val="0"/>
        <w:kinsoku/>
        <w:wordWrap/>
        <w:overflowPunct/>
        <w:topLinePunct w:val="0"/>
        <w:bidi w:val="0"/>
        <w:adjustRightInd/>
        <w:snapToGrid/>
        <w:spacing w:line="32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4.1.2、合同暂定（含税）总价款为¥</w:t>
      </w: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lang w:val="en-US" w:eastAsia="zh-CN"/>
        </w:rPr>
        <w:t xml:space="preserve">     </w:t>
      </w:r>
      <w:r>
        <w:rPr>
          <w:rFonts w:hint="eastAsia" w:ascii="宋体" w:hAnsi="宋体" w:eastAsia="宋体" w:cs="宋体"/>
          <w:b/>
          <w:bCs/>
          <w:color w:val="auto"/>
          <w:sz w:val="21"/>
          <w:szCs w:val="21"/>
          <w:u w:val="single"/>
        </w:rPr>
        <w:t xml:space="preserve">  </w:t>
      </w:r>
      <w:r>
        <w:rPr>
          <w:rFonts w:hint="eastAsia" w:ascii="宋体" w:hAnsi="宋体" w:eastAsia="宋体" w:cs="宋体"/>
          <w:color w:val="auto"/>
          <w:sz w:val="21"/>
          <w:szCs w:val="21"/>
        </w:rPr>
        <w:t>元（大写人民币</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），其中：增值税率为</w:t>
      </w: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auto"/>
          <w:sz w:val="21"/>
          <w:szCs w:val="21"/>
          <w:u w:val="single"/>
          <w:lang w:val="en-US" w:eastAsia="zh-CN"/>
        </w:rPr>
        <w:t xml:space="preserve"> </w:t>
      </w:r>
      <w:r>
        <w:rPr>
          <w:rFonts w:hint="eastAsia" w:ascii="宋体" w:hAnsi="宋体" w:eastAsia="宋体" w:cs="宋体"/>
          <w:b/>
          <w:bCs/>
          <w:color w:val="auto"/>
          <w:sz w:val="21"/>
          <w:szCs w:val="21"/>
          <w:u w:val="single"/>
        </w:rPr>
        <w:t xml:space="preserve"> </w:t>
      </w:r>
      <w:r>
        <w:rPr>
          <w:rFonts w:hint="eastAsia" w:ascii="宋体" w:hAnsi="宋体" w:cs="宋体"/>
          <w:b/>
          <w:bCs/>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%，税金金额¥</w:t>
      </w:r>
      <w:r>
        <w:rPr>
          <w:rFonts w:hint="eastAsia" w:ascii="宋体" w:hAnsi="宋体" w:eastAsia="宋体" w:cs="宋体"/>
          <w:color w:val="auto"/>
          <w:sz w:val="21"/>
          <w:szCs w:val="21"/>
          <w:u w:val="single"/>
        </w:rPr>
        <w:t xml:space="preserve">  </w:t>
      </w:r>
      <w:r>
        <w:rPr>
          <w:rFonts w:hint="eastAsia" w:ascii="宋体" w:hAnsi="宋体" w:eastAsia="宋体" w:cs="宋体"/>
          <w:b/>
          <w:bCs/>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元，不含税暂定合同总价款为¥</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auto"/>
          <w:sz w:val="21"/>
          <w:szCs w:val="21"/>
          <w:u w:val="single"/>
          <w:lang w:val="en-US" w:eastAsia="zh-CN"/>
        </w:rPr>
        <w:t xml:space="preserve">       </w:t>
      </w:r>
      <w:r>
        <w:rPr>
          <w:rFonts w:hint="eastAsia" w:ascii="宋体" w:hAnsi="宋体" w:eastAsia="宋体" w:cs="宋体"/>
          <w:b/>
          <w:bCs/>
          <w:color w:val="auto"/>
          <w:sz w:val="21"/>
          <w:szCs w:val="21"/>
          <w:u w:val="single"/>
        </w:rPr>
        <w:t xml:space="preserve"> </w:t>
      </w:r>
      <w:r>
        <w:rPr>
          <w:rFonts w:hint="eastAsia" w:ascii="宋体" w:hAnsi="宋体" w:eastAsia="宋体" w:cs="宋体"/>
          <w:color w:val="auto"/>
          <w:sz w:val="21"/>
          <w:szCs w:val="21"/>
        </w:rPr>
        <w:t>。</w:t>
      </w:r>
    </w:p>
    <w:p>
      <w:pPr>
        <w:pStyle w:val="61"/>
        <w:keepNext w:val="0"/>
        <w:keepLines w:val="0"/>
        <w:pageBreakBefore w:val="0"/>
        <w:kinsoku/>
        <w:wordWrap/>
        <w:overflowPunct/>
        <w:topLinePunct w:val="0"/>
        <w:bidi w:val="0"/>
        <w:adjustRightInd/>
        <w:snapToGrid/>
        <w:spacing w:line="320" w:lineRule="exact"/>
        <w:textAlignment w:val="auto"/>
        <w:rPr>
          <w:rFonts w:hint="eastAsia" w:ascii="宋体" w:hAnsi="宋体" w:eastAsia="宋体" w:cs="宋体"/>
          <w:bCs/>
          <w:color w:val="auto"/>
          <w:sz w:val="21"/>
          <w:szCs w:val="21"/>
          <w:lang w:eastAsia="zh-CN"/>
        </w:rPr>
      </w:pPr>
      <w:r>
        <w:rPr>
          <w:rFonts w:hint="eastAsia" w:ascii="宋体" w:hAnsi="宋体" w:eastAsia="宋体" w:cs="宋体"/>
          <w:color w:val="auto"/>
          <w:sz w:val="21"/>
          <w:szCs w:val="21"/>
        </w:rPr>
        <w:t>4.1.3、</w:t>
      </w:r>
      <w:r>
        <w:rPr>
          <w:rFonts w:hint="eastAsia" w:ascii="宋体" w:hAnsi="宋体" w:eastAsia="宋体" w:cs="宋体"/>
          <w:bCs/>
          <w:color w:val="auto"/>
          <w:sz w:val="21"/>
          <w:szCs w:val="21"/>
        </w:rPr>
        <w:t>当最终工程量少于预算表工程量时，按实际发生工程量结算；当监测失效超过4个月后，最终工程量超过预算表工程量时，按时结算</w:t>
      </w:r>
      <w:r>
        <w:rPr>
          <w:rFonts w:hint="eastAsia" w:ascii="宋体" w:hAnsi="宋体" w:cs="宋体"/>
          <w:bCs/>
          <w:color w:val="auto"/>
          <w:sz w:val="21"/>
          <w:szCs w:val="21"/>
          <w:lang w:eastAsia="zh-CN"/>
        </w:rPr>
        <w:t>。</w:t>
      </w:r>
    </w:p>
    <w:p>
      <w:pPr>
        <w:pStyle w:val="61"/>
        <w:keepNext w:val="0"/>
        <w:keepLines w:val="0"/>
        <w:pageBreakBefore w:val="0"/>
        <w:kinsoku/>
        <w:wordWrap/>
        <w:overflowPunct/>
        <w:topLinePunct w:val="0"/>
        <w:bidi w:val="0"/>
        <w:adjustRightInd/>
        <w:snapToGrid/>
        <w:spacing w:line="32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4.1.4、合同价款详见附件</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：《广东省东莞市城区配套物流仓储建设项目-基坑监测工程量清单》。</w:t>
      </w:r>
    </w:p>
    <w:p>
      <w:pPr>
        <w:pStyle w:val="61"/>
        <w:keepNext w:val="0"/>
        <w:keepLines w:val="0"/>
        <w:pageBreakBefore w:val="0"/>
        <w:kinsoku/>
        <w:wordWrap/>
        <w:overflowPunct/>
        <w:topLinePunct w:val="0"/>
        <w:bidi w:val="0"/>
        <w:adjustRightInd/>
        <w:snapToGrid/>
        <w:spacing w:line="320" w:lineRule="exact"/>
        <w:ind w:firstLine="422"/>
        <w:textAlignment w:val="auto"/>
        <w:rPr>
          <w:rFonts w:hint="eastAsia" w:ascii="宋体" w:hAnsi="宋体" w:eastAsia="宋体" w:cs="宋体"/>
          <w:color w:val="auto"/>
          <w:sz w:val="21"/>
          <w:szCs w:val="21"/>
        </w:rPr>
      </w:pPr>
      <w:r>
        <w:rPr>
          <w:rFonts w:hint="eastAsia" w:ascii="宋体" w:hAnsi="宋体" w:eastAsia="宋体" w:cs="宋体"/>
          <w:b/>
          <w:color w:val="auto"/>
          <w:sz w:val="21"/>
          <w:szCs w:val="21"/>
        </w:rPr>
        <w:t>4.2工程款支付、结算方式：</w:t>
      </w:r>
    </w:p>
    <w:p>
      <w:pPr>
        <w:pStyle w:val="61"/>
        <w:keepNext w:val="0"/>
        <w:keepLines w:val="0"/>
        <w:pageBreakBefore w:val="0"/>
        <w:kinsoku/>
        <w:wordWrap/>
        <w:overflowPunct/>
        <w:topLinePunct w:val="0"/>
        <w:bidi w:val="0"/>
        <w:adjustRightInd/>
        <w:snapToGrid/>
        <w:spacing w:line="320" w:lineRule="exact"/>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4.2.1、本合同约定的工程款以转账方式支付（乙方收款信息以合同落款处确定的乙方银行账号信息为准）。</w:t>
      </w:r>
    </w:p>
    <w:p>
      <w:pPr>
        <w:pStyle w:val="61"/>
        <w:keepNext w:val="0"/>
        <w:keepLines w:val="0"/>
        <w:pageBreakBefore w:val="0"/>
        <w:kinsoku/>
        <w:wordWrap/>
        <w:overflowPunct/>
        <w:topLinePunct w:val="0"/>
        <w:bidi w:val="0"/>
        <w:adjustRightInd/>
        <w:snapToGrid/>
        <w:spacing w:line="32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4.2.2、乙方监测方案通过</w:t>
      </w:r>
      <w:r>
        <w:rPr>
          <w:rFonts w:hint="eastAsia" w:ascii="宋体" w:hAnsi="宋体" w:cs="宋体"/>
          <w:color w:val="auto"/>
          <w:sz w:val="21"/>
          <w:szCs w:val="21"/>
          <w:lang w:val="en-US" w:eastAsia="zh-CN"/>
        </w:rPr>
        <w:t>甲方、监理单位及</w:t>
      </w:r>
      <w:r>
        <w:rPr>
          <w:rFonts w:hint="eastAsia" w:hAnsi="宋体" w:cs="宋体"/>
          <w:b/>
          <w:bCs/>
          <w:color w:val="auto"/>
          <w:sz w:val="21"/>
          <w:szCs w:val="21"/>
          <w:lang w:val="en-US" w:eastAsia="zh-CN"/>
        </w:rPr>
        <w:t>东莞市建筑科学研究所</w:t>
      </w:r>
      <w:r>
        <w:rPr>
          <w:rFonts w:hint="eastAsia" w:ascii="宋体" w:hAnsi="宋体" w:eastAsia="宋体" w:cs="宋体"/>
          <w:b/>
          <w:bCs/>
          <w:color w:val="auto"/>
          <w:sz w:val="21"/>
          <w:szCs w:val="21"/>
        </w:rPr>
        <w:t>专家</w:t>
      </w:r>
      <w:r>
        <w:rPr>
          <w:rFonts w:hint="eastAsia" w:hAnsi="宋体" w:cs="宋体"/>
          <w:b/>
          <w:bCs/>
          <w:color w:val="auto"/>
          <w:sz w:val="21"/>
          <w:szCs w:val="21"/>
          <w:lang w:val="en-US" w:eastAsia="zh-CN"/>
        </w:rPr>
        <w:t>论证</w:t>
      </w:r>
      <w:r>
        <w:rPr>
          <w:rFonts w:hint="eastAsia" w:ascii="宋体" w:hAnsi="宋体" w:eastAsia="宋体" w:cs="宋体"/>
          <w:b/>
          <w:bCs/>
          <w:color w:val="auto"/>
          <w:sz w:val="21"/>
          <w:szCs w:val="21"/>
        </w:rPr>
        <w:t>评审</w:t>
      </w:r>
      <w:r>
        <w:rPr>
          <w:rFonts w:hint="eastAsia" w:ascii="宋体" w:hAnsi="宋体" w:eastAsia="宋体" w:cs="宋体"/>
          <w:color w:val="auto"/>
          <w:sz w:val="21"/>
          <w:szCs w:val="21"/>
        </w:rPr>
        <w:t>后支付合同暂定价的10%进度款；</w:t>
      </w:r>
    </w:p>
    <w:p>
      <w:pPr>
        <w:pStyle w:val="61"/>
        <w:keepNext w:val="0"/>
        <w:keepLines w:val="0"/>
        <w:pageBreakBefore w:val="0"/>
        <w:kinsoku/>
        <w:wordWrap/>
        <w:overflowPunct/>
        <w:topLinePunct w:val="0"/>
        <w:bidi w:val="0"/>
        <w:adjustRightInd/>
        <w:snapToGrid/>
        <w:spacing w:line="32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4.2.3、乙方按每月完成监测工作量并提交监测结果给甲方，甲方按照每月实际完成</w:t>
      </w:r>
      <w:r>
        <w:rPr>
          <w:rFonts w:hint="eastAsia" w:ascii="宋体" w:hAnsi="宋体" w:cs="宋体"/>
          <w:color w:val="auto"/>
          <w:sz w:val="21"/>
          <w:szCs w:val="21"/>
          <w:lang w:val="en-US" w:eastAsia="zh-CN"/>
        </w:rPr>
        <w:t>产值的80%</w:t>
      </w:r>
      <w:r>
        <w:rPr>
          <w:rFonts w:hint="eastAsia" w:ascii="宋体" w:hAnsi="宋体" w:eastAsia="宋体" w:cs="宋体"/>
          <w:color w:val="auto"/>
          <w:sz w:val="21"/>
          <w:szCs w:val="21"/>
        </w:rPr>
        <w:t>支付工程进度款。</w:t>
      </w:r>
    </w:p>
    <w:p>
      <w:pPr>
        <w:pStyle w:val="61"/>
        <w:keepNext w:val="0"/>
        <w:keepLines w:val="0"/>
        <w:pageBreakBefore w:val="0"/>
        <w:kinsoku/>
        <w:wordWrap/>
        <w:overflowPunct/>
        <w:topLinePunct w:val="0"/>
        <w:bidi w:val="0"/>
        <w:adjustRightInd/>
        <w:snapToGrid/>
        <w:spacing w:line="32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4.2.4、工程进度款累计支付达合同基坑监测部分暂定价款总额的80%</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时，则停止支付进度款。</w:t>
      </w:r>
    </w:p>
    <w:p>
      <w:pPr>
        <w:pStyle w:val="61"/>
        <w:keepNext w:val="0"/>
        <w:keepLines w:val="0"/>
        <w:pageBreakBefore w:val="0"/>
        <w:kinsoku/>
        <w:wordWrap/>
        <w:overflowPunct/>
        <w:topLinePunct w:val="0"/>
        <w:bidi w:val="0"/>
        <w:adjustRightInd/>
        <w:snapToGrid/>
        <w:spacing w:line="32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4.2.5、甲方在乙方完成单项监测工作后，提交监测资料且满足住建局的相关要求后，乙方提交完整的单项结算资料，结算资料经甲方审核通过并双方完成结算后一个月内付清单项监测工作余款。所有的付款需提交等额的增值税专用发票给甲方。</w:t>
      </w:r>
    </w:p>
    <w:p>
      <w:pPr>
        <w:pStyle w:val="61"/>
        <w:keepNext w:val="0"/>
        <w:keepLines w:val="0"/>
        <w:pageBreakBefore w:val="0"/>
        <w:kinsoku/>
        <w:wordWrap/>
        <w:overflowPunct/>
        <w:topLinePunct w:val="0"/>
        <w:bidi w:val="0"/>
        <w:snapToGrid/>
        <w:spacing w:line="320" w:lineRule="exact"/>
        <w:textAlignment w:val="auto"/>
        <w:rPr>
          <w:rFonts w:hint="eastAsia" w:ascii="宋体" w:hAnsi="宋体" w:eastAsia="宋体" w:cs="宋体"/>
          <w:color w:val="auto"/>
        </w:rPr>
      </w:pPr>
      <w:r>
        <w:rPr>
          <w:rFonts w:hint="eastAsia" w:ascii="宋体" w:hAnsi="宋体" w:eastAsia="宋体" w:cs="宋体"/>
          <w:color w:val="auto"/>
          <w:sz w:val="21"/>
          <w:szCs w:val="21"/>
        </w:rPr>
        <w:t>4.2.6 、按照现行税收政策规定，每次付款前，乙方必须提供合法、有效、与本合同总价款条款中增值税税率一致的增值税专用发票给甲方，否则甲方有权拒绝付款且不构成违约；在甲方除支付质保金（若有）外的最后一期款项前，乙方须连同当期支付款项发票和质保金（若有）发票一并提交给甲方；若后期出现质保问题，按照质保责任和条款，部分或全部扣除质保金（若有）的，不退还相应金额的发票。若合同执行期间，遇国家税务政策调整所引起的合同价格变化，按照不含税价格调整结算价格。</w:t>
      </w:r>
    </w:p>
    <w:p>
      <w:pPr>
        <w:pStyle w:val="61"/>
        <w:keepNext w:val="0"/>
        <w:keepLines w:val="0"/>
        <w:pageBreakBefore w:val="0"/>
        <w:kinsoku/>
        <w:wordWrap/>
        <w:overflowPunct/>
        <w:topLinePunct w:val="0"/>
        <w:bidi w:val="0"/>
        <w:adjustRightInd/>
        <w:snapToGrid/>
        <w:spacing w:line="32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4.2</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7、虚开发票违约责任：乙方应按照相关法律规定，如实开具发票，不得开具虚假发票，或由非乙方公司代开发票（税务局按规定代开的发票除外）。否则，甲方有权要求乙方在一周内重新开具发票，并有权提前终止合同，要求乙方支付虚开额度20%的违约金，该金额不足以弥补甲方损失的，甲方有权向乙方另行追偿；同时，甲方有权将收到的发票、联系人、联系方式送交乙方公司所在地的税务机关处理。</w:t>
      </w:r>
    </w:p>
    <w:p>
      <w:pPr>
        <w:pStyle w:val="61"/>
        <w:keepNext w:val="0"/>
        <w:keepLines w:val="0"/>
        <w:pageBreakBefore w:val="0"/>
        <w:kinsoku/>
        <w:wordWrap/>
        <w:overflowPunct/>
        <w:topLinePunct w:val="0"/>
        <w:autoSpaceDE/>
        <w:autoSpaceDN/>
        <w:bidi w:val="0"/>
        <w:adjustRightInd/>
        <w:snapToGrid/>
        <w:spacing w:line="320" w:lineRule="exact"/>
        <w:ind w:firstLine="422"/>
        <w:jc w:val="both"/>
        <w:textAlignment w:val="auto"/>
        <w:outlineLvl w:val="2"/>
        <w:rPr>
          <w:rFonts w:hint="eastAsia" w:ascii="宋体" w:hAnsi="宋体" w:eastAsia="宋体" w:cs="宋体"/>
          <w:b/>
          <w:color w:val="auto"/>
          <w:sz w:val="21"/>
          <w:szCs w:val="21"/>
        </w:rPr>
      </w:pPr>
      <w:bookmarkStart w:id="25" w:name="_Toc97339358"/>
      <w:bookmarkStart w:id="26" w:name="_Toc109914419"/>
      <w:bookmarkStart w:id="27" w:name="_Toc97717272"/>
      <w:r>
        <w:rPr>
          <w:rFonts w:hint="eastAsia" w:ascii="宋体" w:hAnsi="宋体" w:eastAsia="宋体" w:cs="宋体"/>
          <w:b/>
          <w:color w:val="auto"/>
          <w:sz w:val="21"/>
          <w:szCs w:val="21"/>
        </w:rPr>
        <w:t>第五条   双方职责：</w:t>
      </w:r>
      <w:bookmarkEnd w:id="25"/>
      <w:bookmarkEnd w:id="26"/>
      <w:bookmarkEnd w:id="27"/>
    </w:p>
    <w:p>
      <w:pPr>
        <w:pStyle w:val="61"/>
        <w:keepNext w:val="0"/>
        <w:keepLines w:val="0"/>
        <w:pageBreakBefore w:val="0"/>
        <w:kinsoku/>
        <w:wordWrap/>
        <w:overflowPunct/>
        <w:topLinePunct w:val="0"/>
        <w:bidi w:val="0"/>
        <w:adjustRightInd/>
        <w:snapToGrid/>
        <w:spacing w:line="320" w:lineRule="exact"/>
        <w:ind w:firstLine="422"/>
        <w:textAlignment w:val="auto"/>
        <w:rPr>
          <w:rFonts w:hint="eastAsia" w:ascii="宋体" w:hAnsi="宋体" w:eastAsia="宋体" w:cs="宋体"/>
          <w:bCs/>
          <w:color w:val="auto"/>
          <w:sz w:val="21"/>
          <w:szCs w:val="21"/>
        </w:rPr>
      </w:pPr>
      <w:r>
        <w:rPr>
          <w:rFonts w:hint="eastAsia" w:ascii="宋体" w:hAnsi="宋体" w:eastAsia="宋体" w:cs="宋体"/>
          <w:b/>
          <w:color w:val="auto"/>
          <w:sz w:val="21"/>
          <w:szCs w:val="21"/>
        </w:rPr>
        <w:t>5.1、甲方职责：</w:t>
      </w:r>
    </w:p>
    <w:p>
      <w:pPr>
        <w:pStyle w:val="61"/>
        <w:keepNext w:val="0"/>
        <w:keepLines w:val="0"/>
        <w:pageBreakBefore w:val="0"/>
        <w:kinsoku/>
        <w:wordWrap/>
        <w:overflowPunct/>
        <w:topLinePunct w:val="0"/>
        <w:bidi w:val="0"/>
        <w:adjustRightInd/>
        <w:snapToGrid/>
        <w:spacing w:line="320" w:lineRule="exact"/>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5.1.1、甲方负责及时提供给乙方关于本项目工程所需的资料。</w:t>
      </w:r>
    </w:p>
    <w:p>
      <w:pPr>
        <w:pStyle w:val="61"/>
        <w:keepNext w:val="0"/>
        <w:keepLines w:val="0"/>
        <w:pageBreakBefore w:val="0"/>
        <w:kinsoku/>
        <w:wordWrap/>
        <w:overflowPunct/>
        <w:topLinePunct w:val="0"/>
        <w:bidi w:val="0"/>
        <w:adjustRightInd/>
        <w:snapToGrid/>
        <w:spacing w:line="320" w:lineRule="exact"/>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5.1.2、甲方做好各方协调工作，保证监测工作顺利进行。</w:t>
      </w:r>
    </w:p>
    <w:p>
      <w:pPr>
        <w:pStyle w:val="61"/>
        <w:keepNext w:val="0"/>
        <w:keepLines w:val="0"/>
        <w:pageBreakBefore w:val="0"/>
        <w:kinsoku/>
        <w:wordWrap/>
        <w:overflowPunct/>
        <w:topLinePunct w:val="0"/>
        <w:bidi w:val="0"/>
        <w:adjustRightInd/>
        <w:snapToGrid/>
        <w:spacing w:line="320" w:lineRule="exact"/>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5.1.3、甲方协助落实水位管及沉降观测点埋设所需的水电，费用由乙方与</w:t>
      </w:r>
      <w:r>
        <w:rPr>
          <w:rFonts w:hint="eastAsia" w:ascii="宋体" w:hAnsi="宋体" w:eastAsia="宋体" w:cs="宋体"/>
          <w:bCs/>
          <w:color w:val="auto"/>
          <w:sz w:val="21"/>
          <w:szCs w:val="21"/>
          <w:lang w:val="en-US" w:eastAsia="zh-CN"/>
        </w:rPr>
        <w:t>本项目3号地下室施工</w:t>
      </w:r>
      <w:r>
        <w:rPr>
          <w:rFonts w:hint="eastAsia" w:ascii="宋体" w:hAnsi="宋体" w:eastAsia="宋体" w:cs="宋体"/>
          <w:bCs/>
          <w:color w:val="auto"/>
          <w:sz w:val="21"/>
          <w:szCs w:val="21"/>
        </w:rPr>
        <w:t>总</w:t>
      </w:r>
      <w:r>
        <w:rPr>
          <w:rFonts w:hint="eastAsia" w:ascii="宋体" w:hAnsi="宋体" w:eastAsia="宋体" w:cs="宋体"/>
          <w:bCs/>
          <w:color w:val="auto"/>
          <w:sz w:val="21"/>
          <w:szCs w:val="21"/>
          <w:lang w:val="en-US" w:eastAsia="zh-CN"/>
        </w:rPr>
        <w:t>承包</w:t>
      </w:r>
      <w:r>
        <w:rPr>
          <w:rFonts w:hint="eastAsia" w:ascii="宋体" w:hAnsi="宋体" w:eastAsia="宋体" w:cs="宋体"/>
          <w:bCs/>
          <w:color w:val="auto"/>
          <w:sz w:val="21"/>
          <w:szCs w:val="21"/>
        </w:rPr>
        <w:t>单位商定。</w:t>
      </w:r>
    </w:p>
    <w:p>
      <w:pPr>
        <w:pStyle w:val="61"/>
        <w:keepNext w:val="0"/>
        <w:keepLines w:val="0"/>
        <w:pageBreakBefore w:val="0"/>
        <w:kinsoku/>
        <w:wordWrap/>
        <w:overflowPunct/>
        <w:topLinePunct w:val="0"/>
        <w:bidi w:val="0"/>
        <w:adjustRightInd/>
        <w:snapToGrid/>
        <w:spacing w:line="320" w:lineRule="exact"/>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5.1.4、甲方负责</w:t>
      </w:r>
      <w:r>
        <w:rPr>
          <w:rFonts w:hint="eastAsia" w:ascii="宋体" w:hAnsi="宋体" w:eastAsia="宋体" w:cs="宋体"/>
          <w:bCs/>
          <w:color w:val="auto"/>
          <w:sz w:val="21"/>
          <w:szCs w:val="21"/>
          <w:lang w:val="en-US" w:eastAsia="zh-CN"/>
        </w:rPr>
        <w:t>协调</w:t>
      </w:r>
      <w:r>
        <w:rPr>
          <w:rFonts w:hint="eastAsia" w:ascii="宋体" w:hAnsi="宋体" w:eastAsia="宋体" w:cs="宋体"/>
          <w:bCs/>
          <w:color w:val="auto"/>
          <w:sz w:val="21"/>
          <w:szCs w:val="21"/>
        </w:rPr>
        <w:t>基坑挖土施工进度、线路安排设计，协助乙方制定具体监测日程安排。</w:t>
      </w:r>
    </w:p>
    <w:p>
      <w:pPr>
        <w:pStyle w:val="61"/>
        <w:keepNext w:val="0"/>
        <w:keepLines w:val="0"/>
        <w:pageBreakBefore w:val="0"/>
        <w:kinsoku/>
        <w:wordWrap/>
        <w:overflowPunct/>
        <w:topLinePunct w:val="0"/>
        <w:bidi w:val="0"/>
        <w:adjustRightInd/>
        <w:snapToGrid/>
        <w:spacing w:line="320" w:lineRule="exact"/>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5.1.5、监测期间若发生计划变更，或遇其它特殊情况，甲方负责及时通知乙方。</w:t>
      </w:r>
    </w:p>
    <w:p>
      <w:pPr>
        <w:pStyle w:val="20"/>
        <w:keepNext w:val="0"/>
        <w:keepLines w:val="0"/>
        <w:pageBreakBefore w:val="0"/>
        <w:kinsoku/>
        <w:wordWrap/>
        <w:overflowPunct/>
        <w:topLinePunct w:val="0"/>
        <w:bidi w:val="0"/>
        <w:adjustRightInd/>
        <w:snapToGrid/>
        <w:spacing w:after="0" w:line="320" w:lineRule="exact"/>
        <w:ind w:left="0" w:leftChars="0" w:firstLine="422"/>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5.2、乙方职责：</w:t>
      </w:r>
    </w:p>
    <w:p>
      <w:pPr>
        <w:pStyle w:val="20"/>
        <w:keepNext w:val="0"/>
        <w:keepLines w:val="0"/>
        <w:pageBreakBefore w:val="0"/>
        <w:kinsoku/>
        <w:wordWrap/>
        <w:overflowPunct/>
        <w:topLinePunct w:val="0"/>
        <w:bidi w:val="0"/>
        <w:adjustRightInd/>
        <w:snapToGrid/>
        <w:spacing w:after="0" w:line="320" w:lineRule="exact"/>
        <w:ind w:left="0" w:leftChars="0"/>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5.2.1、乙方落实监测所需的材料、设备及仪器。</w:t>
      </w:r>
    </w:p>
    <w:p>
      <w:pPr>
        <w:pStyle w:val="20"/>
        <w:keepNext w:val="0"/>
        <w:keepLines w:val="0"/>
        <w:pageBreakBefore w:val="0"/>
        <w:kinsoku/>
        <w:wordWrap/>
        <w:overflowPunct/>
        <w:topLinePunct w:val="0"/>
        <w:bidi w:val="0"/>
        <w:adjustRightInd/>
        <w:snapToGrid/>
        <w:spacing w:after="0" w:line="320" w:lineRule="exact"/>
        <w:ind w:left="0" w:leftChars="0"/>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5.2.2、负责测水位管、水平位移</w:t>
      </w:r>
      <w:r>
        <w:rPr>
          <w:rFonts w:hint="eastAsia" w:hAnsi="宋体" w:cs="宋体"/>
          <w:bCs/>
          <w:color w:val="auto"/>
          <w:sz w:val="21"/>
          <w:szCs w:val="21"/>
          <w:lang w:val="en-US" w:eastAsia="zh-CN"/>
        </w:rPr>
        <w:t>点</w:t>
      </w:r>
      <w:r>
        <w:rPr>
          <w:rFonts w:hint="eastAsia" w:ascii="宋体" w:hAnsi="宋体" w:eastAsia="宋体" w:cs="宋体"/>
          <w:bCs/>
          <w:color w:val="auto"/>
          <w:sz w:val="21"/>
          <w:szCs w:val="21"/>
        </w:rPr>
        <w:t>及沉降观测点</w:t>
      </w:r>
      <w:r>
        <w:rPr>
          <w:rFonts w:hint="eastAsia" w:hAnsi="宋体" w:cs="宋体"/>
          <w:bCs/>
          <w:color w:val="auto"/>
          <w:sz w:val="21"/>
          <w:szCs w:val="21"/>
          <w:lang w:eastAsia="zh-CN"/>
        </w:rPr>
        <w:t>、</w:t>
      </w:r>
      <w:r>
        <w:rPr>
          <w:rFonts w:hint="eastAsia" w:hAnsi="宋体" w:cs="宋体"/>
          <w:bCs/>
          <w:color w:val="auto"/>
          <w:sz w:val="21"/>
          <w:szCs w:val="21"/>
          <w:lang w:val="en-US" w:eastAsia="zh-CN"/>
        </w:rPr>
        <w:t>支撑内力点</w:t>
      </w:r>
      <w:r>
        <w:rPr>
          <w:rFonts w:hint="eastAsia" w:ascii="宋体" w:hAnsi="宋体" w:eastAsia="宋体" w:cs="宋体"/>
          <w:bCs/>
          <w:color w:val="auto"/>
          <w:sz w:val="21"/>
          <w:szCs w:val="21"/>
        </w:rPr>
        <w:t>埋设及相应的保护措施。</w:t>
      </w:r>
    </w:p>
    <w:p>
      <w:pPr>
        <w:pStyle w:val="20"/>
        <w:keepNext w:val="0"/>
        <w:keepLines w:val="0"/>
        <w:pageBreakBefore w:val="0"/>
        <w:kinsoku/>
        <w:wordWrap/>
        <w:overflowPunct/>
        <w:topLinePunct w:val="0"/>
        <w:bidi w:val="0"/>
        <w:adjustRightInd/>
        <w:snapToGrid/>
        <w:spacing w:after="0" w:line="320" w:lineRule="exact"/>
        <w:ind w:left="0" w:leftChars="0"/>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5.2.3、协同甲方、监理单位及总包单位制定监测日程安排。</w:t>
      </w:r>
    </w:p>
    <w:p>
      <w:pPr>
        <w:pStyle w:val="20"/>
        <w:keepNext w:val="0"/>
        <w:keepLines w:val="0"/>
        <w:pageBreakBefore w:val="0"/>
        <w:kinsoku/>
        <w:wordWrap/>
        <w:overflowPunct/>
        <w:topLinePunct w:val="0"/>
        <w:bidi w:val="0"/>
        <w:adjustRightInd/>
        <w:snapToGrid/>
        <w:spacing w:after="0" w:line="320" w:lineRule="exact"/>
        <w:ind w:left="0" w:leftChars="0"/>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5.2.4、根据所定的监测计划进行现场监测，发现位移、沉降等变化接近或超过警戒值时或其它异常现象，应及时通知甲方</w:t>
      </w:r>
      <w:r>
        <w:rPr>
          <w:rFonts w:hint="eastAsia" w:hAnsi="宋体" w:cs="宋体"/>
          <w:bCs/>
          <w:color w:val="auto"/>
          <w:sz w:val="21"/>
          <w:szCs w:val="21"/>
          <w:lang w:val="en-US" w:eastAsia="zh-CN"/>
        </w:rPr>
        <w:t>和监理</w:t>
      </w:r>
      <w:r>
        <w:rPr>
          <w:rFonts w:hint="eastAsia" w:ascii="宋体" w:hAnsi="宋体" w:eastAsia="宋体" w:cs="宋体"/>
          <w:bCs/>
          <w:color w:val="auto"/>
          <w:sz w:val="21"/>
          <w:szCs w:val="21"/>
        </w:rPr>
        <w:t>单位。</w:t>
      </w:r>
    </w:p>
    <w:p>
      <w:pPr>
        <w:pStyle w:val="20"/>
        <w:keepNext w:val="0"/>
        <w:keepLines w:val="0"/>
        <w:pageBreakBefore w:val="0"/>
        <w:kinsoku/>
        <w:wordWrap/>
        <w:overflowPunct/>
        <w:topLinePunct w:val="0"/>
        <w:bidi w:val="0"/>
        <w:adjustRightInd/>
        <w:snapToGrid/>
        <w:spacing w:after="0" w:line="320" w:lineRule="exact"/>
        <w:ind w:left="0" w:leftChars="0"/>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5.2.5、每次监测完毕及时整理现场监测资料，并于</w:t>
      </w:r>
      <w:r>
        <w:rPr>
          <w:rFonts w:hint="eastAsia" w:hAnsi="宋体" w:cs="宋体"/>
          <w:bCs/>
          <w:color w:val="auto"/>
          <w:sz w:val="21"/>
          <w:szCs w:val="21"/>
          <w:lang w:val="en-US" w:eastAsia="zh-CN"/>
        </w:rPr>
        <w:t>24</w:t>
      </w:r>
      <w:r>
        <w:rPr>
          <w:rFonts w:hint="eastAsia" w:ascii="宋体" w:hAnsi="宋体" w:eastAsia="宋体" w:cs="宋体"/>
          <w:bCs/>
          <w:color w:val="auto"/>
          <w:sz w:val="21"/>
          <w:szCs w:val="21"/>
        </w:rPr>
        <w:t>小时内提供监测结果并送交甲方。</w:t>
      </w:r>
    </w:p>
    <w:p>
      <w:pPr>
        <w:pStyle w:val="20"/>
        <w:keepNext w:val="0"/>
        <w:keepLines w:val="0"/>
        <w:pageBreakBefore w:val="0"/>
        <w:kinsoku/>
        <w:wordWrap/>
        <w:overflowPunct/>
        <w:topLinePunct w:val="0"/>
        <w:bidi w:val="0"/>
        <w:adjustRightInd/>
        <w:snapToGrid/>
        <w:spacing w:after="0" w:line="320" w:lineRule="exact"/>
        <w:ind w:left="0" w:leftChars="0"/>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5.2.6、乙方必须每次作业前，提前通知甲方</w:t>
      </w:r>
      <w:r>
        <w:rPr>
          <w:rFonts w:hint="eastAsia" w:hAnsi="宋体" w:cs="宋体"/>
          <w:bCs/>
          <w:color w:val="auto"/>
          <w:sz w:val="21"/>
          <w:szCs w:val="21"/>
          <w:lang w:val="en-US" w:eastAsia="zh-CN"/>
        </w:rPr>
        <w:t>和</w:t>
      </w:r>
      <w:r>
        <w:rPr>
          <w:rFonts w:hint="eastAsia" w:ascii="宋体" w:hAnsi="宋体" w:eastAsia="宋体" w:cs="宋体"/>
          <w:bCs/>
          <w:color w:val="auto"/>
          <w:sz w:val="21"/>
          <w:szCs w:val="21"/>
        </w:rPr>
        <w:t>监理方，每次监测、观测完成后5天内出纸质报告并报给甲方，否则，甲方不予承认。</w:t>
      </w:r>
    </w:p>
    <w:p>
      <w:pPr>
        <w:pStyle w:val="20"/>
        <w:keepNext w:val="0"/>
        <w:keepLines w:val="0"/>
        <w:pageBreakBefore w:val="0"/>
        <w:kinsoku/>
        <w:wordWrap/>
        <w:overflowPunct/>
        <w:topLinePunct w:val="0"/>
        <w:bidi w:val="0"/>
        <w:adjustRightInd/>
        <w:snapToGrid/>
        <w:spacing w:after="0" w:line="320" w:lineRule="exact"/>
        <w:ind w:left="0" w:leftChars="0"/>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5.2.7、工程监测现场部分完成后三日内清理完现场的设备、建筑垃圾和其他堆积物，拆除相关的临时设施，交工前清理现场达到工完场清的要求。</w:t>
      </w:r>
    </w:p>
    <w:p>
      <w:pPr>
        <w:pStyle w:val="20"/>
        <w:keepNext w:val="0"/>
        <w:keepLines w:val="0"/>
        <w:pageBreakBefore w:val="0"/>
        <w:kinsoku/>
        <w:wordWrap/>
        <w:overflowPunct/>
        <w:topLinePunct w:val="0"/>
        <w:bidi w:val="0"/>
        <w:adjustRightInd/>
        <w:snapToGrid/>
        <w:spacing w:after="0" w:line="320" w:lineRule="exact"/>
        <w:ind w:left="0" w:leftChars="0"/>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5.2.8、因乙方提供的数据、资料不准确或不及时，造成甲方损失的，乙方负责赔偿甲方由此引起的损失。</w:t>
      </w:r>
    </w:p>
    <w:p>
      <w:pPr>
        <w:pStyle w:val="20"/>
        <w:keepNext w:val="0"/>
        <w:keepLines w:val="0"/>
        <w:pageBreakBefore w:val="0"/>
        <w:kinsoku/>
        <w:wordWrap/>
        <w:overflowPunct/>
        <w:topLinePunct w:val="0"/>
        <w:bidi w:val="0"/>
        <w:adjustRightInd/>
        <w:snapToGrid/>
        <w:spacing w:after="0" w:line="320" w:lineRule="exact"/>
        <w:ind w:left="0" w:leftChars="0"/>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5.2.9、凡乙方未能完成协议文件规定的内容，造成甲方损失的，乙方负责赔偿甲方损失。</w:t>
      </w:r>
    </w:p>
    <w:p>
      <w:pPr>
        <w:pStyle w:val="20"/>
        <w:keepNext w:val="0"/>
        <w:keepLines w:val="0"/>
        <w:pageBreakBefore w:val="0"/>
        <w:kinsoku/>
        <w:wordWrap/>
        <w:overflowPunct/>
        <w:topLinePunct w:val="0"/>
        <w:bidi w:val="0"/>
        <w:adjustRightInd/>
        <w:snapToGrid/>
        <w:spacing w:after="0" w:line="320" w:lineRule="exact"/>
        <w:ind w:left="0" w:leftChars="0"/>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5.2.10、乙方必须是通过东莞市相关部门的备案，允许承担该项目测绘工程的单位。</w:t>
      </w:r>
    </w:p>
    <w:p>
      <w:pPr>
        <w:pStyle w:val="20"/>
        <w:keepNext w:val="0"/>
        <w:keepLines w:val="0"/>
        <w:pageBreakBefore w:val="0"/>
        <w:kinsoku/>
        <w:wordWrap/>
        <w:overflowPunct/>
        <w:topLinePunct w:val="0"/>
        <w:bidi w:val="0"/>
        <w:adjustRightInd/>
        <w:snapToGrid/>
        <w:spacing w:after="0" w:line="320" w:lineRule="exact"/>
        <w:ind w:left="0" w:leftChars="0"/>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5.2.11、该工程建设项目启用基坑工程安全监测信息管理平台，</w:t>
      </w:r>
      <w:r>
        <w:rPr>
          <w:rFonts w:hint="eastAsia" w:hAnsi="宋体" w:cs="宋体"/>
          <w:bCs/>
          <w:color w:val="auto"/>
          <w:sz w:val="21"/>
          <w:szCs w:val="21"/>
          <w:lang w:val="en-US" w:eastAsia="zh-CN"/>
        </w:rPr>
        <w:t>乙方</w:t>
      </w:r>
      <w:r>
        <w:rPr>
          <w:rFonts w:hint="eastAsia" w:ascii="宋体" w:hAnsi="宋体" w:eastAsia="宋体" w:cs="宋体"/>
          <w:bCs/>
          <w:color w:val="auto"/>
          <w:sz w:val="21"/>
          <w:szCs w:val="21"/>
        </w:rPr>
        <w:t>统一接入住建局建科所“东莞市基坑工程安全监测预警平台”。</w:t>
      </w:r>
    </w:p>
    <w:p>
      <w:pPr>
        <w:pStyle w:val="20"/>
        <w:keepNext w:val="0"/>
        <w:keepLines w:val="0"/>
        <w:pageBreakBefore w:val="0"/>
        <w:kinsoku/>
        <w:wordWrap/>
        <w:overflowPunct/>
        <w:topLinePunct w:val="0"/>
        <w:bidi w:val="0"/>
        <w:adjustRightInd/>
        <w:snapToGrid/>
        <w:spacing w:after="0" w:line="320" w:lineRule="exact"/>
        <w:ind w:left="0" w:leftChars="0"/>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5.2.12、每次监测外业完成后3天内，提供监测简报1式4份；监测发现有危险征兆时，当场提交监测数据，并根据工地例会要求加密监测；在全部监测工程完成后，乙方将整套监测成果及数据处理的结果、结论移交甲方，1式4份，并附电子文档1份。</w:t>
      </w:r>
    </w:p>
    <w:p>
      <w:pPr>
        <w:keepNext w:val="0"/>
        <w:keepLines w:val="0"/>
        <w:pageBreakBefore w:val="0"/>
        <w:tabs>
          <w:tab w:val="left" w:pos="1695"/>
          <w:tab w:val="left" w:pos="2700"/>
        </w:tabs>
        <w:kinsoku/>
        <w:wordWrap/>
        <w:overflowPunct/>
        <w:topLinePunct w:val="0"/>
        <w:bidi w:val="0"/>
        <w:snapToGrid/>
        <w:spacing w:line="320" w:lineRule="exact"/>
        <w:ind w:firstLine="422" w:firstLineChars="200"/>
        <w:textAlignment w:val="auto"/>
        <w:outlineLvl w:val="2"/>
        <w:rPr>
          <w:rFonts w:hint="eastAsia" w:ascii="宋体" w:hAnsi="宋体" w:eastAsia="宋体" w:cs="宋体"/>
          <w:color w:val="auto"/>
          <w:sz w:val="21"/>
          <w:szCs w:val="21"/>
        </w:rPr>
      </w:pPr>
      <w:bookmarkStart w:id="28" w:name="_Toc97339359"/>
      <w:bookmarkStart w:id="29" w:name="_Toc109914420"/>
      <w:bookmarkStart w:id="30" w:name="_Toc97717273"/>
      <w:r>
        <w:rPr>
          <w:rFonts w:hint="eastAsia" w:ascii="宋体" w:hAnsi="宋体" w:eastAsia="宋体" w:cs="宋体"/>
          <w:b/>
          <w:color w:val="auto"/>
          <w:sz w:val="21"/>
          <w:szCs w:val="21"/>
        </w:rPr>
        <w:t>第六条   双方义务：</w:t>
      </w:r>
      <w:bookmarkEnd w:id="28"/>
      <w:bookmarkEnd w:id="29"/>
      <w:bookmarkEnd w:id="30"/>
    </w:p>
    <w:p>
      <w:pPr>
        <w:pStyle w:val="12"/>
        <w:keepNext w:val="0"/>
        <w:keepLines w:val="0"/>
        <w:pageBreakBefore w:val="0"/>
        <w:kinsoku/>
        <w:wordWrap/>
        <w:overflowPunct/>
        <w:topLinePunct w:val="0"/>
        <w:bidi w:val="0"/>
        <w:snapToGrid/>
        <w:spacing w:line="320" w:lineRule="exact"/>
        <w:ind w:left="0" w:leftChars="0" w:firstLine="420" w:firstLineChars="200"/>
        <w:jc w:val="left"/>
        <w:textAlignment w:val="auto"/>
        <w:rPr>
          <w:rFonts w:hint="eastAsia" w:ascii="宋体" w:hAnsi="宋体" w:eastAsia="宋体" w:cs="宋体"/>
          <w:color w:val="auto"/>
          <w:szCs w:val="21"/>
        </w:rPr>
      </w:pPr>
      <w:r>
        <w:rPr>
          <w:rFonts w:hint="eastAsia" w:ascii="宋体" w:hAnsi="宋体" w:eastAsia="宋体" w:cs="宋体"/>
          <w:color w:val="auto"/>
          <w:szCs w:val="21"/>
        </w:rPr>
        <w:t>6.1、甲方提供地下管线图，全程跟进钻孔孔位施放，以避开地下管线。</w:t>
      </w:r>
    </w:p>
    <w:p>
      <w:pPr>
        <w:pStyle w:val="12"/>
        <w:keepNext w:val="0"/>
        <w:keepLines w:val="0"/>
        <w:pageBreakBefore w:val="0"/>
        <w:kinsoku/>
        <w:wordWrap/>
        <w:overflowPunct/>
        <w:topLinePunct w:val="0"/>
        <w:bidi w:val="0"/>
        <w:snapToGrid/>
        <w:spacing w:line="320" w:lineRule="exact"/>
        <w:ind w:left="0" w:leftChars="0" w:firstLine="420" w:firstLineChars="200"/>
        <w:jc w:val="left"/>
        <w:textAlignment w:val="auto"/>
        <w:rPr>
          <w:rFonts w:hint="eastAsia" w:ascii="宋体" w:hAnsi="宋体" w:eastAsia="宋体" w:cs="宋体"/>
          <w:color w:val="auto"/>
          <w:szCs w:val="21"/>
        </w:rPr>
      </w:pPr>
      <w:r>
        <w:rPr>
          <w:rFonts w:hint="eastAsia" w:ascii="宋体" w:hAnsi="宋体" w:eastAsia="宋体" w:cs="宋体"/>
          <w:color w:val="auto"/>
          <w:szCs w:val="21"/>
        </w:rPr>
        <w:t>6.2、甲方责成施工单位对监测点进行妥善保护，不得在监测点处堆放建材或其他障碍物。另外，监测单位须同施工单位交底协调好、避免监测点受到破坏或堆放建材而妨碍对该点进行监测，如有破坏甲方不负任何责任。</w:t>
      </w:r>
    </w:p>
    <w:p>
      <w:pPr>
        <w:pStyle w:val="12"/>
        <w:keepNext w:val="0"/>
        <w:keepLines w:val="0"/>
        <w:pageBreakBefore w:val="0"/>
        <w:kinsoku/>
        <w:wordWrap/>
        <w:overflowPunct/>
        <w:topLinePunct w:val="0"/>
        <w:bidi w:val="0"/>
        <w:snapToGrid/>
        <w:spacing w:line="320" w:lineRule="exact"/>
        <w:ind w:left="0" w:leftChars="0" w:firstLine="420" w:firstLineChars="200"/>
        <w:jc w:val="left"/>
        <w:textAlignment w:val="auto"/>
        <w:rPr>
          <w:rFonts w:hint="eastAsia" w:ascii="宋体" w:hAnsi="宋体" w:eastAsia="宋体" w:cs="宋体"/>
          <w:color w:val="auto"/>
          <w:szCs w:val="21"/>
        </w:rPr>
      </w:pPr>
      <w:r>
        <w:rPr>
          <w:rFonts w:hint="eastAsia" w:ascii="宋体" w:hAnsi="宋体" w:eastAsia="宋体" w:cs="宋体"/>
          <w:color w:val="auto"/>
          <w:szCs w:val="21"/>
        </w:rPr>
        <w:t>6.3、乙方在基坑开挖前必须提交系统的监测方案</w:t>
      </w:r>
      <w:r>
        <w:rPr>
          <w:rFonts w:hint="eastAsia" w:ascii="宋体" w:hAnsi="宋体" w:cs="宋体"/>
          <w:color w:val="auto"/>
          <w:szCs w:val="21"/>
          <w:lang w:eastAsia="zh-CN"/>
        </w:rPr>
        <w:t>，</w:t>
      </w:r>
      <w:r>
        <w:rPr>
          <w:rFonts w:hint="eastAsia" w:ascii="宋体" w:hAnsi="宋体" w:cs="宋体"/>
          <w:color w:val="auto"/>
          <w:szCs w:val="21"/>
          <w:lang w:val="en-US" w:eastAsia="zh-CN"/>
        </w:rPr>
        <w:t>须</w:t>
      </w:r>
      <w:r>
        <w:rPr>
          <w:rFonts w:hint="eastAsia" w:ascii="宋体" w:hAnsi="宋体" w:eastAsia="宋体" w:cs="宋体"/>
          <w:color w:val="auto"/>
          <w:sz w:val="21"/>
          <w:szCs w:val="21"/>
        </w:rPr>
        <w:t>通过</w:t>
      </w:r>
      <w:r>
        <w:rPr>
          <w:rFonts w:hint="eastAsia" w:hAnsi="宋体" w:cs="宋体"/>
          <w:b/>
          <w:bCs/>
          <w:color w:val="auto"/>
          <w:sz w:val="21"/>
          <w:szCs w:val="21"/>
          <w:lang w:val="en-US" w:eastAsia="zh-CN"/>
        </w:rPr>
        <w:t>东莞市建筑科学研究所</w:t>
      </w:r>
      <w:r>
        <w:rPr>
          <w:rFonts w:hint="eastAsia" w:ascii="宋体" w:hAnsi="宋体" w:eastAsia="宋体" w:cs="宋体"/>
          <w:color w:val="auto"/>
          <w:sz w:val="21"/>
          <w:szCs w:val="21"/>
        </w:rPr>
        <w:t>专家</w:t>
      </w:r>
      <w:r>
        <w:rPr>
          <w:rFonts w:hint="eastAsia" w:hAnsi="宋体" w:cs="宋体"/>
          <w:color w:val="auto"/>
          <w:sz w:val="21"/>
          <w:szCs w:val="21"/>
          <w:lang w:val="en-US" w:eastAsia="zh-CN"/>
        </w:rPr>
        <w:t>论证</w:t>
      </w:r>
      <w:r>
        <w:rPr>
          <w:rFonts w:hint="eastAsia" w:ascii="宋体" w:hAnsi="宋体" w:eastAsia="宋体" w:cs="宋体"/>
          <w:color w:val="auto"/>
          <w:sz w:val="21"/>
          <w:szCs w:val="21"/>
        </w:rPr>
        <w:t>评审并完成相关备案工作</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提报本项目</w:t>
      </w:r>
      <w:r>
        <w:rPr>
          <w:rFonts w:hint="eastAsia" w:ascii="宋体" w:hAnsi="宋体" w:eastAsia="宋体" w:cs="宋体"/>
          <w:color w:val="auto"/>
          <w:szCs w:val="21"/>
        </w:rPr>
        <w:t>监理</w:t>
      </w:r>
      <w:r>
        <w:rPr>
          <w:rFonts w:hint="eastAsia" w:ascii="宋体" w:hAnsi="宋体" w:cs="宋体"/>
          <w:color w:val="auto"/>
          <w:szCs w:val="21"/>
          <w:lang w:val="en-US" w:eastAsia="zh-CN"/>
        </w:rPr>
        <w:t>单位</w:t>
      </w:r>
      <w:r>
        <w:rPr>
          <w:rFonts w:hint="eastAsia" w:ascii="宋体" w:hAnsi="宋体" w:eastAsia="宋体" w:cs="宋体"/>
          <w:color w:val="auto"/>
          <w:szCs w:val="21"/>
        </w:rPr>
        <w:t>审批（监测方案以审批为准），</w:t>
      </w:r>
      <w:r>
        <w:rPr>
          <w:rFonts w:hint="eastAsia" w:ascii="宋体" w:hAnsi="宋体" w:cs="宋体"/>
          <w:color w:val="auto"/>
          <w:szCs w:val="21"/>
          <w:lang w:val="en-US" w:eastAsia="zh-CN"/>
        </w:rPr>
        <w:t>相关专家论证费用已包含在合同综合单价中，</w:t>
      </w:r>
      <w:r>
        <w:rPr>
          <w:rFonts w:hint="eastAsia" w:ascii="宋体" w:hAnsi="宋体" w:eastAsia="宋体" w:cs="宋体"/>
          <w:color w:val="auto"/>
          <w:szCs w:val="21"/>
        </w:rPr>
        <w:t>监测方案应包括监测项目、监测方法及精度要求、监测点的布置、观测周期、监控时间、工序管理、记录制度、报警标准及信息反馈系统等。</w:t>
      </w:r>
    </w:p>
    <w:p>
      <w:pPr>
        <w:pStyle w:val="12"/>
        <w:keepNext w:val="0"/>
        <w:keepLines w:val="0"/>
        <w:pageBreakBefore w:val="0"/>
        <w:kinsoku/>
        <w:wordWrap/>
        <w:overflowPunct/>
        <w:topLinePunct w:val="0"/>
        <w:bidi w:val="0"/>
        <w:snapToGrid/>
        <w:spacing w:line="320" w:lineRule="exact"/>
        <w:ind w:left="0" w:leftChars="0" w:firstLine="420" w:firstLineChars="200"/>
        <w:jc w:val="left"/>
        <w:textAlignment w:val="auto"/>
        <w:rPr>
          <w:rFonts w:hint="eastAsia" w:ascii="宋体" w:hAnsi="宋体" w:eastAsia="宋体" w:cs="宋体"/>
          <w:color w:val="auto"/>
          <w:szCs w:val="21"/>
        </w:rPr>
      </w:pPr>
      <w:r>
        <w:rPr>
          <w:rFonts w:hint="eastAsia" w:ascii="宋体" w:hAnsi="宋体" w:eastAsia="宋体" w:cs="宋体"/>
          <w:color w:val="auto"/>
          <w:szCs w:val="21"/>
        </w:rPr>
        <w:t>6.4、乙方对报告、成果文件的准确性负责，由于乙方的疏漏、错误造成工程质量事故的，乙方除负责补救措施外，还须赔偿甲方由此造成的损失。</w:t>
      </w:r>
    </w:p>
    <w:p>
      <w:pPr>
        <w:keepNext w:val="0"/>
        <w:keepLines w:val="0"/>
        <w:pageBreakBefore w:val="0"/>
        <w:tabs>
          <w:tab w:val="left" w:pos="1695"/>
          <w:tab w:val="left" w:pos="2700"/>
        </w:tabs>
        <w:kinsoku/>
        <w:wordWrap/>
        <w:overflowPunct/>
        <w:topLinePunct w:val="0"/>
        <w:bidi w:val="0"/>
        <w:snapToGrid/>
        <w:spacing w:line="320" w:lineRule="exact"/>
        <w:ind w:firstLine="422" w:firstLineChars="200"/>
        <w:textAlignment w:val="auto"/>
        <w:outlineLvl w:val="2"/>
        <w:rPr>
          <w:rFonts w:hint="eastAsia" w:ascii="宋体" w:hAnsi="宋体" w:eastAsia="宋体" w:cs="宋体"/>
          <w:b/>
          <w:color w:val="auto"/>
          <w:sz w:val="21"/>
          <w:szCs w:val="21"/>
        </w:rPr>
      </w:pPr>
      <w:bookmarkStart w:id="31" w:name="_Toc97339360"/>
      <w:bookmarkStart w:id="32" w:name="_Toc97717274"/>
      <w:bookmarkStart w:id="33" w:name="_Toc109914421"/>
      <w:r>
        <w:rPr>
          <w:rFonts w:hint="eastAsia" w:ascii="宋体" w:hAnsi="宋体" w:eastAsia="宋体" w:cs="宋体"/>
          <w:b/>
          <w:color w:val="auto"/>
          <w:sz w:val="21"/>
          <w:szCs w:val="21"/>
        </w:rPr>
        <w:t>第七条   违约责任</w:t>
      </w:r>
      <w:bookmarkEnd w:id="31"/>
      <w:bookmarkEnd w:id="32"/>
      <w:bookmarkEnd w:id="33"/>
    </w:p>
    <w:p>
      <w:pPr>
        <w:keepNext w:val="0"/>
        <w:keepLines w:val="0"/>
        <w:pageBreakBefore w:val="0"/>
        <w:kinsoku/>
        <w:wordWrap/>
        <w:overflowPunct/>
        <w:topLinePunct w:val="0"/>
        <w:bidi w:val="0"/>
        <w:snapToGrid/>
        <w:spacing w:line="32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7.1、合同生效后，无正当理由，乙方擅自中途解除合同，乙方应退还甲方支付的费用并向甲方赔偿合同总价</w:t>
      </w:r>
      <w:r>
        <w:rPr>
          <w:rFonts w:hint="eastAsia" w:hAnsi="宋体" w:cs="宋体"/>
          <w:color w:val="auto"/>
          <w:sz w:val="21"/>
          <w:szCs w:val="21"/>
          <w:lang w:val="en-US" w:eastAsia="zh-CN"/>
        </w:rPr>
        <w:t xml:space="preserve"> </w:t>
      </w:r>
      <w:r>
        <w:rPr>
          <w:rFonts w:hint="eastAsia" w:ascii="宋体" w:hAnsi="宋体" w:eastAsia="宋体" w:cs="宋体"/>
          <w:color w:val="auto"/>
          <w:sz w:val="21"/>
          <w:szCs w:val="21"/>
        </w:rPr>
        <w:t>20%</w:t>
      </w:r>
      <w:r>
        <w:rPr>
          <w:rFonts w:hint="eastAsia" w:hAnsi="宋体" w:cs="宋体"/>
          <w:color w:val="auto"/>
          <w:sz w:val="21"/>
          <w:szCs w:val="21"/>
          <w:lang w:val="en-US" w:eastAsia="zh-CN"/>
        </w:rPr>
        <w:t xml:space="preserve"> </w:t>
      </w:r>
      <w:r>
        <w:rPr>
          <w:rFonts w:hint="eastAsia" w:ascii="宋体" w:hAnsi="宋体" w:eastAsia="宋体" w:cs="宋体"/>
          <w:color w:val="auto"/>
          <w:sz w:val="21"/>
          <w:szCs w:val="21"/>
        </w:rPr>
        <w:t>的违约金。</w:t>
      </w:r>
    </w:p>
    <w:p>
      <w:pPr>
        <w:keepNext w:val="0"/>
        <w:keepLines w:val="0"/>
        <w:pageBreakBefore w:val="0"/>
        <w:kinsoku/>
        <w:wordWrap/>
        <w:overflowPunct/>
        <w:topLinePunct w:val="0"/>
        <w:bidi w:val="0"/>
        <w:snapToGrid/>
        <w:spacing w:line="32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7.2、因乙方观测及监测质量不符合相关规范标准规定的，由乙方无条件继续完善工作，并承担对甲方造成的相应损失（包括但不限于合同总价</w:t>
      </w:r>
      <w:r>
        <w:rPr>
          <w:rFonts w:hint="eastAsia" w:hAnsi="宋体" w:cs="宋体"/>
          <w:color w:val="auto"/>
          <w:sz w:val="21"/>
          <w:szCs w:val="21"/>
          <w:lang w:val="en-US" w:eastAsia="zh-CN"/>
        </w:rPr>
        <w:t xml:space="preserve"> </w:t>
      </w:r>
      <w:r>
        <w:rPr>
          <w:rFonts w:hint="eastAsia" w:ascii="宋体" w:hAnsi="宋体" w:eastAsia="宋体" w:cs="宋体"/>
          <w:color w:val="auto"/>
          <w:sz w:val="21"/>
          <w:szCs w:val="21"/>
        </w:rPr>
        <w:t>20%</w:t>
      </w:r>
      <w:r>
        <w:rPr>
          <w:rFonts w:hint="eastAsia" w:hAnsi="宋体" w:cs="宋体"/>
          <w:color w:val="auto"/>
          <w:sz w:val="21"/>
          <w:szCs w:val="21"/>
          <w:lang w:val="en-US" w:eastAsia="zh-CN"/>
        </w:rPr>
        <w:t xml:space="preserve"> </w:t>
      </w:r>
      <w:r>
        <w:rPr>
          <w:rFonts w:hint="eastAsia" w:ascii="宋体" w:hAnsi="宋体" w:eastAsia="宋体" w:cs="宋体"/>
          <w:color w:val="auto"/>
          <w:sz w:val="21"/>
          <w:szCs w:val="21"/>
        </w:rPr>
        <w:t>的违约金、甲方因此应向第三方支付的违约或损失赔偿及其他费用、返工费用、其他实际损失、行政处罚、差旅费、符合国家规定标准的律师费及其它实现债权的费用、可得利益损失等）。</w:t>
      </w:r>
    </w:p>
    <w:p>
      <w:pPr>
        <w:keepNext w:val="0"/>
        <w:keepLines w:val="0"/>
        <w:pageBreakBefore w:val="0"/>
        <w:kinsoku/>
        <w:wordWrap/>
        <w:overflowPunct/>
        <w:topLinePunct w:val="0"/>
        <w:bidi w:val="0"/>
        <w:snapToGrid/>
        <w:spacing w:line="32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7.3、乙方不能按甲方通知的时间进场观测和监测，每逾期一天，按照合同总价的千分之三向甲方支付违约金，并承担对甲方造成的相应损失。逾期达3天的，甲方有权解除合同，甲方解除合同的，乙方应退还甲方已支付的费用，并按合同总额的</w:t>
      </w:r>
      <w:r>
        <w:rPr>
          <w:rFonts w:hint="eastAsia" w:hAnsi="宋体" w:cs="宋体"/>
          <w:color w:val="auto"/>
          <w:sz w:val="21"/>
          <w:szCs w:val="21"/>
          <w:lang w:val="en-US" w:eastAsia="zh-CN"/>
        </w:rPr>
        <w:t xml:space="preserve"> </w:t>
      </w:r>
      <w:r>
        <w:rPr>
          <w:rFonts w:hint="eastAsia" w:ascii="宋体" w:hAnsi="宋体" w:eastAsia="宋体" w:cs="宋体"/>
          <w:color w:val="auto"/>
          <w:sz w:val="21"/>
          <w:szCs w:val="21"/>
        </w:rPr>
        <w:t>20%</w:t>
      </w:r>
      <w:r>
        <w:rPr>
          <w:rFonts w:hint="eastAsia" w:hAnsi="宋体" w:cs="宋体"/>
          <w:color w:val="auto"/>
          <w:sz w:val="21"/>
          <w:szCs w:val="21"/>
          <w:lang w:val="en-US" w:eastAsia="zh-CN"/>
        </w:rPr>
        <w:t xml:space="preserve"> </w:t>
      </w:r>
      <w:r>
        <w:rPr>
          <w:rFonts w:hint="eastAsia" w:ascii="宋体" w:hAnsi="宋体" w:eastAsia="宋体" w:cs="宋体"/>
          <w:color w:val="auto"/>
          <w:sz w:val="21"/>
          <w:szCs w:val="21"/>
        </w:rPr>
        <w:t>向甲方承担违约金。给甲方造成损失的，还应当承担赔偿责任。</w:t>
      </w:r>
    </w:p>
    <w:p>
      <w:pPr>
        <w:keepNext w:val="0"/>
        <w:keepLines w:val="0"/>
        <w:pageBreakBefore w:val="0"/>
        <w:kinsoku/>
        <w:wordWrap/>
        <w:overflowPunct/>
        <w:topLinePunct w:val="0"/>
        <w:bidi w:val="0"/>
        <w:snapToGrid/>
        <w:spacing w:line="32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7.4、乙方不能按甲方要求的期限完工的，每逾期一天，按照合同总价的千分之三向甲方支付违约金，并赔偿甲方因此而造成的损失。逾期达3天的，甲方有权解除合同，甲方解除合同的，乙方应退还甲方已支付的费用，并按合同总额的</w:t>
      </w:r>
      <w:r>
        <w:rPr>
          <w:rFonts w:hint="eastAsia" w:hAnsi="宋体" w:cs="宋体"/>
          <w:color w:val="auto"/>
          <w:sz w:val="21"/>
          <w:szCs w:val="21"/>
          <w:lang w:val="en-US" w:eastAsia="zh-CN"/>
        </w:rPr>
        <w:t xml:space="preserve"> </w:t>
      </w:r>
      <w:r>
        <w:rPr>
          <w:rFonts w:hint="eastAsia" w:ascii="宋体" w:hAnsi="宋体" w:eastAsia="宋体" w:cs="宋体"/>
          <w:color w:val="auto"/>
          <w:sz w:val="21"/>
          <w:szCs w:val="21"/>
        </w:rPr>
        <w:t>20%</w:t>
      </w:r>
      <w:r>
        <w:rPr>
          <w:rFonts w:hint="eastAsia" w:hAnsi="宋体" w:cs="宋体"/>
          <w:color w:val="auto"/>
          <w:sz w:val="21"/>
          <w:szCs w:val="21"/>
          <w:lang w:val="en-US" w:eastAsia="zh-CN"/>
        </w:rPr>
        <w:t xml:space="preserve"> </w:t>
      </w:r>
      <w:r>
        <w:rPr>
          <w:rFonts w:hint="eastAsia" w:ascii="宋体" w:hAnsi="宋体" w:eastAsia="宋体" w:cs="宋体"/>
          <w:color w:val="auto"/>
          <w:sz w:val="21"/>
          <w:szCs w:val="21"/>
        </w:rPr>
        <w:t>向甲方承担违约金，给甲方造成损失的，还应当承担赔偿责任。</w:t>
      </w:r>
    </w:p>
    <w:p>
      <w:pPr>
        <w:keepNext w:val="0"/>
        <w:keepLines w:val="0"/>
        <w:pageBreakBefore w:val="0"/>
        <w:kinsoku/>
        <w:wordWrap/>
        <w:overflowPunct/>
        <w:topLinePunct w:val="0"/>
        <w:bidi w:val="0"/>
        <w:snapToGrid/>
        <w:spacing w:line="32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7.5、甲方超过合同规定的日期付费时，在接到乙方书面催告函件30日内仍未能按合同约定付款的，甲方应按延误天数和当时银行贷款利率，支付违约金。</w:t>
      </w:r>
    </w:p>
    <w:p>
      <w:pPr>
        <w:keepNext w:val="0"/>
        <w:keepLines w:val="0"/>
        <w:pageBreakBefore w:val="0"/>
        <w:kinsoku/>
        <w:wordWrap/>
        <w:overflowPunct/>
        <w:topLinePunct w:val="0"/>
        <w:bidi w:val="0"/>
        <w:snapToGrid/>
        <w:spacing w:line="32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7.6、对于甲方提供的图纸和技术资料以及属于甲方的监测成果，乙方有义务保密。无甲方正式书面许可，不得提供或泄露给第三方。否则，甲方有权要求乙方承担由此造成的损失。</w:t>
      </w:r>
    </w:p>
    <w:p>
      <w:pPr>
        <w:keepNext w:val="0"/>
        <w:keepLines w:val="0"/>
        <w:pageBreakBefore w:val="0"/>
        <w:kinsoku/>
        <w:wordWrap/>
        <w:overflowPunct/>
        <w:topLinePunct w:val="0"/>
        <w:bidi w:val="0"/>
        <w:snapToGrid/>
        <w:spacing w:line="32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7.7、乙方未及时履行本合同规定的义务或未按国家有关规范进行观测和监测的，甲方有权解除合同；甲方解除合同的，乙方应退还甲方已支付的费用，并按合同总额的20%向甲方承担违约金，给甲方造成损失的，还应当承担赔偿责任。</w:t>
      </w:r>
    </w:p>
    <w:p>
      <w:pPr>
        <w:keepNext w:val="0"/>
        <w:keepLines w:val="0"/>
        <w:pageBreakBefore w:val="0"/>
        <w:kinsoku/>
        <w:wordWrap/>
        <w:overflowPunct/>
        <w:topLinePunct w:val="0"/>
        <w:bidi w:val="0"/>
        <w:snapToGrid/>
        <w:spacing w:line="32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7.8、乙方擅自中途更换本项目工作主要负责人，或乙方现场代表不配合甲方工作或不能胜任工作的，甲方有权要求乙方更换相应人员，乙方应在甲方要求更换之日起三日内更换。否则，乙方每次支付2000元作为违约金（甲方有权从应付乙方的合同价款中直接扣除），并要求停工或解除合同，由此造成的观测期限延误的违约责任及甲方的损失由乙方承担。</w:t>
      </w:r>
    </w:p>
    <w:p>
      <w:pPr>
        <w:keepNext w:val="0"/>
        <w:keepLines w:val="0"/>
        <w:pageBreakBefore w:val="0"/>
        <w:kinsoku/>
        <w:wordWrap/>
        <w:overflowPunct/>
        <w:topLinePunct w:val="0"/>
        <w:bidi w:val="0"/>
        <w:snapToGrid/>
        <w:spacing w:line="32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7.9、乙方人员在施工区内出现打架斗殴、损坏工程成品、安全事故、违反甲方工程管理规定等情况时，乙方每次支付2000元作为违约金（甲方有权从应付乙方的合同价款中直接扣除），由此给甲方造成损失的，还应予以赔偿。</w:t>
      </w:r>
    </w:p>
    <w:p>
      <w:pPr>
        <w:keepNext w:val="0"/>
        <w:keepLines w:val="0"/>
        <w:pageBreakBefore w:val="0"/>
        <w:kinsoku/>
        <w:wordWrap/>
        <w:overflowPunct/>
        <w:topLinePunct w:val="0"/>
        <w:bidi w:val="0"/>
        <w:snapToGrid/>
        <w:spacing w:line="32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7.10、合同履行期间，由于工程中途停建而终止合同或在测量人无过错而甲方要求解除合同时，已进行测量工作的，按实际工作量结算，除此之外，甲方无需承担其他任何责任。</w:t>
      </w:r>
    </w:p>
    <w:p>
      <w:pPr>
        <w:keepNext w:val="0"/>
        <w:keepLines w:val="0"/>
        <w:pageBreakBefore w:val="0"/>
        <w:tabs>
          <w:tab w:val="left" w:pos="1695"/>
          <w:tab w:val="left" w:pos="2700"/>
        </w:tabs>
        <w:kinsoku/>
        <w:wordWrap/>
        <w:overflowPunct/>
        <w:topLinePunct w:val="0"/>
        <w:bidi w:val="0"/>
        <w:snapToGrid/>
        <w:spacing w:line="320" w:lineRule="exact"/>
        <w:ind w:firstLine="422" w:firstLineChars="200"/>
        <w:textAlignment w:val="auto"/>
        <w:outlineLvl w:val="2"/>
        <w:rPr>
          <w:rFonts w:hint="eastAsia" w:ascii="宋体" w:hAnsi="宋体" w:eastAsia="宋体" w:cs="宋体"/>
          <w:b/>
          <w:color w:val="auto"/>
          <w:sz w:val="21"/>
          <w:szCs w:val="21"/>
        </w:rPr>
      </w:pPr>
      <w:bookmarkStart w:id="34" w:name="_Toc97339361"/>
      <w:bookmarkStart w:id="35" w:name="_Toc97717275"/>
      <w:bookmarkStart w:id="36" w:name="_Toc109914422"/>
      <w:r>
        <w:rPr>
          <w:rFonts w:hint="eastAsia" w:ascii="宋体" w:hAnsi="宋体" w:eastAsia="宋体" w:cs="宋体"/>
          <w:b/>
          <w:color w:val="auto"/>
          <w:sz w:val="21"/>
          <w:szCs w:val="21"/>
        </w:rPr>
        <w:t>第八条   服务期</w:t>
      </w:r>
      <w:bookmarkEnd w:id="34"/>
      <w:bookmarkEnd w:id="35"/>
      <w:bookmarkEnd w:id="36"/>
    </w:p>
    <w:p>
      <w:pPr>
        <w:keepNext w:val="0"/>
        <w:keepLines w:val="0"/>
        <w:pageBreakBefore w:val="0"/>
        <w:tabs>
          <w:tab w:val="left" w:pos="1695"/>
          <w:tab w:val="left" w:pos="2700"/>
        </w:tabs>
        <w:kinsoku/>
        <w:wordWrap/>
        <w:overflowPunct/>
        <w:topLinePunct w:val="0"/>
        <w:bidi w:val="0"/>
        <w:snapToGrid/>
        <w:spacing w:line="320" w:lineRule="exact"/>
        <w:ind w:firstLine="420" w:firstLineChars="200"/>
        <w:textAlignment w:val="auto"/>
        <w:outlineLvl w:val="2"/>
        <w:rPr>
          <w:rFonts w:hint="eastAsia" w:ascii="宋体" w:hAnsi="宋体" w:eastAsia="宋体" w:cs="宋体"/>
          <w:bCs/>
          <w:color w:val="auto"/>
          <w:sz w:val="21"/>
          <w:szCs w:val="21"/>
        </w:rPr>
      </w:pPr>
      <w:bookmarkStart w:id="37" w:name="_Toc109914423"/>
      <w:bookmarkStart w:id="38" w:name="_Toc97717276"/>
      <w:bookmarkStart w:id="39" w:name="_Toc97339362"/>
      <w:r>
        <w:rPr>
          <w:rFonts w:hint="eastAsia" w:ascii="宋体" w:hAnsi="宋体" w:cs="宋体"/>
          <w:bCs/>
          <w:color w:val="auto"/>
          <w:sz w:val="21"/>
          <w:szCs w:val="21"/>
          <w:lang w:val="en-US" w:eastAsia="zh-CN"/>
        </w:rPr>
        <w:t>8.</w:t>
      </w:r>
      <w:r>
        <w:rPr>
          <w:rFonts w:hint="eastAsia" w:ascii="宋体" w:hAnsi="宋体" w:eastAsia="宋体" w:cs="宋体"/>
          <w:bCs/>
          <w:color w:val="auto"/>
          <w:sz w:val="21"/>
          <w:szCs w:val="21"/>
        </w:rPr>
        <w:t>1、收到甲方发出的中标通知书后10个工作日内，基坑监测方案通过东莞市建筑科学研究所专家论证评审并完成相关备案工作；</w:t>
      </w:r>
    </w:p>
    <w:p>
      <w:pPr>
        <w:keepNext w:val="0"/>
        <w:keepLines w:val="0"/>
        <w:pageBreakBefore w:val="0"/>
        <w:tabs>
          <w:tab w:val="left" w:pos="1695"/>
          <w:tab w:val="left" w:pos="2700"/>
        </w:tabs>
        <w:kinsoku/>
        <w:wordWrap/>
        <w:overflowPunct/>
        <w:topLinePunct w:val="0"/>
        <w:bidi w:val="0"/>
        <w:snapToGrid/>
        <w:spacing w:line="320" w:lineRule="exact"/>
        <w:ind w:firstLine="420" w:firstLineChars="200"/>
        <w:textAlignment w:val="auto"/>
        <w:outlineLvl w:val="2"/>
        <w:rPr>
          <w:rFonts w:hint="eastAsia" w:ascii="宋体" w:hAnsi="宋体" w:eastAsia="宋体" w:cs="宋体"/>
          <w:bCs/>
          <w:color w:val="auto"/>
          <w:sz w:val="21"/>
          <w:szCs w:val="21"/>
        </w:rPr>
      </w:pPr>
      <w:r>
        <w:rPr>
          <w:rFonts w:hint="eastAsia" w:ascii="宋体" w:hAnsi="宋体" w:cs="宋体"/>
          <w:bCs/>
          <w:color w:val="auto"/>
          <w:sz w:val="21"/>
          <w:szCs w:val="21"/>
          <w:lang w:val="en-US" w:eastAsia="zh-CN"/>
        </w:rPr>
        <w:t>8.</w:t>
      </w:r>
      <w:r>
        <w:rPr>
          <w:rFonts w:hint="eastAsia" w:ascii="宋体" w:hAnsi="宋体" w:eastAsia="宋体" w:cs="宋体"/>
          <w:bCs/>
          <w:color w:val="auto"/>
          <w:sz w:val="21"/>
          <w:szCs w:val="21"/>
        </w:rPr>
        <w:t>2、基坑监测服务期涵盖整个从基坑开挖到回填正负零暂定120天，具体开工日期以甲方书面通知为准。</w:t>
      </w:r>
    </w:p>
    <w:p>
      <w:pPr>
        <w:keepNext w:val="0"/>
        <w:keepLines w:val="0"/>
        <w:pageBreakBefore w:val="0"/>
        <w:tabs>
          <w:tab w:val="left" w:pos="1695"/>
          <w:tab w:val="left" w:pos="2700"/>
        </w:tabs>
        <w:kinsoku/>
        <w:wordWrap/>
        <w:overflowPunct/>
        <w:topLinePunct w:val="0"/>
        <w:bidi w:val="0"/>
        <w:snapToGrid/>
        <w:spacing w:line="320" w:lineRule="exact"/>
        <w:ind w:firstLine="422" w:firstLineChars="200"/>
        <w:textAlignment w:val="auto"/>
        <w:outlineLvl w:val="2"/>
        <w:rPr>
          <w:rFonts w:hint="eastAsia" w:ascii="宋体" w:hAnsi="宋体" w:eastAsia="宋体" w:cs="宋体"/>
          <w:b/>
          <w:color w:val="auto"/>
          <w:sz w:val="21"/>
          <w:szCs w:val="21"/>
        </w:rPr>
      </w:pPr>
      <w:r>
        <w:rPr>
          <w:rFonts w:hint="eastAsia" w:ascii="宋体" w:hAnsi="宋体" w:eastAsia="宋体" w:cs="宋体"/>
          <w:b/>
          <w:color w:val="auto"/>
          <w:sz w:val="21"/>
          <w:szCs w:val="21"/>
        </w:rPr>
        <w:t>第九条   验收</w:t>
      </w:r>
      <w:bookmarkEnd w:id="37"/>
    </w:p>
    <w:p>
      <w:pPr>
        <w:keepNext w:val="0"/>
        <w:keepLines w:val="0"/>
        <w:pageBreakBefore w:val="0"/>
        <w:kinsoku/>
        <w:wordWrap/>
        <w:overflowPunct/>
        <w:topLinePunct w:val="0"/>
        <w:bidi w:val="0"/>
        <w:snapToGrid/>
        <w:spacing w:line="32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乙方应在监测工作全部完成后7日内向甲方提供监测总结报告等材料。若采购人发现服务质量与合同约定要求不符，甲方有权要求乙方限期整改。若乙方拒绝整改或未在规定时间内整改，甲方有权单方解除合同并无需支付剩余监测费用，同时乙方需向甲方支付合同暂定价</w:t>
      </w:r>
      <w:r>
        <w:rPr>
          <w:rFonts w:hint="eastAsia" w:ascii="宋体" w:hAnsi="宋体" w:eastAsia="宋体" w:cs="宋体"/>
          <w:color w:val="auto"/>
          <w:sz w:val="21"/>
          <w:szCs w:val="21"/>
          <w:u w:val="single"/>
        </w:rPr>
        <w:t>10%</w:t>
      </w:r>
      <w:r>
        <w:rPr>
          <w:rFonts w:hint="eastAsia" w:ascii="宋体" w:hAnsi="宋体" w:cs="宋体"/>
          <w:color w:val="auto"/>
          <w:sz w:val="21"/>
          <w:szCs w:val="21"/>
          <w:u w:val="single"/>
          <w:lang w:val="en-US" w:eastAsia="zh-CN"/>
        </w:rPr>
        <w:t xml:space="preserve"> </w:t>
      </w:r>
      <w:r>
        <w:rPr>
          <w:rFonts w:hint="eastAsia" w:ascii="宋体" w:hAnsi="宋体" w:eastAsia="宋体" w:cs="宋体"/>
          <w:color w:val="auto"/>
          <w:sz w:val="21"/>
          <w:szCs w:val="21"/>
        </w:rPr>
        <w:t>的违约金。</w:t>
      </w:r>
    </w:p>
    <w:p>
      <w:pPr>
        <w:keepNext w:val="0"/>
        <w:keepLines w:val="0"/>
        <w:pageBreakBefore w:val="0"/>
        <w:kinsoku/>
        <w:wordWrap/>
        <w:overflowPunct/>
        <w:topLinePunct w:val="0"/>
        <w:bidi w:val="0"/>
        <w:snapToGrid/>
        <w:spacing w:line="320" w:lineRule="exact"/>
        <w:ind w:firstLine="422" w:firstLineChars="200"/>
        <w:textAlignment w:val="auto"/>
        <w:outlineLvl w:val="9"/>
        <w:rPr>
          <w:rFonts w:hint="eastAsia" w:ascii="宋体" w:hAnsi="宋体" w:eastAsia="宋体" w:cs="宋体"/>
          <w:b/>
          <w:color w:val="auto"/>
          <w:sz w:val="21"/>
          <w:szCs w:val="21"/>
        </w:rPr>
      </w:pPr>
      <w:bookmarkStart w:id="40" w:name="_Toc109914425"/>
      <w:r>
        <w:rPr>
          <w:rFonts w:hint="eastAsia" w:ascii="宋体" w:hAnsi="宋体" w:eastAsia="宋体" w:cs="宋体"/>
          <w:b/>
          <w:color w:val="auto"/>
          <w:sz w:val="21"/>
          <w:szCs w:val="21"/>
        </w:rPr>
        <w:t>第十条    其它</w:t>
      </w:r>
      <w:bookmarkEnd w:id="38"/>
      <w:bookmarkEnd w:id="39"/>
      <w:bookmarkEnd w:id="40"/>
    </w:p>
    <w:p>
      <w:pPr>
        <w:keepNext w:val="0"/>
        <w:keepLines w:val="0"/>
        <w:pageBreakBefore w:val="0"/>
        <w:kinsoku/>
        <w:wordWrap/>
        <w:overflowPunct/>
        <w:topLinePunct w:val="0"/>
        <w:bidi w:val="0"/>
        <w:snapToGrid/>
        <w:spacing w:line="32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hAnsi="宋体" w:cs="宋体"/>
          <w:color w:val="auto"/>
          <w:sz w:val="21"/>
          <w:szCs w:val="21"/>
          <w:lang w:val="en-US" w:eastAsia="zh-CN"/>
        </w:rPr>
        <w:t>0</w:t>
      </w:r>
      <w:r>
        <w:rPr>
          <w:rFonts w:hint="eastAsia" w:ascii="宋体" w:hAnsi="宋体" w:eastAsia="宋体" w:cs="宋体"/>
          <w:color w:val="auto"/>
          <w:sz w:val="21"/>
          <w:szCs w:val="21"/>
        </w:rPr>
        <w:t>.1、若甲方因乙方履行合同的过程或交付的工作成果而遭受第三方诉讼、索赔或政府行政处罚，甲方有权独立参与针对该项诉请的应诉抗辩或和解。由于甲方参与应诉抗辩或承担判决、和解所发生的一切费用（包括但不限于基于判决、裁定、政府处罚等承担的费用、损失赔偿、诉讼费、律师费、差旅费等）由乙方承担。乙方同意，在有关诉请结案前，甲方对诉请等额的未付款项暂停支付直至诉请案件结案。如甲方应诉答辩需要乙方配合的，乙方应在收到甲方通知后将对由此而引起的任何诉讼或法律请求进行抗辩配合或协助提供相应的证据。</w:t>
      </w:r>
    </w:p>
    <w:p>
      <w:pPr>
        <w:keepNext w:val="0"/>
        <w:keepLines w:val="0"/>
        <w:pageBreakBefore w:val="0"/>
        <w:kinsoku/>
        <w:wordWrap/>
        <w:overflowPunct/>
        <w:topLinePunct w:val="0"/>
        <w:bidi w:val="0"/>
        <w:snapToGrid/>
        <w:spacing w:line="32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bCs/>
          <w:color w:val="auto"/>
          <w:sz w:val="21"/>
          <w:szCs w:val="21"/>
        </w:rPr>
        <w:t>1</w:t>
      </w:r>
      <w:r>
        <w:rPr>
          <w:rFonts w:hint="eastAsia" w:ascii="宋体" w:hAnsi="宋体" w:eastAsia="宋体" w:cs="宋体"/>
          <w:bCs/>
          <w:color w:val="auto"/>
          <w:sz w:val="21"/>
          <w:szCs w:val="21"/>
          <w:lang w:val="en-US" w:eastAsia="zh-CN"/>
        </w:rPr>
        <w:t>0</w:t>
      </w:r>
      <w:r>
        <w:rPr>
          <w:rFonts w:hint="eastAsia" w:ascii="宋体" w:hAnsi="宋体" w:eastAsia="宋体" w:cs="宋体"/>
          <w:bCs/>
          <w:color w:val="auto"/>
          <w:sz w:val="21"/>
          <w:szCs w:val="21"/>
        </w:rPr>
        <w:t>.2、</w:t>
      </w:r>
      <w:r>
        <w:rPr>
          <w:rFonts w:hint="eastAsia" w:ascii="宋体" w:hAnsi="宋体" w:eastAsia="宋体" w:cs="宋体"/>
          <w:color w:val="auto"/>
          <w:sz w:val="21"/>
          <w:szCs w:val="21"/>
        </w:rPr>
        <w:t>本合同未尽事宜，双方可签订补充协议，有关协议及双方认可的来往电子邮件、会议纪要等资料，均为本合同组成部分，与本合同具有同等法律效力。</w:t>
      </w:r>
    </w:p>
    <w:p>
      <w:pPr>
        <w:keepNext w:val="0"/>
        <w:keepLines w:val="0"/>
        <w:pageBreakBefore w:val="0"/>
        <w:kinsoku/>
        <w:wordWrap/>
        <w:overflowPunct/>
        <w:topLinePunct w:val="0"/>
        <w:bidi w:val="0"/>
        <w:snapToGrid/>
        <w:spacing w:line="32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ascii="宋体" w:hAnsi="宋体" w:eastAsia="宋体" w:cs="宋体"/>
          <w:color w:val="auto"/>
          <w:sz w:val="21"/>
          <w:szCs w:val="21"/>
          <w:lang w:val="en-US" w:eastAsia="zh-CN"/>
        </w:rPr>
        <w:t>0</w:t>
      </w:r>
      <w:r>
        <w:rPr>
          <w:rFonts w:hint="eastAsia" w:ascii="宋体" w:hAnsi="宋体" w:eastAsia="宋体" w:cs="宋体"/>
          <w:color w:val="auto"/>
          <w:sz w:val="21"/>
          <w:szCs w:val="21"/>
        </w:rPr>
        <w:t>.3、本合同未尽事宜，由甲、乙双方协商解决；如协商未能达成一致，向项目所在地有管辖权的人民法院提出诉讼。</w:t>
      </w:r>
    </w:p>
    <w:p>
      <w:pPr>
        <w:keepNext w:val="0"/>
        <w:keepLines w:val="0"/>
        <w:pageBreakBefore w:val="0"/>
        <w:kinsoku/>
        <w:wordWrap/>
        <w:overflowPunct/>
        <w:topLinePunct w:val="0"/>
        <w:bidi w:val="0"/>
        <w:snapToGrid/>
        <w:spacing w:line="32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ascii="宋体" w:hAnsi="宋体" w:eastAsia="宋体" w:cs="宋体"/>
          <w:color w:val="auto"/>
          <w:sz w:val="21"/>
          <w:szCs w:val="21"/>
          <w:lang w:val="en-US" w:eastAsia="zh-CN"/>
        </w:rPr>
        <w:t>0</w:t>
      </w:r>
      <w:r>
        <w:rPr>
          <w:rFonts w:hint="eastAsia" w:ascii="宋体" w:hAnsi="宋体" w:eastAsia="宋体" w:cs="宋体"/>
          <w:color w:val="auto"/>
          <w:sz w:val="21"/>
          <w:szCs w:val="21"/>
        </w:rPr>
        <w:t>.4、合同由双方法定代表人或委托代理人签字，加盖公章后生效。本合同一式</w:t>
      </w:r>
      <w:r>
        <w:rPr>
          <w:rFonts w:hint="eastAsia" w:ascii="宋体" w:hAnsi="宋体" w:eastAsia="宋体" w:cs="宋体"/>
          <w:color w:val="auto"/>
          <w:sz w:val="21"/>
          <w:szCs w:val="21"/>
          <w:u w:val="single"/>
        </w:rPr>
        <w:t xml:space="preserve"> 陆 </w:t>
      </w:r>
      <w:r>
        <w:rPr>
          <w:rFonts w:hint="eastAsia" w:ascii="宋体" w:hAnsi="宋体" w:eastAsia="宋体" w:cs="宋体"/>
          <w:color w:val="auto"/>
          <w:sz w:val="21"/>
          <w:szCs w:val="21"/>
        </w:rPr>
        <w:t>份，甲方执</w:t>
      </w:r>
      <w:r>
        <w:rPr>
          <w:rFonts w:hint="eastAsia" w:ascii="宋体" w:hAnsi="宋体" w:eastAsia="宋体" w:cs="宋体"/>
          <w:color w:val="auto"/>
          <w:sz w:val="21"/>
          <w:szCs w:val="21"/>
          <w:u w:val="single"/>
        </w:rPr>
        <w:t xml:space="preserve"> 肆 </w:t>
      </w:r>
      <w:r>
        <w:rPr>
          <w:rFonts w:hint="eastAsia" w:ascii="宋体" w:hAnsi="宋体" w:eastAsia="宋体" w:cs="宋体"/>
          <w:color w:val="auto"/>
          <w:sz w:val="21"/>
          <w:szCs w:val="21"/>
        </w:rPr>
        <w:t>份，乙方执</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贰</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份，均具同等的法律效力。</w:t>
      </w:r>
    </w:p>
    <w:p>
      <w:pPr>
        <w:keepNext w:val="0"/>
        <w:keepLines w:val="0"/>
        <w:pageBreakBefore w:val="0"/>
        <w:kinsoku/>
        <w:wordWrap/>
        <w:overflowPunct/>
        <w:topLinePunct w:val="0"/>
        <w:bidi w:val="0"/>
        <w:snapToGrid/>
        <w:spacing w:line="32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ascii="宋体" w:hAnsi="宋体" w:eastAsia="宋体" w:cs="宋体"/>
          <w:color w:val="auto"/>
          <w:sz w:val="21"/>
          <w:szCs w:val="21"/>
          <w:lang w:val="en-US" w:eastAsia="zh-CN"/>
        </w:rPr>
        <w:t>0</w:t>
      </w:r>
      <w:r>
        <w:rPr>
          <w:rFonts w:hint="eastAsia" w:ascii="宋体" w:hAnsi="宋体" w:eastAsia="宋体" w:cs="宋体"/>
          <w:color w:val="auto"/>
          <w:sz w:val="21"/>
          <w:szCs w:val="21"/>
        </w:rPr>
        <w:t>.5、本合同经双方签字盖章后生效。双方履行完合同约定的义务后，本合同即行终止。</w:t>
      </w:r>
    </w:p>
    <w:p>
      <w:pPr>
        <w:keepNext w:val="0"/>
        <w:keepLines w:val="0"/>
        <w:pageBreakBefore w:val="0"/>
        <w:kinsoku/>
        <w:wordWrap/>
        <w:overflowPunct/>
        <w:topLinePunct w:val="0"/>
        <w:bidi w:val="0"/>
        <w:snapToGrid/>
        <w:spacing w:line="320" w:lineRule="exact"/>
        <w:ind w:firstLine="420" w:firstLineChars="200"/>
        <w:textAlignment w:val="auto"/>
        <w:rPr>
          <w:rFonts w:hint="eastAsia" w:ascii="宋体" w:hAnsi="宋体" w:eastAsia="宋体" w:cs="宋体"/>
          <w:color w:val="auto"/>
          <w:sz w:val="21"/>
          <w:szCs w:val="21"/>
        </w:rPr>
      </w:pPr>
    </w:p>
    <w:p>
      <w:pPr>
        <w:keepNext w:val="0"/>
        <w:keepLines w:val="0"/>
        <w:pageBreakBefore w:val="0"/>
        <w:kinsoku/>
        <w:wordWrap/>
        <w:overflowPunct/>
        <w:topLinePunct w:val="0"/>
        <w:bidi w:val="0"/>
        <w:snapToGrid/>
        <w:spacing w:line="320" w:lineRule="exact"/>
        <w:ind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附件1：</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阳光合作协议</w:t>
      </w:r>
      <w:r>
        <w:rPr>
          <w:rFonts w:hint="eastAsia" w:ascii="宋体" w:hAnsi="宋体" w:eastAsia="宋体" w:cs="宋体"/>
          <w:color w:val="auto"/>
          <w:sz w:val="21"/>
          <w:szCs w:val="21"/>
          <w:lang w:eastAsia="zh-CN"/>
        </w:rPr>
        <w:t>》</w:t>
      </w:r>
    </w:p>
    <w:p>
      <w:pPr>
        <w:keepNext w:val="0"/>
        <w:keepLines w:val="0"/>
        <w:pageBreakBefore w:val="0"/>
        <w:kinsoku/>
        <w:wordWrap/>
        <w:overflowPunct/>
        <w:topLinePunct w:val="0"/>
        <w:bidi w:val="0"/>
        <w:snapToGrid/>
        <w:spacing w:line="32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附件2：《广东省东莞市城区配套物流仓储建设项目-基坑监测平面布置图》</w:t>
      </w:r>
    </w:p>
    <w:p>
      <w:pPr>
        <w:keepNext w:val="0"/>
        <w:keepLines w:val="0"/>
        <w:pageBreakBefore w:val="0"/>
        <w:kinsoku/>
        <w:wordWrap/>
        <w:overflowPunct/>
        <w:topLinePunct w:val="0"/>
        <w:bidi w:val="0"/>
        <w:snapToGrid/>
        <w:spacing w:line="32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附件</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：《广东省东莞市城区配套物流仓储建设项目-基坑监测工程量清单》</w:t>
      </w:r>
    </w:p>
    <w:p>
      <w:pPr>
        <w:keepNext w:val="0"/>
        <w:keepLines w:val="0"/>
        <w:pageBreakBefore w:val="0"/>
        <w:kinsoku/>
        <w:wordWrap/>
        <w:overflowPunct/>
        <w:topLinePunct w:val="0"/>
        <w:bidi w:val="0"/>
        <w:snapToGrid/>
        <w:spacing w:line="320" w:lineRule="exact"/>
        <w:ind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附件</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建筑施工安全生产协议书</w:t>
      </w:r>
      <w:r>
        <w:rPr>
          <w:rFonts w:hint="eastAsia" w:ascii="宋体" w:hAnsi="宋体" w:eastAsia="宋体" w:cs="宋体"/>
          <w:color w:val="auto"/>
          <w:sz w:val="21"/>
          <w:szCs w:val="21"/>
          <w:lang w:eastAsia="zh-CN"/>
        </w:rPr>
        <w:t>》</w:t>
      </w:r>
    </w:p>
    <w:p>
      <w:pPr>
        <w:keepNext w:val="0"/>
        <w:keepLines w:val="0"/>
        <w:pageBreakBefore w:val="0"/>
        <w:kinsoku/>
        <w:wordWrap/>
        <w:overflowPunct/>
        <w:topLinePunct w:val="0"/>
        <w:bidi w:val="0"/>
        <w:snapToGrid/>
        <w:spacing w:line="320" w:lineRule="exact"/>
        <w:ind w:firstLine="420" w:firstLineChars="200"/>
        <w:textAlignment w:val="auto"/>
        <w:rPr>
          <w:rFonts w:hint="eastAsia" w:hAnsi="宋体" w:cs="宋体"/>
          <w:color w:val="auto"/>
          <w:sz w:val="21"/>
          <w:szCs w:val="21"/>
        </w:rPr>
      </w:pPr>
      <w:r>
        <w:rPr>
          <w:rFonts w:hint="eastAsia" w:hAnsi="宋体" w:cs="宋体"/>
          <w:color w:val="auto"/>
          <w:sz w:val="21"/>
          <w:szCs w:val="21"/>
        </w:rPr>
        <w:t>附件</w:t>
      </w:r>
      <w:r>
        <w:rPr>
          <w:rFonts w:hint="eastAsia" w:hAnsi="宋体" w:cs="宋体"/>
          <w:color w:val="auto"/>
          <w:sz w:val="21"/>
          <w:szCs w:val="21"/>
          <w:lang w:val="en-US" w:eastAsia="zh-CN"/>
        </w:rPr>
        <w:t>5</w:t>
      </w:r>
      <w:r>
        <w:rPr>
          <w:rFonts w:hint="eastAsia" w:hAnsi="宋体" w:cs="宋体"/>
          <w:color w:val="auto"/>
          <w:sz w:val="21"/>
          <w:szCs w:val="21"/>
        </w:rPr>
        <w:t>：中标通知书</w:t>
      </w:r>
    </w:p>
    <w:p>
      <w:pPr>
        <w:keepNext w:val="0"/>
        <w:keepLines w:val="0"/>
        <w:pageBreakBefore w:val="0"/>
        <w:kinsoku/>
        <w:wordWrap/>
        <w:overflowPunct/>
        <w:topLinePunct w:val="0"/>
        <w:bidi w:val="0"/>
        <w:snapToGrid/>
        <w:spacing w:line="320" w:lineRule="exact"/>
        <w:ind w:firstLine="420" w:firstLineChars="200"/>
        <w:textAlignment w:val="auto"/>
        <w:rPr>
          <w:rFonts w:hint="eastAsia" w:hAnsi="宋体" w:cs="宋体"/>
          <w:color w:val="auto"/>
          <w:sz w:val="21"/>
          <w:szCs w:val="21"/>
        </w:rPr>
      </w:pPr>
      <w:r>
        <w:rPr>
          <w:rFonts w:hint="eastAsia" w:hAnsi="宋体" w:cs="宋体"/>
          <w:color w:val="auto"/>
          <w:sz w:val="21"/>
          <w:szCs w:val="21"/>
        </w:rPr>
        <w:t>附件</w:t>
      </w:r>
      <w:r>
        <w:rPr>
          <w:rFonts w:hint="eastAsia" w:hAnsi="宋体" w:cs="宋体"/>
          <w:color w:val="auto"/>
          <w:sz w:val="21"/>
          <w:szCs w:val="21"/>
          <w:lang w:val="en-US" w:eastAsia="zh-CN"/>
        </w:rPr>
        <w:t>6</w:t>
      </w:r>
      <w:r>
        <w:rPr>
          <w:rFonts w:hint="eastAsia" w:hAnsi="宋体" w:cs="宋体"/>
          <w:color w:val="auto"/>
          <w:sz w:val="21"/>
          <w:szCs w:val="21"/>
        </w:rPr>
        <w:t>：</w:t>
      </w:r>
      <w:r>
        <w:rPr>
          <w:rFonts w:hint="eastAsia" w:hAnsi="宋体" w:cs="宋体"/>
          <w:color w:val="auto"/>
          <w:sz w:val="21"/>
          <w:szCs w:val="21"/>
          <w:lang w:val="en-US" w:eastAsia="zh-CN"/>
        </w:rPr>
        <w:t>响应</w:t>
      </w:r>
      <w:r>
        <w:rPr>
          <w:rFonts w:hint="eastAsia" w:hAnsi="宋体" w:cs="宋体"/>
          <w:color w:val="auto"/>
          <w:sz w:val="21"/>
          <w:szCs w:val="21"/>
        </w:rPr>
        <w:t>文件</w:t>
      </w:r>
    </w:p>
    <w:p>
      <w:pPr>
        <w:keepNext w:val="0"/>
        <w:keepLines w:val="0"/>
        <w:pageBreakBefore w:val="0"/>
        <w:kinsoku/>
        <w:wordWrap/>
        <w:overflowPunct/>
        <w:topLinePunct w:val="0"/>
        <w:bidi w:val="0"/>
        <w:snapToGrid/>
        <w:spacing w:line="320" w:lineRule="exact"/>
        <w:ind w:firstLine="420" w:firstLineChars="200"/>
        <w:textAlignment w:val="auto"/>
        <w:rPr>
          <w:rFonts w:hint="eastAsia" w:ascii="宋体" w:hAnsi="宋体" w:eastAsia="宋体" w:cs="宋体"/>
          <w:color w:val="auto"/>
          <w:sz w:val="21"/>
          <w:szCs w:val="21"/>
        </w:rPr>
      </w:pPr>
      <w:r>
        <w:rPr>
          <w:rFonts w:hint="eastAsia" w:hAnsi="宋体" w:cs="宋体"/>
          <w:color w:val="auto"/>
          <w:sz w:val="21"/>
          <w:szCs w:val="21"/>
        </w:rPr>
        <w:t>附件</w:t>
      </w:r>
      <w:r>
        <w:rPr>
          <w:rFonts w:hint="eastAsia" w:hAnsi="宋体" w:cs="宋体"/>
          <w:color w:val="auto"/>
          <w:sz w:val="21"/>
          <w:szCs w:val="21"/>
          <w:lang w:val="en-US" w:eastAsia="zh-CN"/>
        </w:rPr>
        <w:t>7</w:t>
      </w:r>
      <w:r>
        <w:rPr>
          <w:rFonts w:hint="eastAsia" w:hAnsi="宋体" w:cs="宋体"/>
          <w:color w:val="auto"/>
          <w:sz w:val="21"/>
          <w:szCs w:val="21"/>
        </w:rPr>
        <w:t>：</w:t>
      </w:r>
      <w:r>
        <w:rPr>
          <w:rFonts w:hint="eastAsia" w:hAnsi="宋体" w:cs="宋体"/>
          <w:color w:val="auto"/>
          <w:sz w:val="21"/>
          <w:szCs w:val="21"/>
          <w:lang w:val="en-US" w:eastAsia="zh-CN"/>
        </w:rPr>
        <w:t>磋商</w:t>
      </w:r>
      <w:r>
        <w:rPr>
          <w:rFonts w:hint="eastAsia" w:hAnsi="宋体" w:cs="宋体"/>
          <w:color w:val="auto"/>
          <w:sz w:val="21"/>
          <w:szCs w:val="21"/>
        </w:rPr>
        <w:t>文件</w:t>
      </w:r>
    </w:p>
    <w:p>
      <w:pPr>
        <w:keepNext w:val="0"/>
        <w:keepLines w:val="0"/>
        <w:pageBreakBefore w:val="0"/>
        <w:kinsoku/>
        <w:wordWrap/>
        <w:overflowPunct/>
        <w:topLinePunct w:val="0"/>
        <w:bidi w:val="0"/>
        <w:snapToGrid/>
        <w:spacing w:line="320" w:lineRule="exact"/>
        <w:ind w:firstLine="420" w:firstLineChars="200"/>
        <w:textAlignment w:val="auto"/>
        <w:rPr>
          <w:rFonts w:hint="eastAsia" w:ascii="宋体" w:hAnsi="宋体" w:eastAsia="宋体" w:cs="宋体"/>
          <w:color w:val="auto"/>
          <w:sz w:val="21"/>
          <w:szCs w:val="21"/>
          <w:lang w:eastAsia="zh-CN"/>
        </w:rPr>
      </w:pPr>
    </w:p>
    <w:p>
      <w:pPr>
        <w:pStyle w:val="10"/>
        <w:rPr>
          <w:rFonts w:hint="eastAsia"/>
          <w:color w:val="auto"/>
          <w:lang w:eastAsia="zh-CN"/>
        </w:rPr>
      </w:pPr>
    </w:p>
    <w:p>
      <w:pPr>
        <w:keepNext w:val="0"/>
        <w:keepLines w:val="0"/>
        <w:pageBreakBefore w:val="0"/>
        <w:kinsoku/>
        <w:wordWrap/>
        <w:overflowPunct/>
        <w:topLinePunct w:val="0"/>
        <w:bidi w:val="0"/>
        <w:snapToGrid/>
        <w:spacing w:line="32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（以下无正文）</w:t>
      </w:r>
    </w:p>
    <w:p>
      <w:pPr>
        <w:keepNext w:val="0"/>
        <w:keepLines w:val="0"/>
        <w:pageBreakBefore w:val="0"/>
        <w:kinsoku/>
        <w:wordWrap/>
        <w:overflowPunct/>
        <w:topLinePunct w:val="0"/>
        <w:bidi w:val="0"/>
        <w:snapToGrid/>
        <w:spacing w:line="320" w:lineRule="exact"/>
        <w:ind w:firstLine="420" w:firstLineChars="200"/>
        <w:textAlignment w:val="auto"/>
        <w:rPr>
          <w:rFonts w:hint="eastAsia" w:ascii="宋体" w:hAnsi="宋体" w:eastAsia="宋体" w:cs="宋体"/>
          <w:color w:val="auto"/>
          <w:sz w:val="21"/>
          <w:szCs w:val="21"/>
        </w:rPr>
      </w:pPr>
    </w:p>
    <w:p>
      <w:pPr>
        <w:keepNext w:val="0"/>
        <w:keepLines w:val="0"/>
        <w:pageBreakBefore w:val="0"/>
        <w:kinsoku/>
        <w:wordWrap/>
        <w:overflowPunct/>
        <w:topLinePunct w:val="0"/>
        <w:bidi w:val="0"/>
        <w:snapToGrid/>
        <w:spacing w:line="320" w:lineRule="exact"/>
        <w:ind w:firstLine="420" w:firstLineChars="200"/>
        <w:textAlignment w:val="auto"/>
        <w:rPr>
          <w:rFonts w:hint="eastAsia" w:ascii="宋体" w:hAnsi="宋体" w:eastAsia="宋体" w:cs="宋体"/>
          <w:color w:val="auto"/>
          <w:sz w:val="21"/>
          <w:szCs w:val="21"/>
        </w:rPr>
      </w:pPr>
    </w:p>
    <w:p>
      <w:pPr>
        <w:keepNext w:val="0"/>
        <w:keepLines w:val="0"/>
        <w:pageBreakBefore w:val="0"/>
        <w:kinsoku/>
        <w:wordWrap/>
        <w:overflowPunct/>
        <w:topLinePunct w:val="0"/>
        <w:bidi w:val="0"/>
        <w:snapToGrid/>
        <w:spacing w:line="320" w:lineRule="exact"/>
        <w:ind w:firstLine="420" w:firstLineChars="200"/>
        <w:textAlignment w:val="auto"/>
        <w:rPr>
          <w:rFonts w:hint="eastAsia" w:ascii="宋体" w:hAnsi="宋体" w:eastAsia="宋体" w:cs="宋体"/>
          <w:color w:val="auto"/>
          <w:sz w:val="21"/>
          <w:szCs w:val="21"/>
        </w:rPr>
      </w:pPr>
    </w:p>
    <w:p>
      <w:pPr>
        <w:pStyle w:val="10"/>
        <w:rPr>
          <w:rFonts w:hint="eastAsia"/>
          <w:color w:val="auto"/>
        </w:rPr>
      </w:pPr>
    </w:p>
    <w:p>
      <w:pPr>
        <w:keepNext w:val="0"/>
        <w:keepLines w:val="0"/>
        <w:pageBreakBefore w:val="0"/>
        <w:kinsoku/>
        <w:wordWrap/>
        <w:overflowPunct/>
        <w:topLinePunct w:val="0"/>
        <w:bidi w:val="0"/>
        <w:snapToGrid/>
        <w:spacing w:line="320" w:lineRule="exact"/>
        <w:ind w:firstLine="420" w:firstLineChars="200"/>
        <w:textAlignment w:val="auto"/>
        <w:rPr>
          <w:rFonts w:hint="eastAsia" w:ascii="宋体" w:hAnsi="宋体" w:eastAsia="宋体" w:cs="宋体"/>
          <w:color w:val="auto"/>
          <w:sz w:val="21"/>
          <w:szCs w:val="21"/>
        </w:rPr>
      </w:pPr>
    </w:p>
    <w:tbl>
      <w:tblPr>
        <w:tblStyle w:val="21"/>
        <w:tblW w:w="9464" w:type="dxa"/>
        <w:tblInd w:w="0" w:type="dxa"/>
        <w:tblLayout w:type="fixed"/>
        <w:tblCellMar>
          <w:top w:w="0" w:type="dxa"/>
          <w:left w:w="108" w:type="dxa"/>
          <w:bottom w:w="0" w:type="dxa"/>
          <w:right w:w="108" w:type="dxa"/>
        </w:tblCellMar>
      </w:tblPr>
      <w:tblGrid>
        <w:gridCol w:w="4593"/>
        <w:gridCol w:w="4871"/>
      </w:tblGrid>
      <w:tr>
        <w:tblPrEx>
          <w:tblCellMar>
            <w:top w:w="0" w:type="dxa"/>
            <w:left w:w="108" w:type="dxa"/>
            <w:bottom w:w="0" w:type="dxa"/>
            <w:right w:w="108" w:type="dxa"/>
          </w:tblCellMar>
        </w:tblPrEx>
        <w:tc>
          <w:tcPr>
            <w:tcW w:w="4593" w:type="dxa"/>
            <w:noWrap w:val="0"/>
            <w:vAlign w:val="top"/>
          </w:tcPr>
          <w:p>
            <w:pPr>
              <w:pStyle w:val="14"/>
              <w:ind w:right="-10" w:rightChars="-5" w:firstLine="0" w:firstLineChars="0"/>
              <w:rPr>
                <w:rFonts w:hint="eastAsia" w:ascii="宋体" w:hAnsi="宋体"/>
                <w:color w:val="auto"/>
                <w:sz w:val="21"/>
                <w:szCs w:val="21"/>
                <w:highlight w:val="none"/>
              </w:rPr>
            </w:pPr>
            <w:r>
              <w:rPr>
                <w:rFonts w:hint="eastAsia" w:ascii="宋体" w:hAnsi="宋体"/>
                <w:color w:val="auto"/>
                <w:sz w:val="21"/>
                <w:szCs w:val="21"/>
                <w:highlight w:val="none"/>
              </w:rPr>
              <w:t>甲方名称：东莞市莞城建筑工程有限公司</w:t>
            </w:r>
          </w:p>
          <w:p>
            <w:pPr>
              <w:pStyle w:val="14"/>
              <w:ind w:right="-10" w:rightChars="-5" w:firstLine="1680" w:firstLineChars="800"/>
              <w:rPr>
                <w:rFonts w:hint="eastAsia" w:ascii="宋体" w:hAnsi="宋体"/>
                <w:color w:val="auto"/>
                <w:sz w:val="21"/>
                <w:szCs w:val="21"/>
                <w:highlight w:val="none"/>
              </w:rPr>
            </w:pPr>
            <w:r>
              <w:rPr>
                <w:rFonts w:hint="eastAsia" w:ascii="宋体" w:hAnsi="宋体"/>
                <w:color w:val="auto"/>
                <w:sz w:val="21"/>
                <w:szCs w:val="21"/>
                <w:highlight w:val="none"/>
              </w:rPr>
              <w:t>（盖章）</w:t>
            </w:r>
          </w:p>
          <w:p>
            <w:pPr>
              <w:pStyle w:val="14"/>
              <w:ind w:right="-10" w:rightChars="-5" w:firstLine="0" w:firstLineChars="0"/>
              <w:rPr>
                <w:rFonts w:hint="eastAsia" w:ascii="宋体" w:hAnsi="宋体"/>
                <w:color w:val="auto"/>
                <w:sz w:val="21"/>
                <w:szCs w:val="21"/>
                <w:highlight w:val="none"/>
              </w:rPr>
            </w:pPr>
          </w:p>
          <w:p>
            <w:pPr>
              <w:pStyle w:val="14"/>
              <w:ind w:right="-10" w:rightChars="-5" w:firstLine="0" w:firstLineChars="0"/>
              <w:rPr>
                <w:rFonts w:hint="eastAsia" w:ascii="宋体" w:hAnsi="宋体"/>
                <w:color w:val="auto"/>
                <w:sz w:val="21"/>
                <w:szCs w:val="21"/>
                <w:highlight w:val="none"/>
              </w:rPr>
            </w:pPr>
          </w:p>
          <w:p>
            <w:pPr>
              <w:pStyle w:val="14"/>
              <w:ind w:right="-10" w:rightChars="-5" w:firstLine="0" w:firstLineChars="0"/>
              <w:rPr>
                <w:rFonts w:hint="eastAsia" w:ascii="宋体" w:hAnsi="宋体"/>
                <w:color w:val="auto"/>
                <w:sz w:val="21"/>
                <w:szCs w:val="21"/>
                <w:highlight w:val="none"/>
              </w:rPr>
            </w:pPr>
          </w:p>
        </w:tc>
        <w:tc>
          <w:tcPr>
            <w:tcW w:w="4871" w:type="dxa"/>
            <w:noWrap w:val="0"/>
            <w:vAlign w:val="top"/>
          </w:tcPr>
          <w:p>
            <w:pPr>
              <w:pStyle w:val="14"/>
              <w:ind w:right="-10" w:rightChars="-5" w:firstLine="0" w:firstLineChars="0"/>
              <w:rPr>
                <w:rFonts w:hint="eastAsia" w:ascii="宋体" w:hAnsi="宋体"/>
                <w:color w:val="auto"/>
                <w:sz w:val="21"/>
                <w:szCs w:val="21"/>
                <w:highlight w:val="none"/>
              </w:rPr>
            </w:pPr>
            <w:r>
              <w:rPr>
                <w:rFonts w:hint="eastAsia" w:ascii="宋体" w:hAnsi="宋体"/>
                <w:color w:val="auto"/>
                <w:sz w:val="21"/>
                <w:szCs w:val="21"/>
                <w:highlight w:val="none"/>
                <w:lang w:val="en-US" w:eastAsia="zh-CN"/>
              </w:rPr>
              <w:t>乙方</w:t>
            </w:r>
            <w:r>
              <w:rPr>
                <w:rFonts w:hint="eastAsia" w:ascii="宋体" w:hAnsi="宋体"/>
                <w:color w:val="auto"/>
                <w:sz w:val="21"/>
                <w:szCs w:val="21"/>
                <w:highlight w:val="none"/>
              </w:rPr>
              <w:t>名称：</w:t>
            </w:r>
          </w:p>
          <w:p>
            <w:pPr>
              <w:pStyle w:val="14"/>
              <w:ind w:right="-10" w:rightChars="-5" w:firstLine="0" w:firstLineChars="0"/>
              <w:rPr>
                <w:rFonts w:hint="eastAsia" w:ascii="宋体" w:hAnsi="宋体"/>
                <w:color w:val="auto"/>
                <w:sz w:val="21"/>
                <w:szCs w:val="21"/>
                <w:highlight w:val="none"/>
              </w:rPr>
            </w:pPr>
            <w:r>
              <w:rPr>
                <w:rFonts w:hint="eastAsia" w:ascii="宋体" w:hAnsi="宋体"/>
                <w:color w:val="auto"/>
                <w:sz w:val="21"/>
                <w:szCs w:val="21"/>
                <w:highlight w:val="none"/>
              </w:rPr>
              <w:t>（盖章）</w:t>
            </w:r>
          </w:p>
        </w:tc>
      </w:tr>
      <w:tr>
        <w:tblPrEx>
          <w:tblCellMar>
            <w:top w:w="0" w:type="dxa"/>
            <w:left w:w="108" w:type="dxa"/>
            <w:bottom w:w="0" w:type="dxa"/>
            <w:right w:w="108" w:type="dxa"/>
          </w:tblCellMar>
        </w:tblPrEx>
        <w:trPr>
          <w:trHeight w:val="754" w:hRule="atLeast"/>
        </w:trPr>
        <w:tc>
          <w:tcPr>
            <w:tcW w:w="4593" w:type="dxa"/>
            <w:noWrap w:val="0"/>
            <w:vAlign w:val="top"/>
          </w:tcPr>
          <w:p>
            <w:pPr>
              <w:pStyle w:val="14"/>
              <w:ind w:right="-10" w:rightChars="-5" w:firstLine="0" w:firstLineChars="0"/>
              <w:rPr>
                <w:rFonts w:hint="eastAsia" w:ascii="宋体" w:hAnsi="宋体"/>
                <w:color w:val="auto"/>
                <w:sz w:val="21"/>
                <w:szCs w:val="21"/>
                <w:highlight w:val="none"/>
              </w:rPr>
            </w:pPr>
            <w:r>
              <w:rPr>
                <w:rFonts w:hint="eastAsia" w:ascii="宋体" w:hAnsi="宋体"/>
                <w:color w:val="auto"/>
                <w:sz w:val="21"/>
                <w:szCs w:val="21"/>
                <w:highlight w:val="none"/>
              </w:rPr>
              <w:t>法定代表人：</w:t>
            </w:r>
          </w:p>
          <w:p>
            <w:pPr>
              <w:pStyle w:val="14"/>
              <w:ind w:right="-10" w:rightChars="-5" w:firstLine="0" w:firstLineChars="0"/>
              <w:rPr>
                <w:rFonts w:hint="eastAsia" w:ascii="宋体" w:hAnsi="宋体"/>
                <w:color w:val="auto"/>
                <w:sz w:val="21"/>
                <w:szCs w:val="21"/>
                <w:highlight w:val="none"/>
              </w:rPr>
            </w:pPr>
          </w:p>
        </w:tc>
        <w:tc>
          <w:tcPr>
            <w:tcW w:w="4871" w:type="dxa"/>
            <w:noWrap w:val="0"/>
            <w:vAlign w:val="top"/>
          </w:tcPr>
          <w:p>
            <w:pPr>
              <w:pStyle w:val="14"/>
              <w:ind w:right="-10" w:rightChars="-5" w:firstLine="0" w:firstLineChars="0"/>
              <w:rPr>
                <w:rFonts w:hint="eastAsia" w:ascii="宋体" w:hAnsi="宋体"/>
                <w:color w:val="auto"/>
                <w:sz w:val="21"/>
                <w:szCs w:val="21"/>
                <w:highlight w:val="none"/>
              </w:rPr>
            </w:pPr>
            <w:r>
              <w:rPr>
                <w:rFonts w:hint="eastAsia" w:ascii="宋体" w:hAnsi="宋体"/>
                <w:color w:val="auto"/>
                <w:sz w:val="21"/>
                <w:szCs w:val="21"/>
                <w:highlight w:val="none"/>
              </w:rPr>
              <w:t>法定代表人：</w:t>
            </w:r>
          </w:p>
        </w:tc>
      </w:tr>
      <w:tr>
        <w:tblPrEx>
          <w:tblCellMar>
            <w:top w:w="0" w:type="dxa"/>
            <w:left w:w="108" w:type="dxa"/>
            <w:bottom w:w="0" w:type="dxa"/>
            <w:right w:w="108" w:type="dxa"/>
          </w:tblCellMar>
        </w:tblPrEx>
        <w:trPr>
          <w:trHeight w:val="677" w:hRule="atLeast"/>
        </w:trPr>
        <w:tc>
          <w:tcPr>
            <w:tcW w:w="4593" w:type="dxa"/>
            <w:noWrap w:val="0"/>
            <w:vAlign w:val="top"/>
          </w:tcPr>
          <w:p>
            <w:pPr>
              <w:pStyle w:val="14"/>
              <w:ind w:right="-10" w:rightChars="-5" w:firstLine="0" w:firstLineChars="0"/>
              <w:rPr>
                <w:rFonts w:hint="eastAsia" w:ascii="宋体" w:hAnsi="宋体"/>
                <w:color w:val="auto"/>
                <w:sz w:val="21"/>
                <w:szCs w:val="21"/>
                <w:highlight w:val="none"/>
              </w:rPr>
            </w:pPr>
            <w:r>
              <w:rPr>
                <w:rFonts w:hint="eastAsia" w:ascii="宋体" w:hAnsi="宋体"/>
                <w:color w:val="auto"/>
                <w:sz w:val="21"/>
                <w:szCs w:val="21"/>
                <w:highlight w:val="none"/>
              </w:rPr>
              <w:t>委托代理人：</w:t>
            </w:r>
          </w:p>
        </w:tc>
        <w:tc>
          <w:tcPr>
            <w:tcW w:w="4871" w:type="dxa"/>
            <w:noWrap w:val="0"/>
            <w:vAlign w:val="top"/>
          </w:tcPr>
          <w:p>
            <w:pPr>
              <w:pStyle w:val="14"/>
              <w:ind w:right="-10" w:rightChars="-5" w:firstLine="0" w:firstLineChars="0"/>
              <w:rPr>
                <w:rFonts w:hint="eastAsia" w:ascii="宋体" w:hAnsi="宋体"/>
                <w:color w:val="auto"/>
                <w:sz w:val="21"/>
                <w:szCs w:val="21"/>
                <w:highlight w:val="none"/>
              </w:rPr>
            </w:pPr>
            <w:r>
              <w:rPr>
                <w:rFonts w:hint="eastAsia" w:ascii="宋体" w:hAnsi="宋体"/>
                <w:color w:val="auto"/>
                <w:sz w:val="21"/>
                <w:szCs w:val="21"/>
                <w:highlight w:val="none"/>
              </w:rPr>
              <w:t>委托代理人：</w:t>
            </w:r>
          </w:p>
        </w:tc>
      </w:tr>
      <w:tr>
        <w:tblPrEx>
          <w:tblCellMar>
            <w:top w:w="0" w:type="dxa"/>
            <w:left w:w="108" w:type="dxa"/>
            <w:bottom w:w="0" w:type="dxa"/>
            <w:right w:w="108" w:type="dxa"/>
          </w:tblCellMar>
        </w:tblPrEx>
        <w:trPr>
          <w:trHeight w:val="724" w:hRule="atLeast"/>
        </w:trPr>
        <w:tc>
          <w:tcPr>
            <w:tcW w:w="4593" w:type="dxa"/>
            <w:noWrap w:val="0"/>
            <w:vAlign w:val="top"/>
          </w:tcPr>
          <w:p>
            <w:pPr>
              <w:pStyle w:val="14"/>
              <w:ind w:right="-10" w:rightChars="-5" w:firstLine="0" w:firstLineChars="0"/>
              <w:rPr>
                <w:rFonts w:hint="eastAsia" w:ascii="宋体" w:hAnsi="宋体"/>
                <w:color w:val="auto"/>
                <w:sz w:val="21"/>
                <w:szCs w:val="21"/>
                <w:highlight w:val="none"/>
              </w:rPr>
            </w:pPr>
            <w:r>
              <w:rPr>
                <w:rFonts w:hint="eastAsia" w:ascii="宋体" w:hAnsi="宋体"/>
                <w:color w:val="auto"/>
                <w:sz w:val="21"/>
                <w:szCs w:val="21"/>
                <w:highlight w:val="none"/>
              </w:rPr>
              <w:t>住　　所：广东省东莞市</w:t>
            </w:r>
            <w:r>
              <w:rPr>
                <w:rFonts w:hint="eastAsia" w:ascii="宋体" w:hAnsi="宋体"/>
                <w:color w:val="auto"/>
                <w:sz w:val="21"/>
                <w:szCs w:val="21"/>
                <w:highlight w:val="none"/>
                <w:lang w:val="en-US" w:eastAsia="zh-CN"/>
              </w:rPr>
              <w:t>莞城区汇峰路1号汇峰中心C区8层01单元</w:t>
            </w:r>
            <w:r>
              <w:rPr>
                <w:rFonts w:hint="eastAsia" w:ascii="宋体" w:hAnsi="宋体"/>
                <w:color w:val="auto"/>
                <w:sz w:val="21"/>
                <w:szCs w:val="21"/>
                <w:highlight w:val="none"/>
              </w:rPr>
              <w:t xml:space="preserve"> </w:t>
            </w:r>
          </w:p>
        </w:tc>
        <w:tc>
          <w:tcPr>
            <w:tcW w:w="4871" w:type="dxa"/>
            <w:noWrap w:val="0"/>
            <w:vAlign w:val="top"/>
          </w:tcPr>
          <w:p>
            <w:pPr>
              <w:pStyle w:val="14"/>
              <w:ind w:right="-10" w:rightChars="-5" w:firstLine="0" w:firstLineChars="0"/>
              <w:rPr>
                <w:rFonts w:hint="eastAsia" w:ascii="宋体" w:hAnsi="宋体"/>
                <w:color w:val="auto"/>
                <w:sz w:val="21"/>
                <w:szCs w:val="21"/>
                <w:highlight w:val="none"/>
              </w:rPr>
            </w:pPr>
            <w:r>
              <w:rPr>
                <w:rFonts w:hint="eastAsia" w:ascii="宋体" w:hAnsi="宋体"/>
                <w:color w:val="auto"/>
                <w:sz w:val="21"/>
                <w:szCs w:val="21"/>
                <w:highlight w:val="none"/>
              </w:rPr>
              <w:t>住　　所：</w:t>
            </w:r>
          </w:p>
        </w:tc>
      </w:tr>
      <w:tr>
        <w:tblPrEx>
          <w:tblCellMar>
            <w:top w:w="0" w:type="dxa"/>
            <w:left w:w="108" w:type="dxa"/>
            <w:bottom w:w="0" w:type="dxa"/>
            <w:right w:w="108" w:type="dxa"/>
          </w:tblCellMar>
        </w:tblPrEx>
        <w:trPr>
          <w:trHeight w:val="632" w:hRule="atLeast"/>
        </w:trPr>
        <w:tc>
          <w:tcPr>
            <w:tcW w:w="4593" w:type="dxa"/>
            <w:noWrap w:val="0"/>
            <w:vAlign w:val="top"/>
          </w:tcPr>
          <w:p>
            <w:pPr>
              <w:pStyle w:val="14"/>
              <w:ind w:right="-10" w:rightChars="-5" w:firstLine="0" w:firstLineChars="0"/>
              <w:rPr>
                <w:rFonts w:hint="eastAsia" w:ascii="宋体" w:hAnsi="宋体"/>
                <w:color w:val="auto"/>
                <w:sz w:val="21"/>
                <w:szCs w:val="21"/>
                <w:highlight w:val="none"/>
              </w:rPr>
            </w:pPr>
            <w:r>
              <w:rPr>
                <w:rFonts w:hint="eastAsia" w:ascii="宋体" w:hAnsi="宋体"/>
                <w:color w:val="auto"/>
                <w:sz w:val="21"/>
                <w:szCs w:val="21"/>
                <w:highlight w:val="none"/>
              </w:rPr>
              <w:t>邮政编码：</w:t>
            </w:r>
          </w:p>
        </w:tc>
        <w:tc>
          <w:tcPr>
            <w:tcW w:w="4871" w:type="dxa"/>
            <w:noWrap w:val="0"/>
            <w:vAlign w:val="top"/>
          </w:tcPr>
          <w:p>
            <w:pPr>
              <w:pStyle w:val="14"/>
              <w:ind w:right="-10" w:rightChars="-5" w:firstLine="0" w:firstLineChars="0"/>
              <w:rPr>
                <w:rFonts w:hint="eastAsia" w:ascii="宋体" w:hAnsi="宋体"/>
                <w:color w:val="auto"/>
                <w:sz w:val="21"/>
                <w:szCs w:val="21"/>
                <w:highlight w:val="none"/>
              </w:rPr>
            </w:pPr>
            <w:r>
              <w:rPr>
                <w:rFonts w:hint="eastAsia" w:ascii="宋体" w:hAnsi="宋体"/>
                <w:color w:val="auto"/>
                <w:sz w:val="21"/>
                <w:szCs w:val="21"/>
                <w:highlight w:val="none"/>
              </w:rPr>
              <w:t>邮政编码：</w:t>
            </w:r>
          </w:p>
        </w:tc>
      </w:tr>
      <w:tr>
        <w:tblPrEx>
          <w:tblCellMar>
            <w:top w:w="0" w:type="dxa"/>
            <w:left w:w="108" w:type="dxa"/>
            <w:bottom w:w="0" w:type="dxa"/>
            <w:right w:w="108" w:type="dxa"/>
          </w:tblCellMar>
        </w:tblPrEx>
        <w:trPr>
          <w:trHeight w:val="662" w:hRule="atLeast"/>
        </w:trPr>
        <w:tc>
          <w:tcPr>
            <w:tcW w:w="4593" w:type="dxa"/>
            <w:noWrap w:val="0"/>
            <w:vAlign w:val="top"/>
          </w:tcPr>
          <w:p>
            <w:pPr>
              <w:pStyle w:val="14"/>
              <w:ind w:right="-10" w:rightChars="-5" w:firstLine="0" w:firstLineChars="0"/>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联 系 人：</w:t>
            </w:r>
          </w:p>
        </w:tc>
        <w:tc>
          <w:tcPr>
            <w:tcW w:w="4871" w:type="dxa"/>
            <w:noWrap w:val="0"/>
            <w:vAlign w:val="top"/>
          </w:tcPr>
          <w:p>
            <w:pPr>
              <w:pStyle w:val="14"/>
              <w:ind w:right="-10" w:rightChars="-5" w:firstLine="0" w:firstLineChars="0"/>
              <w:rPr>
                <w:rFonts w:hint="eastAsia" w:ascii="宋体" w:hAnsi="宋体"/>
                <w:color w:val="auto"/>
                <w:sz w:val="21"/>
                <w:szCs w:val="21"/>
                <w:highlight w:val="none"/>
              </w:rPr>
            </w:pPr>
            <w:r>
              <w:rPr>
                <w:rFonts w:hint="eastAsia" w:ascii="宋体" w:hAnsi="宋体"/>
                <w:color w:val="auto"/>
                <w:sz w:val="21"/>
                <w:szCs w:val="21"/>
                <w:highlight w:val="none"/>
              </w:rPr>
              <w:t>联 系 人：</w:t>
            </w:r>
          </w:p>
        </w:tc>
      </w:tr>
      <w:tr>
        <w:tblPrEx>
          <w:tblCellMar>
            <w:top w:w="0" w:type="dxa"/>
            <w:left w:w="108" w:type="dxa"/>
            <w:bottom w:w="0" w:type="dxa"/>
            <w:right w:w="108" w:type="dxa"/>
          </w:tblCellMar>
        </w:tblPrEx>
        <w:tc>
          <w:tcPr>
            <w:tcW w:w="4593" w:type="dxa"/>
            <w:noWrap w:val="0"/>
            <w:vAlign w:val="top"/>
          </w:tcPr>
          <w:p>
            <w:pPr>
              <w:pStyle w:val="14"/>
              <w:ind w:right="-10" w:rightChars="-5" w:firstLine="0" w:firstLineChars="0"/>
              <w:rPr>
                <w:rFonts w:hint="eastAsia" w:ascii="宋体" w:hAnsi="宋体"/>
                <w:color w:val="auto"/>
                <w:sz w:val="21"/>
                <w:szCs w:val="21"/>
                <w:highlight w:val="none"/>
              </w:rPr>
            </w:pPr>
            <w:r>
              <w:rPr>
                <w:rFonts w:hint="eastAsia" w:ascii="宋体" w:hAnsi="宋体"/>
                <w:color w:val="auto"/>
                <w:sz w:val="21"/>
                <w:szCs w:val="21"/>
                <w:highlight w:val="none"/>
              </w:rPr>
              <w:t xml:space="preserve">电 </w:t>
            </w:r>
            <w:r>
              <w:rPr>
                <w:rFonts w:ascii="宋体" w:hAnsi="宋体"/>
                <w:color w:val="auto"/>
                <w:sz w:val="21"/>
                <w:szCs w:val="21"/>
                <w:highlight w:val="none"/>
              </w:rPr>
              <w:t xml:space="preserve">   </w:t>
            </w:r>
            <w:r>
              <w:rPr>
                <w:rFonts w:hint="eastAsia" w:ascii="宋体" w:hAnsi="宋体"/>
                <w:color w:val="auto"/>
                <w:sz w:val="21"/>
                <w:szCs w:val="21"/>
                <w:highlight w:val="none"/>
              </w:rPr>
              <w:t>话：</w:t>
            </w:r>
          </w:p>
          <w:p>
            <w:pPr>
              <w:rPr>
                <w:color w:val="auto"/>
                <w:szCs w:val="21"/>
              </w:rPr>
            </w:pPr>
          </w:p>
          <w:p>
            <w:pPr>
              <w:pStyle w:val="14"/>
              <w:ind w:right="-10" w:rightChars="-5" w:firstLine="0" w:firstLineChars="0"/>
              <w:rPr>
                <w:rFonts w:hint="eastAsia" w:ascii="宋体" w:hAnsi="宋体"/>
                <w:color w:val="auto"/>
                <w:sz w:val="21"/>
                <w:szCs w:val="21"/>
                <w:highlight w:val="none"/>
              </w:rPr>
            </w:pPr>
            <w:r>
              <w:rPr>
                <w:rFonts w:hint="eastAsia" w:ascii="宋体" w:hAnsi="宋体"/>
                <w:color w:val="auto"/>
                <w:sz w:val="21"/>
                <w:szCs w:val="21"/>
                <w:highlight w:val="none"/>
              </w:rPr>
              <w:t>开户银行：</w:t>
            </w:r>
          </w:p>
          <w:p>
            <w:pPr>
              <w:rPr>
                <w:color w:val="auto"/>
                <w:szCs w:val="21"/>
              </w:rPr>
            </w:pPr>
          </w:p>
          <w:p>
            <w:pPr>
              <w:pStyle w:val="14"/>
              <w:ind w:right="-10" w:rightChars="-5" w:firstLine="0" w:firstLineChars="0"/>
              <w:rPr>
                <w:rFonts w:hint="eastAsia" w:ascii="宋体" w:hAnsi="宋体"/>
                <w:color w:val="auto"/>
                <w:sz w:val="21"/>
                <w:szCs w:val="21"/>
                <w:highlight w:val="none"/>
              </w:rPr>
            </w:pPr>
            <w:r>
              <w:rPr>
                <w:rFonts w:hint="eastAsia" w:ascii="宋体" w:hAnsi="宋体"/>
                <w:color w:val="auto"/>
                <w:sz w:val="21"/>
                <w:szCs w:val="21"/>
                <w:highlight w:val="none"/>
              </w:rPr>
              <w:t>银行帐号：</w:t>
            </w:r>
          </w:p>
          <w:p>
            <w:pPr>
              <w:rPr>
                <w:color w:val="auto"/>
                <w:szCs w:val="21"/>
              </w:rPr>
            </w:pPr>
          </w:p>
          <w:p>
            <w:pPr>
              <w:pStyle w:val="14"/>
              <w:ind w:right="-10" w:rightChars="-5" w:firstLine="0" w:firstLineChars="0"/>
              <w:rPr>
                <w:rFonts w:ascii="宋体" w:hAnsi="宋体"/>
                <w:color w:val="auto"/>
                <w:sz w:val="21"/>
                <w:szCs w:val="21"/>
                <w:highlight w:val="none"/>
              </w:rPr>
            </w:pPr>
            <w:r>
              <w:rPr>
                <w:rFonts w:hint="eastAsia" w:ascii="宋体" w:hAnsi="宋体"/>
                <w:color w:val="auto"/>
                <w:sz w:val="21"/>
                <w:szCs w:val="21"/>
                <w:highlight w:val="none"/>
              </w:rPr>
              <w:t>日期：　</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　年　</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 xml:space="preserve"> 月　</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 xml:space="preserve"> 日</w:t>
            </w:r>
          </w:p>
          <w:p>
            <w:pPr>
              <w:pStyle w:val="14"/>
              <w:ind w:right="-10" w:rightChars="-5" w:firstLine="0" w:firstLineChars="0"/>
              <w:rPr>
                <w:rFonts w:ascii="宋体" w:hAnsi="宋体"/>
                <w:color w:val="auto"/>
                <w:sz w:val="21"/>
                <w:szCs w:val="21"/>
                <w:highlight w:val="none"/>
              </w:rPr>
            </w:pPr>
          </w:p>
          <w:p>
            <w:pPr>
              <w:pStyle w:val="14"/>
              <w:ind w:right="-10" w:rightChars="-5" w:firstLine="0" w:firstLineChars="0"/>
              <w:rPr>
                <w:rFonts w:ascii="宋体" w:hAnsi="宋体"/>
                <w:color w:val="auto"/>
                <w:sz w:val="21"/>
                <w:szCs w:val="21"/>
                <w:highlight w:val="none"/>
              </w:rPr>
            </w:pPr>
          </w:p>
          <w:p>
            <w:pPr>
              <w:pStyle w:val="14"/>
              <w:ind w:right="-10" w:rightChars="-5" w:firstLine="0" w:firstLineChars="0"/>
              <w:rPr>
                <w:rFonts w:ascii="宋体" w:hAnsi="宋体"/>
                <w:color w:val="auto"/>
                <w:sz w:val="21"/>
                <w:szCs w:val="21"/>
                <w:highlight w:val="none"/>
              </w:rPr>
            </w:pPr>
          </w:p>
          <w:p>
            <w:pPr>
              <w:pStyle w:val="14"/>
              <w:ind w:right="-10" w:rightChars="-5" w:firstLine="0" w:firstLineChars="0"/>
              <w:rPr>
                <w:rFonts w:hint="eastAsia" w:ascii="宋体" w:hAnsi="宋体"/>
                <w:color w:val="auto"/>
                <w:sz w:val="21"/>
                <w:szCs w:val="21"/>
                <w:highlight w:val="none"/>
              </w:rPr>
            </w:pPr>
          </w:p>
          <w:p>
            <w:pPr>
              <w:pStyle w:val="14"/>
              <w:ind w:right="-10" w:rightChars="-5" w:firstLine="0" w:firstLineChars="0"/>
              <w:rPr>
                <w:rFonts w:hint="eastAsia" w:ascii="宋体" w:hAnsi="宋体"/>
                <w:color w:val="auto"/>
                <w:sz w:val="21"/>
                <w:szCs w:val="21"/>
                <w:highlight w:val="none"/>
              </w:rPr>
            </w:pPr>
          </w:p>
        </w:tc>
        <w:tc>
          <w:tcPr>
            <w:tcW w:w="4871" w:type="dxa"/>
            <w:noWrap w:val="0"/>
            <w:vAlign w:val="top"/>
          </w:tcPr>
          <w:p>
            <w:pPr>
              <w:pStyle w:val="14"/>
              <w:ind w:right="-10" w:rightChars="-5" w:firstLine="0" w:firstLineChars="0"/>
              <w:rPr>
                <w:rFonts w:ascii="宋体" w:hAnsi="宋体"/>
                <w:color w:val="auto"/>
                <w:sz w:val="21"/>
                <w:szCs w:val="21"/>
                <w:highlight w:val="none"/>
              </w:rPr>
            </w:pPr>
            <w:r>
              <w:rPr>
                <w:rFonts w:hint="eastAsia" w:ascii="宋体" w:hAnsi="宋体"/>
                <w:color w:val="auto"/>
                <w:sz w:val="21"/>
                <w:szCs w:val="21"/>
                <w:highlight w:val="none"/>
              </w:rPr>
              <w:t xml:space="preserve">电 </w:t>
            </w:r>
            <w:r>
              <w:rPr>
                <w:rFonts w:ascii="宋体" w:hAnsi="宋体"/>
                <w:color w:val="auto"/>
                <w:sz w:val="21"/>
                <w:szCs w:val="21"/>
                <w:highlight w:val="none"/>
              </w:rPr>
              <w:t xml:space="preserve">   </w:t>
            </w:r>
            <w:r>
              <w:rPr>
                <w:rFonts w:hint="eastAsia" w:ascii="宋体" w:hAnsi="宋体"/>
                <w:color w:val="auto"/>
                <w:sz w:val="21"/>
                <w:szCs w:val="21"/>
                <w:highlight w:val="none"/>
              </w:rPr>
              <w:t>话：</w:t>
            </w:r>
          </w:p>
          <w:p>
            <w:pPr>
              <w:pStyle w:val="14"/>
              <w:ind w:right="-10" w:rightChars="-5" w:firstLine="0" w:firstLineChars="0"/>
              <w:rPr>
                <w:rFonts w:hint="eastAsia" w:ascii="宋体" w:hAnsi="宋体"/>
                <w:color w:val="auto"/>
                <w:sz w:val="21"/>
                <w:szCs w:val="21"/>
                <w:highlight w:val="none"/>
              </w:rPr>
            </w:pPr>
          </w:p>
          <w:p>
            <w:pPr>
              <w:pStyle w:val="14"/>
              <w:ind w:right="-10" w:rightChars="-5" w:firstLine="0" w:firstLineChars="0"/>
              <w:rPr>
                <w:rFonts w:ascii="宋体" w:hAnsi="宋体"/>
                <w:color w:val="auto"/>
                <w:sz w:val="21"/>
                <w:szCs w:val="21"/>
                <w:highlight w:val="none"/>
              </w:rPr>
            </w:pPr>
            <w:r>
              <w:rPr>
                <w:rFonts w:hint="eastAsia" w:ascii="宋体" w:hAnsi="宋体"/>
                <w:color w:val="auto"/>
                <w:sz w:val="21"/>
                <w:szCs w:val="21"/>
                <w:highlight w:val="none"/>
              </w:rPr>
              <w:t>开户银行：</w:t>
            </w:r>
          </w:p>
          <w:p>
            <w:pPr>
              <w:pStyle w:val="14"/>
              <w:ind w:right="-10" w:rightChars="-5" w:firstLine="0" w:firstLineChars="0"/>
              <w:rPr>
                <w:rFonts w:hint="eastAsia" w:ascii="宋体" w:hAnsi="宋体"/>
                <w:color w:val="auto"/>
                <w:sz w:val="21"/>
                <w:szCs w:val="21"/>
                <w:highlight w:val="none"/>
              </w:rPr>
            </w:pPr>
          </w:p>
          <w:p>
            <w:pPr>
              <w:pStyle w:val="14"/>
              <w:ind w:right="-10" w:rightChars="-5" w:firstLine="0" w:firstLineChars="0"/>
              <w:rPr>
                <w:rFonts w:ascii="宋体" w:hAnsi="宋体"/>
                <w:color w:val="auto"/>
                <w:sz w:val="21"/>
                <w:szCs w:val="21"/>
                <w:highlight w:val="none"/>
              </w:rPr>
            </w:pPr>
            <w:r>
              <w:rPr>
                <w:rFonts w:hint="eastAsia" w:ascii="宋体" w:hAnsi="宋体"/>
                <w:color w:val="auto"/>
                <w:sz w:val="21"/>
                <w:szCs w:val="21"/>
                <w:highlight w:val="none"/>
              </w:rPr>
              <w:t>银行帐号：</w:t>
            </w:r>
          </w:p>
          <w:p>
            <w:pPr>
              <w:pStyle w:val="14"/>
              <w:ind w:right="-10" w:rightChars="-5" w:firstLine="0" w:firstLineChars="0"/>
              <w:rPr>
                <w:rFonts w:hint="eastAsia" w:ascii="宋体" w:hAnsi="宋体"/>
                <w:color w:val="auto"/>
                <w:sz w:val="21"/>
                <w:szCs w:val="21"/>
                <w:highlight w:val="none"/>
              </w:rPr>
            </w:pPr>
          </w:p>
          <w:p>
            <w:pPr>
              <w:pStyle w:val="14"/>
              <w:ind w:right="-10" w:rightChars="-5" w:firstLine="0" w:firstLineChars="0"/>
              <w:rPr>
                <w:rFonts w:ascii="宋体" w:hAnsi="宋体"/>
                <w:color w:val="auto"/>
                <w:sz w:val="21"/>
                <w:szCs w:val="21"/>
                <w:highlight w:val="none"/>
              </w:rPr>
            </w:pPr>
            <w:r>
              <w:rPr>
                <w:rFonts w:hint="eastAsia" w:ascii="宋体" w:hAnsi="宋体"/>
                <w:color w:val="auto"/>
                <w:sz w:val="21"/>
                <w:szCs w:val="21"/>
                <w:highlight w:val="none"/>
              </w:rPr>
              <w:t>日期：　　</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年</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　 月　</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 xml:space="preserve"> 日</w:t>
            </w:r>
          </w:p>
          <w:p>
            <w:pPr>
              <w:pStyle w:val="14"/>
              <w:ind w:right="-10" w:rightChars="-5" w:firstLine="0" w:firstLineChars="0"/>
              <w:rPr>
                <w:rFonts w:hint="eastAsia" w:ascii="宋体" w:hAnsi="宋体"/>
                <w:color w:val="auto"/>
                <w:sz w:val="21"/>
                <w:szCs w:val="21"/>
                <w:highlight w:val="none"/>
              </w:rPr>
            </w:pPr>
          </w:p>
          <w:p>
            <w:pPr>
              <w:pStyle w:val="14"/>
              <w:ind w:right="-10" w:rightChars="-5" w:firstLine="0" w:firstLineChars="0"/>
              <w:rPr>
                <w:rFonts w:ascii="宋体" w:hAnsi="宋体"/>
                <w:color w:val="auto"/>
                <w:sz w:val="21"/>
                <w:szCs w:val="21"/>
                <w:highlight w:val="none"/>
              </w:rPr>
            </w:pPr>
          </w:p>
          <w:p>
            <w:pPr>
              <w:pStyle w:val="14"/>
              <w:ind w:right="-10" w:rightChars="-5" w:firstLine="0" w:firstLineChars="0"/>
              <w:rPr>
                <w:rFonts w:ascii="宋体" w:hAnsi="宋体"/>
                <w:color w:val="auto"/>
                <w:sz w:val="21"/>
                <w:szCs w:val="21"/>
                <w:highlight w:val="none"/>
              </w:rPr>
            </w:pPr>
          </w:p>
          <w:p>
            <w:pPr>
              <w:pStyle w:val="14"/>
              <w:ind w:right="-10" w:rightChars="-5" w:firstLine="0" w:firstLineChars="0"/>
              <w:rPr>
                <w:rFonts w:hint="eastAsia" w:ascii="宋体" w:hAnsi="宋体"/>
                <w:color w:val="auto"/>
                <w:sz w:val="21"/>
                <w:szCs w:val="21"/>
                <w:highlight w:val="none"/>
              </w:rPr>
            </w:pPr>
          </w:p>
          <w:p>
            <w:pPr>
              <w:pStyle w:val="14"/>
              <w:ind w:right="-10" w:rightChars="-5" w:firstLine="0" w:firstLineChars="0"/>
              <w:rPr>
                <w:rFonts w:hint="eastAsia" w:ascii="宋体" w:hAnsi="宋体"/>
                <w:color w:val="auto"/>
                <w:sz w:val="21"/>
                <w:szCs w:val="21"/>
                <w:highlight w:val="none"/>
              </w:rPr>
            </w:pPr>
          </w:p>
        </w:tc>
      </w:tr>
    </w:tbl>
    <w:p>
      <w:pPr>
        <w:keepNext w:val="0"/>
        <w:keepLines w:val="0"/>
        <w:pageBreakBefore w:val="0"/>
        <w:kinsoku/>
        <w:wordWrap/>
        <w:overflowPunct/>
        <w:topLinePunct w:val="0"/>
        <w:autoSpaceDE w:val="0"/>
        <w:autoSpaceDN w:val="0"/>
        <w:bidi w:val="0"/>
        <w:adjustRightInd w:val="0"/>
        <w:snapToGrid/>
        <w:spacing w:line="360" w:lineRule="exact"/>
        <w:textAlignment w:val="auto"/>
        <w:rPr>
          <w:rFonts w:hint="eastAsia" w:ascii="宋体" w:hAnsi="宋体" w:eastAsia="宋体" w:cs="宋体"/>
          <w:b/>
          <w:color w:val="auto"/>
          <w:szCs w:val="21"/>
        </w:rPr>
      </w:pPr>
      <w:r>
        <w:rPr>
          <w:rFonts w:hint="eastAsia" w:ascii="宋体" w:hAnsi="宋体" w:eastAsia="宋体" w:cs="宋体"/>
          <w:color w:val="auto"/>
          <w:sz w:val="21"/>
          <w:szCs w:val="21"/>
        </w:rPr>
        <w:br w:type="page"/>
      </w:r>
      <w:bookmarkStart w:id="41" w:name="_Toc109914426"/>
      <w:bookmarkStart w:id="42" w:name="_Toc97717277"/>
      <w:bookmarkStart w:id="43" w:name="_Toc97339363"/>
      <w:r>
        <w:rPr>
          <w:rFonts w:hint="eastAsia" w:ascii="宋体" w:hAnsi="宋体" w:eastAsia="宋体" w:cs="宋体"/>
          <w:b/>
          <w:color w:val="auto"/>
          <w:szCs w:val="21"/>
        </w:rPr>
        <w:t>附件1：阳光合作协议</w:t>
      </w:r>
      <w:bookmarkEnd w:id="41"/>
      <w:bookmarkEnd w:id="42"/>
      <w:bookmarkEnd w:id="43"/>
    </w:p>
    <w:p>
      <w:pPr>
        <w:keepNext w:val="0"/>
        <w:keepLines w:val="0"/>
        <w:pageBreakBefore w:val="0"/>
        <w:widowControl/>
        <w:kinsoku/>
        <w:wordWrap/>
        <w:overflowPunct/>
        <w:topLinePunct w:val="0"/>
        <w:autoSpaceDE w:val="0"/>
        <w:autoSpaceDN w:val="0"/>
        <w:bidi w:val="0"/>
        <w:adjustRightInd w:val="0"/>
        <w:snapToGrid/>
        <w:spacing w:line="360" w:lineRule="exact"/>
        <w:jc w:val="center"/>
        <w:textAlignment w:val="auto"/>
        <w:rPr>
          <w:rFonts w:hint="eastAsia" w:ascii="宋体" w:hAnsi="宋体" w:eastAsia="宋体" w:cs="宋体"/>
          <w:b/>
          <w:bCs/>
          <w:color w:val="auto"/>
          <w:sz w:val="36"/>
          <w:szCs w:val="36"/>
        </w:rPr>
      </w:pPr>
      <w:r>
        <w:rPr>
          <w:rFonts w:hint="eastAsia" w:ascii="宋体" w:hAnsi="宋体" w:eastAsia="宋体" w:cs="宋体"/>
          <w:b/>
          <w:bCs/>
          <w:color w:val="auto"/>
          <w:sz w:val="36"/>
          <w:szCs w:val="36"/>
        </w:rPr>
        <w:t>阳光合作协议</w:t>
      </w:r>
    </w:p>
    <w:p>
      <w:pPr>
        <w:keepNext w:val="0"/>
        <w:keepLines w:val="0"/>
        <w:pageBreakBefore w:val="0"/>
        <w:kinsoku/>
        <w:wordWrap/>
        <w:overflowPunct/>
        <w:topLinePunct w:val="0"/>
        <w:autoSpaceDE w:val="0"/>
        <w:autoSpaceDN w:val="0"/>
        <w:bidi w:val="0"/>
        <w:adjustRightInd w:val="0"/>
        <w:snapToGrid/>
        <w:spacing w:line="360" w:lineRule="exact"/>
        <w:ind w:firstLine="422" w:firstLineChars="200"/>
        <w:textAlignment w:val="auto"/>
        <w:rPr>
          <w:rFonts w:hint="eastAsia" w:ascii="宋体" w:hAnsi="宋体" w:eastAsia="宋体" w:cs="宋体"/>
          <w:b/>
          <w:color w:val="auto"/>
          <w:szCs w:val="21"/>
        </w:rPr>
      </w:pPr>
    </w:p>
    <w:p>
      <w:pPr>
        <w:keepNext w:val="0"/>
        <w:keepLines w:val="0"/>
        <w:pageBreakBefore w:val="0"/>
        <w:kinsoku/>
        <w:wordWrap/>
        <w:overflowPunct/>
        <w:topLinePunct w:val="0"/>
        <w:autoSpaceDE w:val="0"/>
        <w:autoSpaceDN w:val="0"/>
        <w:bidi w:val="0"/>
        <w:adjustRightInd w:val="0"/>
        <w:snapToGrid/>
        <w:spacing w:line="360" w:lineRule="exact"/>
        <w:ind w:firstLine="420" w:firstLineChars="200"/>
        <w:contextualSpacing/>
        <w:textAlignment w:val="auto"/>
        <w:rPr>
          <w:rFonts w:hint="eastAsia" w:ascii="宋体" w:hAnsi="宋体" w:eastAsia="宋体" w:cs="宋体"/>
          <w:color w:val="auto"/>
          <w:szCs w:val="21"/>
        </w:rPr>
      </w:pPr>
      <w:r>
        <w:rPr>
          <w:rFonts w:hint="eastAsia" w:ascii="宋体" w:hAnsi="宋体" w:eastAsia="宋体" w:cs="宋体"/>
          <w:color w:val="auto"/>
          <w:szCs w:val="21"/>
        </w:rPr>
        <w:t>甲方（采购方全称）：</w:t>
      </w:r>
      <w:r>
        <w:rPr>
          <w:rFonts w:hint="eastAsia" w:ascii="宋体" w:hAnsi="宋体" w:eastAsia="宋体" w:cs="宋体"/>
          <w:color w:val="auto"/>
          <w:szCs w:val="21"/>
          <w:u w:val="single"/>
        </w:rPr>
        <w:t>东莞市莞城建筑工程有限公司</w:t>
      </w:r>
    </w:p>
    <w:p>
      <w:pPr>
        <w:keepNext w:val="0"/>
        <w:keepLines w:val="0"/>
        <w:pageBreakBefore w:val="0"/>
        <w:kinsoku/>
        <w:wordWrap/>
        <w:overflowPunct/>
        <w:topLinePunct w:val="0"/>
        <w:autoSpaceDE w:val="0"/>
        <w:autoSpaceDN w:val="0"/>
        <w:bidi w:val="0"/>
        <w:adjustRightInd w:val="0"/>
        <w:snapToGrid/>
        <w:spacing w:line="360" w:lineRule="exact"/>
        <w:ind w:left="6665" w:leftChars="174" w:hanging="6300" w:hangingChars="3000"/>
        <w:textAlignment w:val="auto"/>
        <w:rPr>
          <w:rFonts w:hint="eastAsia" w:ascii="宋体" w:hAnsi="宋体" w:eastAsia="宋体" w:cs="宋体"/>
          <w:color w:val="auto"/>
          <w:szCs w:val="21"/>
        </w:rPr>
      </w:pPr>
      <w:r>
        <w:rPr>
          <w:rFonts w:hint="eastAsia" w:ascii="宋体" w:hAnsi="宋体" w:eastAsia="宋体" w:cs="宋体"/>
          <w:color w:val="auto"/>
          <w:szCs w:val="21"/>
        </w:rPr>
        <w:t>乙方（供应方全称）：</w:t>
      </w:r>
      <w:r>
        <w:rPr>
          <w:rFonts w:hint="eastAsia" w:hAnsi="宋体" w:cs="宋体"/>
          <w:color w:val="auto"/>
          <w:szCs w:val="21"/>
          <w:u w:val="single"/>
          <w:lang w:val="en-US" w:eastAsia="zh-CN"/>
        </w:rPr>
        <w:t xml:space="preserve">                          </w:t>
      </w:r>
      <w:r>
        <w:rPr>
          <w:rFonts w:hint="eastAsia" w:ascii="宋体" w:hAnsi="宋体" w:eastAsia="宋体" w:cs="宋体"/>
          <w:color w:val="auto"/>
          <w:szCs w:val="21"/>
          <w:u w:val="single"/>
        </w:rPr>
        <w:t xml:space="preserve"> </w:t>
      </w:r>
    </w:p>
    <w:p>
      <w:pPr>
        <w:keepNext w:val="0"/>
        <w:keepLines w:val="0"/>
        <w:pageBreakBefore w:val="0"/>
        <w:kinsoku/>
        <w:wordWrap/>
        <w:overflowPunct/>
        <w:topLinePunct w:val="0"/>
        <w:autoSpaceDE w:val="0"/>
        <w:autoSpaceDN w:val="0"/>
        <w:bidi w:val="0"/>
        <w:adjustRightInd w:val="0"/>
        <w:snapToGrid/>
        <w:spacing w:line="360" w:lineRule="exact"/>
        <w:ind w:firstLine="420" w:firstLineChars="200"/>
        <w:contextualSpacing/>
        <w:textAlignment w:val="auto"/>
        <w:rPr>
          <w:rFonts w:hint="eastAsia" w:ascii="宋体" w:hAnsi="宋体" w:eastAsia="宋体" w:cs="宋体"/>
          <w:color w:val="auto"/>
          <w:szCs w:val="21"/>
        </w:rPr>
      </w:pPr>
    </w:p>
    <w:p>
      <w:pPr>
        <w:keepNext w:val="0"/>
        <w:keepLines w:val="0"/>
        <w:pageBreakBefore w:val="0"/>
        <w:kinsoku/>
        <w:wordWrap/>
        <w:overflowPunct/>
        <w:topLinePunct w:val="0"/>
        <w:autoSpaceDE w:val="0"/>
        <w:autoSpaceDN w:val="0"/>
        <w:bidi w:val="0"/>
        <w:adjustRightInd w:val="0"/>
        <w:snapToGrid/>
        <w:spacing w:line="360" w:lineRule="exact"/>
        <w:ind w:firstLine="420" w:firstLineChars="200"/>
        <w:contextualSpacing/>
        <w:textAlignment w:val="auto"/>
        <w:rPr>
          <w:rFonts w:hint="eastAsia" w:ascii="宋体" w:hAnsi="宋体" w:eastAsia="宋体" w:cs="宋体"/>
          <w:color w:val="auto"/>
          <w:szCs w:val="21"/>
        </w:rPr>
      </w:pPr>
      <w:r>
        <w:rPr>
          <w:rFonts w:hint="eastAsia" w:ascii="宋体" w:hAnsi="宋体" w:eastAsia="宋体" w:cs="宋体"/>
          <w:color w:val="auto"/>
          <w:szCs w:val="21"/>
        </w:rPr>
        <w:t>甲乙双方于</w:t>
      </w:r>
      <w:r>
        <w:rPr>
          <w:rFonts w:hint="eastAsia" w:hAnsi="宋体" w:cs="宋体"/>
          <w:color w:val="auto"/>
          <w:szCs w:val="21"/>
          <w:u w:val="single"/>
          <w:lang w:val="en-US" w:eastAsia="zh-CN"/>
        </w:rPr>
        <w:t xml:space="preserve"> </w:t>
      </w:r>
      <w:r>
        <w:rPr>
          <w:rFonts w:hint="eastAsia" w:ascii="宋体" w:hAnsi="宋体" w:eastAsia="宋体" w:cs="宋体"/>
          <w:color w:val="auto"/>
          <w:szCs w:val="21"/>
          <w:u w:val="single"/>
        </w:rPr>
        <w:t>202</w:t>
      </w:r>
      <w:r>
        <w:rPr>
          <w:rFonts w:hint="eastAsia" w:ascii="宋体" w:hAnsi="宋体" w:cs="宋体"/>
          <w:color w:val="auto"/>
          <w:szCs w:val="21"/>
          <w:u w:val="single"/>
          <w:lang w:val="en-US" w:eastAsia="zh-CN"/>
        </w:rPr>
        <w:t>3</w:t>
      </w:r>
      <w:r>
        <w:rPr>
          <w:rFonts w:hint="eastAsia" w:ascii="宋体" w:hAnsi="宋体" w:eastAsia="宋体" w:cs="宋体"/>
          <w:color w:val="auto"/>
          <w:szCs w:val="21"/>
          <w:u w:val="single"/>
        </w:rPr>
        <w:t>年  月   日</w:t>
      </w:r>
      <w:r>
        <w:rPr>
          <w:rFonts w:hint="eastAsia" w:hAnsi="宋体" w:cs="宋体"/>
          <w:color w:val="auto"/>
          <w:szCs w:val="21"/>
          <w:u w:val="single"/>
          <w:lang w:val="en-US" w:eastAsia="zh-CN"/>
        </w:rPr>
        <w:t xml:space="preserve"> </w:t>
      </w:r>
      <w:r>
        <w:rPr>
          <w:rFonts w:hint="eastAsia" w:ascii="宋体" w:hAnsi="宋体" w:eastAsia="宋体" w:cs="宋体"/>
          <w:color w:val="auto"/>
          <w:szCs w:val="21"/>
        </w:rPr>
        <w:t>签署了</w:t>
      </w:r>
      <w:r>
        <w:rPr>
          <w:rFonts w:hint="eastAsia" w:hAnsi="宋体" w:cs="宋体"/>
          <w:color w:val="auto"/>
          <w:szCs w:val="21"/>
          <w:u w:val="single"/>
          <w:lang w:val="en-US" w:eastAsia="zh-CN"/>
        </w:rPr>
        <w:t xml:space="preserve"> </w:t>
      </w:r>
      <w:r>
        <w:rPr>
          <w:rFonts w:hint="eastAsia" w:ascii="宋体" w:hAnsi="宋体" w:eastAsia="宋体" w:cs="宋体"/>
          <w:color w:val="auto"/>
          <w:szCs w:val="21"/>
          <w:u w:val="single"/>
        </w:rPr>
        <w:t>广东省东莞市城区配套物流仓储建设项目-基坑监测服务</w:t>
      </w:r>
      <w:r>
        <w:rPr>
          <w:rFonts w:hint="eastAsia" w:hAnsi="宋体" w:cs="宋体"/>
          <w:color w:val="auto"/>
          <w:szCs w:val="21"/>
          <w:u w:val="single"/>
          <w:lang w:val="en-US" w:eastAsia="zh-CN"/>
        </w:rPr>
        <w:t xml:space="preserve">合同 </w:t>
      </w:r>
      <w:r>
        <w:rPr>
          <w:rFonts w:hint="eastAsia" w:ascii="宋体" w:hAnsi="宋体" w:eastAsia="宋体" w:cs="宋体"/>
          <w:color w:val="auto"/>
          <w:szCs w:val="21"/>
        </w:rPr>
        <w:t>（以下简称原合同），为加强双方阳光合作，保证职员职业安全，甲乙双方经协商签订本协议并作为双方共同遵守的阳光合作行为准则。</w:t>
      </w:r>
    </w:p>
    <w:p>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ascii="宋体" w:hAnsi="宋体"/>
          <w:b/>
          <w:color w:val="auto"/>
        </w:rPr>
      </w:pPr>
      <w:r>
        <w:rPr>
          <w:rFonts w:hint="eastAsia" w:ascii="宋体" w:hAnsi="宋体"/>
          <w:b/>
          <w:color w:val="auto"/>
          <w:lang w:val="en-US" w:eastAsia="zh-CN"/>
        </w:rPr>
        <w:t>一、</w:t>
      </w:r>
      <w:r>
        <w:rPr>
          <w:rFonts w:hint="eastAsia" w:ascii="宋体" w:hAnsi="宋体"/>
          <w:b/>
          <w:color w:val="auto"/>
        </w:rPr>
        <w:t>甲方责任</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1.甲方有责任向乙方介绍本单位有关采购管理通用原则和本协议的规定。</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2.甲方有责任对本单位相关人员进行阳光合作教育。</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 xml:space="preserve">3.甲方人员应严格遵守本单位有关阳光合作管理的规定，不得接受乙方任何形式的回扣、实物、现金、有价证券、礼券等有价物品，不得参加乙方提供的旅游或其他可能影响职务行为公正履行的活动。 </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4.甲方人员如违反阳光合作管理制度及本协议规定，甲方视情节轻重、影响大小给予行政及经济处罚。</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5．对于乙方举报甲方人员违反阳光合作规定的情况，甲方应及时进行调查，根据调查情况进行处理，并将调查结果向乙方反馈。</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6.接受举报的一方应为举报方保密，不得对举报方进行报复，对举报属实和严格遵守《阳光合作协议》的合作方，在同等条件下给予后续合作的优先权。</w:t>
      </w:r>
    </w:p>
    <w:p>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ascii="宋体" w:hAnsi="宋体"/>
          <w:b/>
          <w:color w:val="auto"/>
        </w:rPr>
      </w:pPr>
      <w:r>
        <w:rPr>
          <w:rFonts w:hint="eastAsia" w:ascii="宋体" w:hAnsi="宋体"/>
          <w:b/>
          <w:color w:val="auto"/>
          <w:lang w:val="en-US" w:eastAsia="zh-CN"/>
        </w:rPr>
        <w:t>二、</w:t>
      </w:r>
      <w:r>
        <w:rPr>
          <w:rFonts w:hint="eastAsia" w:ascii="宋体" w:hAnsi="宋体"/>
          <w:b/>
          <w:color w:val="auto"/>
        </w:rPr>
        <w:t>乙方责任</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1.乙方应保证乙方人员了解甲方有关采购管理通用原则和及本协议的规定，并遵照执行。</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2.乙方不得以任何形式给予甲方人员回扣、赠送实物、现金、有价证券、礼券等有价物品或提供旅游等其他可能影响职务行为公正履行的活动（以下统称“财物”）。</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3.乙方有责任接受甲方对乙方在合作期间阳光合作管理执行情况的监督，并对甲方相关调查工作主动配合。</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4.乙方有义务就甲方人员任何形式的索取或收受财物行为及时向甲方（直接联系人为东莞实业投资控股集团有限公司</w:t>
      </w:r>
      <w:r>
        <w:rPr>
          <w:rFonts w:hint="eastAsia" w:ascii="宋体" w:hAnsi="宋体"/>
          <w:color w:val="auto"/>
          <w:lang w:val="en-US" w:eastAsia="zh-CN"/>
        </w:rPr>
        <w:t>法律合规</w:t>
      </w:r>
      <w:r>
        <w:rPr>
          <w:rFonts w:hint="eastAsia" w:ascii="宋体" w:hAnsi="宋体"/>
          <w:color w:val="auto"/>
        </w:rPr>
        <w:t>部）举报。如乙方或其人员向甲方人员给予财物，或甲方人员向乙方索取财物，乙方满足其要求并且未向甲方举报的，一经查实（包括但不限于被甲方核实属实，或者被司法机关或第三方核实属实的），甲方将在内部通报；乙方除应向甲方赔偿由此给甲方造成的损失外，乙方还应向甲方支付相当于原合同总价的10%的违约金，并对乙方知情不报人员进行相应处罚；连续出现2次及以上类似情况或者如因乙方在合作期间贿赂甲方人员，被司法机关立案查处核实属实的，甲方有权解除原合同，如甲方解除原合同的，则乙方应退还甲方所支付的所有款项并按原合同与本合同约定承担违约责任，且五年之内不得作为东实集团（东莞实业投资控股集团有限公司及下属子公司）合格供应商。</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5．甲方接受乙方实名或匿名举报，保证为举报者的信息保密，常设举报部门及电</w:t>
      </w:r>
      <w:r>
        <w:rPr>
          <w:rFonts w:hint="eastAsia" w:ascii="宋体" w:hAnsi="宋体" w:eastAsia="宋体"/>
          <w:color w:val="auto"/>
          <w:lang w:val="en-US" w:eastAsia="zh-CN"/>
        </w:rPr>
        <w:t>话</w:t>
      </w:r>
      <w:r>
        <w:rPr>
          <w:rFonts w:hint="eastAsia" w:ascii="宋体" w:hAnsi="宋体"/>
          <w:color w:val="auto"/>
        </w:rPr>
        <w:t xml:space="preserve">： </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举报受理部门：东莞实业投资控股集团有限公司</w:t>
      </w:r>
      <w:r>
        <w:rPr>
          <w:rFonts w:hint="eastAsia" w:ascii="宋体" w:hAnsi="宋体"/>
          <w:color w:val="auto"/>
          <w:lang w:val="en-US" w:eastAsia="zh-CN"/>
        </w:rPr>
        <w:t>法律合规</w:t>
      </w:r>
      <w:r>
        <w:rPr>
          <w:rFonts w:hint="eastAsia" w:ascii="宋体" w:hAnsi="宋体"/>
          <w:color w:val="auto"/>
        </w:rPr>
        <w:t>部</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东实集团举报邮箱：dgsyxf@163.com</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东实集团举报电话：0769-28820703（周一至周五9:00-12:00和14:00-18:00）</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rPr>
      </w:pPr>
      <w:r>
        <w:rPr>
          <w:rFonts w:hint="eastAsia" w:ascii="宋体" w:hAnsi="宋体"/>
          <w:color w:val="auto"/>
        </w:rPr>
        <w:t>邮寄地址：东莞市东城区八一路1号机关二号大院9号楼，东莞实业投资控股集团有限公司</w:t>
      </w:r>
      <w:r>
        <w:rPr>
          <w:rFonts w:hint="eastAsia" w:ascii="宋体" w:hAnsi="宋体"/>
          <w:color w:val="auto"/>
          <w:lang w:val="en-US" w:eastAsia="zh-CN"/>
        </w:rPr>
        <w:t>法律合规</w:t>
      </w:r>
      <w:r>
        <w:rPr>
          <w:rFonts w:hint="eastAsia" w:ascii="宋体" w:hAnsi="宋体"/>
          <w:color w:val="auto"/>
        </w:rPr>
        <w:t>部收，邮编523000。</w:t>
      </w:r>
    </w:p>
    <w:p>
      <w:pPr>
        <w:keepNext w:val="0"/>
        <w:keepLines w:val="0"/>
        <w:pageBreakBefore w:val="0"/>
        <w:kinsoku/>
        <w:wordWrap/>
        <w:overflowPunct/>
        <w:topLinePunct w:val="0"/>
        <w:autoSpaceDE w:val="0"/>
        <w:autoSpaceDN w:val="0"/>
        <w:bidi w:val="0"/>
        <w:adjustRightInd w:val="0"/>
        <w:snapToGrid/>
        <w:spacing w:line="360" w:lineRule="exact"/>
        <w:ind w:firstLine="422" w:firstLineChars="200"/>
        <w:contextualSpacing/>
        <w:textAlignment w:val="auto"/>
        <w:rPr>
          <w:rFonts w:hint="eastAsia" w:ascii="宋体" w:hAnsi="宋体" w:eastAsia="宋体" w:cs="宋体"/>
          <w:b/>
          <w:color w:val="auto"/>
          <w:szCs w:val="21"/>
        </w:rPr>
      </w:pPr>
      <w:r>
        <w:rPr>
          <w:rFonts w:hint="eastAsia" w:ascii="宋体" w:hAnsi="宋体" w:eastAsia="宋体" w:cs="宋体"/>
          <w:b/>
          <w:color w:val="auto"/>
          <w:szCs w:val="21"/>
        </w:rPr>
        <w:t>三、其他</w:t>
      </w:r>
    </w:p>
    <w:p>
      <w:pPr>
        <w:keepNext w:val="0"/>
        <w:keepLines w:val="0"/>
        <w:pageBreakBefore w:val="0"/>
        <w:kinsoku/>
        <w:wordWrap/>
        <w:overflowPunct/>
        <w:topLinePunct w:val="0"/>
        <w:autoSpaceDE w:val="0"/>
        <w:autoSpaceDN w:val="0"/>
        <w:bidi w:val="0"/>
        <w:adjustRightInd w:val="0"/>
        <w:snapToGrid/>
        <w:spacing w:line="360" w:lineRule="exact"/>
        <w:ind w:firstLine="420" w:firstLineChars="200"/>
        <w:contextualSpacing/>
        <w:textAlignment w:val="auto"/>
        <w:rPr>
          <w:rFonts w:hint="eastAsia" w:ascii="宋体" w:hAnsi="宋体" w:eastAsia="宋体" w:cs="宋体"/>
          <w:color w:val="auto"/>
          <w:szCs w:val="21"/>
        </w:rPr>
      </w:pPr>
      <w:r>
        <w:rPr>
          <w:rFonts w:hint="eastAsia" w:ascii="宋体" w:hAnsi="宋体" w:eastAsia="宋体" w:cs="宋体"/>
          <w:color w:val="auto"/>
          <w:szCs w:val="21"/>
        </w:rPr>
        <w:t>1.本协议是原合同的补充协议，与原合同有同等法律效力。</w:t>
      </w:r>
    </w:p>
    <w:p>
      <w:pPr>
        <w:keepNext w:val="0"/>
        <w:keepLines w:val="0"/>
        <w:pageBreakBefore w:val="0"/>
        <w:kinsoku/>
        <w:wordWrap/>
        <w:overflowPunct/>
        <w:topLinePunct w:val="0"/>
        <w:autoSpaceDE w:val="0"/>
        <w:autoSpaceDN w:val="0"/>
        <w:bidi w:val="0"/>
        <w:adjustRightInd w:val="0"/>
        <w:snapToGrid/>
        <w:spacing w:line="360" w:lineRule="exact"/>
        <w:ind w:firstLine="420" w:firstLineChars="200"/>
        <w:contextualSpacing/>
        <w:textAlignment w:val="auto"/>
        <w:rPr>
          <w:rFonts w:hint="eastAsia" w:ascii="宋体" w:hAnsi="宋体" w:eastAsia="宋体" w:cs="宋体"/>
          <w:color w:val="auto"/>
          <w:szCs w:val="21"/>
        </w:rPr>
      </w:pPr>
      <w:r>
        <w:rPr>
          <w:rFonts w:hint="eastAsia" w:ascii="宋体" w:hAnsi="宋体" w:eastAsia="宋体" w:cs="宋体"/>
          <w:color w:val="auto"/>
          <w:szCs w:val="21"/>
        </w:rPr>
        <w:t>2.本协议一式</w:t>
      </w:r>
      <w:r>
        <w:rPr>
          <w:rFonts w:hint="eastAsia" w:ascii="宋体" w:hAnsi="宋体" w:eastAsia="宋体" w:cs="宋体"/>
          <w:color w:val="auto"/>
          <w:szCs w:val="21"/>
          <w:u w:val="single"/>
        </w:rPr>
        <w:t xml:space="preserve"> 陆 </w:t>
      </w:r>
      <w:r>
        <w:rPr>
          <w:rFonts w:hint="eastAsia" w:ascii="宋体" w:hAnsi="宋体" w:eastAsia="宋体" w:cs="宋体"/>
          <w:color w:val="auto"/>
          <w:szCs w:val="21"/>
        </w:rPr>
        <w:t>份，甲方</w:t>
      </w:r>
      <w:r>
        <w:rPr>
          <w:rFonts w:hint="eastAsia" w:ascii="宋体" w:hAnsi="宋体" w:eastAsia="宋体" w:cs="宋体"/>
          <w:color w:val="auto"/>
          <w:szCs w:val="21"/>
          <w:u w:val="single"/>
        </w:rPr>
        <w:t xml:space="preserve"> 肆 </w:t>
      </w:r>
      <w:r>
        <w:rPr>
          <w:rFonts w:hint="eastAsia" w:ascii="宋体" w:hAnsi="宋体" w:eastAsia="宋体" w:cs="宋体"/>
          <w:color w:val="auto"/>
          <w:szCs w:val="21"/>
        </w:rPr>
        <w:t>份，乙方</w:t>
      </w:r>
      <w:r>
        <w:rPr>
          <w:rFonts w:hint="eastAsia" w:ascii="宋体" w:hAnsi="宋体" w:eastAsia="宋体" w:cs="宋体"/>
          <w:color w:val="auto"/>
          <w:szCs w:val="21"/>
          <w:u w:val="single"/>
        </w:rPr>
        <w:t xml:space="preserve"> 贰 </w:t>
      </w:r>
      <w:r>
        <w:rPr>
          <w:rFonts w:hint="eastAsia" w:ascii="宋体" w:hAnsi="宋体" w:eastAsia="宋体" w:cs="宋体"/>
          <w:color w:val="auto"/>
          <w:szCs w:val="21"/>
        </w:rPr>
        <w:t>份, 具有同等法律效力。</w:t>
      </w:r>
    </w:p>
    <w:p>
      <w:pPr>
        <w:keepNext w:val="0"/>
        <w:keepLines w:val="0"/>
        <w:pageBreakBefore w:val="0"/>
        <w:kinsoku/>
        <w:wordWrap/>
        <w:overflowPunct/>
        <w:topLinePunct w:val="0"/>
        <w:autoSpaceDE w:val="0"/>
        <w:autoSpaceDN w:val="0"/>
        <w:bidi w:val="0"/>
        <w:adjustRightInd w:val="0"/>
        <w:snapToGrid/>
        <w:spacing w:line="360" w:lineRule="exact"/>
        <w:ind w:firstLine="420" w:firstLineChars="200"/>
        <w:contextualSpacing/>
        <w:textAlignment w:val="auto"/>
        <w:rPr>
          <w:rFonts w:hint="eastAsia" w:ascii="宋体" w:hAnsi="宋体" w:eastAsia="宋体" w:cs="宋体"/>
          <w:color w:val="auto"/>
          <w:szCs w:val="21"/>
        </w:rPr>
      </w:pPr>
      <w:r>
        <w:rPr>
          <w:rFonts w:hint="eastAsia" w:ascii="宋体" w:hAnsi="宋体" w:eastAsia="宋体" w:cs="宋体"/>
          <w:color w:val="auto"/>
          <w:szCs w:val="21"/>
        </w:rPr>
        <w:t>3.本协议经双方签署后生效。</w:t>
      </w:r>
    </w:p>
    <w:p>
      <w:pPr>
        <w:keepNext w:val="0"/>
        <w:keepLines w:val="0"/>
        <w:pageBreakBefore w:val="0"/>
        <w:kinsoku/>
        <w:wordWrap/>
        <w:overflowPunct/>
        <w:topLinePunct w:val="0"/>
        <w:autoSpaceDE w:val="0"/>
        <w:autoSpaceDN w:val="0"/>
        <w:bidi w:val="0"/>
        <w:adjustRightInd w:val="0"/>
        <w:snapToGrid/>
        <w:spacing w:before="120" w:beforeLines="50" w:after="120" w:afterLines="50" w:line="360" w:lineRule="exact"/>
        <w:ind w:right="26"/>
        <w:contextualSpacing/>
        <w:textAlignment w:val="auto"/>
        <w:rPr>
          <w:rFonts w:hint="eastAsia" w:ascii="宋体" w:hAnsi="宋体" w:eastAsia="宋体" w:cs="宋体"/>
          <w:color w:val="auto"/>
          <w:szCs w:val="21"/>
        </w:rPr>
      </w:pPr>
    </w:p>
    <w:p>
      <w:pPr>
        <w:keepNext w:val="0"/>
        <w:keepLines w:val="0"/>
        <w:pageBreakBefore w:val="0"/>
        <w:kinsoku/>
        <w:wordWrap/>
        <w:overflowPunct/>
        <w:topLinePunct w:val="0"/>
        <w:autoSpaceDE w:val="0"/>
        <w:autoSpaceDN w:val="0"/>
        <w:bidi w:val="0"/>
        <w:adjustRightInd w:val="0"/>
        <w:snapToGrid/>
        <w:spacing w:before="120" w:beforeLines="50" w:after="120" w:afterLines="50" w:line="360" w:lineRule="exact"/>
        <w:ind w:right="26"/>
        <w:contextualSpacing/>
        <w:textAlignment w:val="auto"/>
        <w:rPr>
          <w:rFonts w:hint="eastAsia" w:ascii="宋体" w:hAnsi="宋体" w:eastAsia="宋体" w:cs="宋体"/>
          <w:color w:val="auto"/>
          <w:szCs w:val="21"/>
        </w:rPr>
      </w:pPr>
    </w:p>
    <w:p>
      <w:pPr>
        <w:keepNext w:val="0"/>
        <w:keepLines w:val="0"/>
        <w:pageBreakBefore w:val="0"/>
        <w:kinsoku/>
        <w:wordWrap/>
        <w:overflowPunct/>
        <w:topLinePunct w:val="0"/>
        <w:autoSpaceDE w:val="0"/>
        <w:autoSpaceDN w:val="0"/>
        <w:bidi w:val="0"/>
        <w:adjustRightInd w:val="0"/>
        <w:snapToGrid/>
        <w:spacing w:before="120" w:beforeLines="50" w:after="120" w:afterLines="50" w:line="360" w:lineRule="exact"/>
        <w:ind w:left="4500" w:leftChars="120" w:right="26" w:hanging="4248" w:hangingChars="2023"/>
        <w:contextualSpacing/>
        <w:textAlignment w:val="auto"/>
        <w:rPr>
          <w:rFonts w:hint="eastAsia" w:ascii="宋体" w:hAnsi="宋体" w:eastAsia="宋体" w:cs="宋体"/>
          <w:color w:val="auto"/>
          <w:szCs w:val="21"/>
        </w:rPr>
      </w:pPr>
      <w:r>
        <w:rPr>
          <w:rFonts w:hint="eastAsia" w:ascii="宋体" w:hAnsi="宋体" w:eastAsia="宋体" w:cs="宋体"/>
          <w:color w:val="auto"/>
          <w:szCs w:val="21"/>
        </w:rPr>
        <w:t>甲方（公章）：                            乙方（公章）：</w:t>
      </w:r>
    </w:p>
    <w:p>
      <w:pPr>
        <w:keepNext w:val="0"/>
        <w:keepLines w:val="0"/>
        <w:pageBreakBefore w:val="0"/>
        <w:kinsoku/>
        <w:wordWrap/>
        <w:overflowPunct/>
        <w:topLinePunct w:val="0"/>
        <w:autoSpaceDE w:val="0"/>
        <w:autoSpaceDN w:val="0"/>
        <w:bidi w:val="0"/>
        <w:adjustRightInd w:val="0"/>
        <w:snapToGrid/>
        <w:spacing w:before="120" w:beforeLines="50" w:after="120" w:afterLines="50" w:line="360" w:lineRule="exact"/>
        <w:ind w:left="4500" w:leftChars="120" w:right="26" w:hanging="4248" w:hangingChars="2023"/>
        <w:contextualSpacing/>
        <w:textAlignment w:val="auto"/>
        <w:rPr>
          <w:rFonts w:hint="eastAsia" w:ascii="宋体" w:hAnsi="宋体" w:eastAsia="宋体" w:cs="宋体"/>
          <w:color w:val="auto"/>
          <w:szCs w:val="21"/>
        </w:rPr>
      </w:pPr>
    </w:p>
    <w:p>
      <w:pPr>
        <w:keepNext w:val="0"/>
        <w:keepLines w:val="0"/>
        <w:pageBreakBefore w:val="0"/>
        <w:kinsoku/>
        <w:wordWrap/>
        <w:overflowPunct/>
        <w:topLinePunct w:val="0"/>
        <w:autoSpaceDE w:val="0"/>
        <w:autoSpaceDN w:val="0"/>
        <w:bidi w:val="0"/>
        <w:adjustRightInd w:val="0"/>
        <w:snapToGrid/>
        <w:spacing w:before="120" w:beforeLines="50" w:after="120" w:afterLines="50" w:line="360" w:lineRule="exact"/>
        <w:ind w:left="4500" w:leftChars="120" w:right="26" w:hanging="4248" w:hangingChars="2023"/>
        <w:contextualSpacing/>
        <w:textAlignment w:val="auto"/>
        <w:rPr>
          <w:rFonts w:hint="eastAsia" w:ascii="宋体" w:hAnsi="宋体" w:eastAsia="宋体" w:cs="宋体"/>
          <w:color w:val="auto"/>
          <w:szCs w:val="21"/>
        </w:rPr>
      </w:pPr>
    </w:p>
    <w:p>
      <w:pPr>
        <w:keepNext w:val="0"/>
        <w:keepLines w:val="0"/>
        <w:pageBreakBefore w:val="0"/>
        <w:kinsoku/>
        <w:wordWrap/>
        <w:overflowPunct/>
        <w:topLinePunct w:val="0"/>
        <w:autoSpaceDE w:val="0"/>
        <w:autoSpaceDN w:val="0"/>
        <w:bidi w:val="0"/>
        <w:adjustRightInd w:val="0"/>
        <w:snapToGrid/>
        <w:spacing w:before="120" w:beforeLines="50" w:after="120" w:afterLines="50" w:line="360" w:lineRule="exact"/>
        <w:ind w:left="4500" w:leftChars="120" w:right="26" w:hanging="4248" w:hangingChars="2023"/>
        <w:contextualSpacing/>
        <w:textAlignment w:val="auto"/>
        <w:rPr>
          <w:rFonts w:hint="eastAsia" w:ascii="宋体" w:hAnsi="宋体" w:eastAsia="宋体" w:cs="宋体"/>
          <w:color w:val="auto"/>
          <w:szCs w:val="21"/>
        </w:rPr>
      </w:pPr>
    </w:p>
    <w:p>
      <w:pPr>
        <w:keepNext w:val="0"/>
        <w:keepLines w:val="0"/>
        <w:pageBreakBefore w:val="0"/>
        <w:kinsoku/>
        <w:wordWrap/>
        <w:overflowPunct/>
        <w:topLinePunct w:val="0"/>
        <w:autoSpaceDE w:val="0"/>
        <w:autoSpaceDN w:val="0"/>
        <w:bidi w:val="0"/>
        <w:adjustRightInd w:val="0"/>
        <w:snapToGrid/>
        <w:spacing w:before="120" w:beforeLines="50" w:after="120" w:afterLines="50" w:line="360" w:lineRule="exact"/>
        <w:ind w:left="4500" w:leftChars="120" w:right="26" w:hanging="4248" w:hangingChars="2023"/>
        <w:contextualSpacing/>
        <w:textAlignment w:val="auto"/>
        <w:rPr>
          <w:rFonts w:hint="eastAsia" w:ascii="宋体" w:hAnsi="宋体" w:eastAsia="宋体" w:cs="宋体"/>
          <w:color w:val="auto"/>
          <w:szCs w:val="21"/>
        </w:rPr>
      </w:pPr>
      <w:r>
        <w:rPr>
          <w:rFonts w:hint="eastAsia" w:ascii="宋体" w:hAnsi="宋体" w:eastAsia="宋体" w:cs="宋体"/>
          <w:color w:val="auto"/>
          <w:szCs w:val="21"/>
        </w:rPr>
        <w:t>法定代表人（授权代表）：                  法定代表人（授权代表）：</w:t>
      </w:r>
    </w:p>
    <w:p>
      <w:pPr>
        <w:keepNext w:val="0"/>
        <w:keepLines w:val="0"/>
        <w:pageBreakBefore w:val="0"/>
        <w:kinsoku/>
        <w:wordWrap/>
        <w:overflowPunct/>
        <w:topLinePunct w:val="0"/>
        <w:autoSpaceDE w:val="0"/>
        <w:autoSpaceDN w:val="0"/>
        <w:bidi w:val="0"/>
        <w:adjustRightInd w:val="0"/>
        <w:snapToGrid/>
        <w:spacing w:before="120" w:beforeLines="50" w:after="120" w:afterLines="50" w:line="360" w:lineRule="exact"/>
        <w:ind w:left="4500" w:leftChars="120" w:right="26" w:hanging="4248" w:hangingChars="2023"/>
        <w:contextualSpacing/>
        <w:textAlignment w:val="auto"/>
        <w:rPr>
          <w:rFonts w:hint="eastAsia" w:ascii="宋体" w:hAnsi="宋体" w:eastAsia="宋体" w:cs="宋体"/>
          <w:color w:val="auto"/>
          <w:szCs w:val="21"/>
        </w:rPr>
      </w:pPr>
    </w:p>
    <w:p>
      <w:pPr>
        <w:keepNext w:val="0"/>
        <w:keepLines w:val="0"/>
        <w:pageBreakBefore w:val="0"/>
        <w:kinsoku/>
        <w:wordWrap/>
        <w:overflowPunct/>
        <w:topLinePunct w:val="0"/>
        <w:autoSpaceDE w:val="0"/>
        <w:autoSpaceDN w:val="0"/>
        <w:bidi w:val="0"/>
        <w:adjustRightInd w:val="0"/>
        <w:snapToGrid/>
        <w:spacing w:before="120" w:beforeLines="50" w:after="120" w:afterLines="50" w:line="360" w:lineRule="exact"/>
        <w:ind w:left="4500" w:leftChars="120" w:right="26" w:hanging="4248" w:hangingChars="2023"/>
        <w:contextualSpacing/>
        <w:textAlignment w:val="auto"/>
        <w:rPr>
          <w:rFonts w:hint="eastAsia" w:hAnsi="宋体" w:cs="宋体"/>
          <w:color w:val="auto"/>
          <w:szCs w:val="21"/>
          <w:lang w:val="en-US" w:eastAsia="zh-CN"/>
        </w:rPr>
      </w:pPr>
      <w:r>
        <w:rPr>
          <w:rFonts w:hint="eastAsia" w:ascii="宋体" w:hAnsi="宋体" w:eastAsia="宋体" w:cs="宋体"/>
          <w:color w:val="auto"/>
          <w:szCs w:val="21"/>
        </w:rPr>
        <w:t>签约日期：202</w:t>
      </w:r>
      <w:r>
        <w:rPr>
          <w:rFonts w:hint="eastAsia" w:ascii="宋体" w:hAnsi="宋体" w:cs="宋体"/>
          <w:color w:val="auto"/>
          <w:szCs w:val="21"/>
          <w:lang w:val="en-US" w:eastAsia="zh-CN"/>
        </w:rPr>
        <w:t>3</w:t>
      </w:r>
      <w:r>
        <w:rPr>
          <w:rFonts w:hint="eastAsia" w:ascii="宋体" w:hAnsi="宋体" w:eastAsia="宋体" w:cs="宋体"/>
          <w:color w:val="auto"/>
          <w:szCs w:val="21"/>
        </w:rPr>
        <w:t xml:space="preserve">年 </w:t>
      </w:r>
      <w:r>
        <w:rPr>
          <w:rFonts w:hint="eastAsia" w:ascii="宋体" w:hAnsi="宋体" w:cs="宋体"/>
          <w:color w:val="auto"/>
          <w:szCs w:val="21"/>
          <w:lang w:val="en-US" w:eastAsia="zh-CN"/>
        </w:rPr>
        <w:t>2</w:t>
      </w:r>
      <w:r>
        <w:rPr>
          <w:rFonts w:hint="eastAsia" w:ascii="宋体" w:hAnsi="宋体" w:eastAsia="宋体" w:cs="宋体"/>
          <w:color w:val="auto"/>
          <w:szCs w:val="21"/>
        </w:rPr>
        <w:t xml:space="preserve"> 月 </w:t>
      </w:r>
      <w:r>
        <w:rPr>
          <w:rFonts w:hint="eastAsia" w:hAnsi="宋体" w:cs="宋体"/>
          <w:color w:val="auto"/>
          <w:szCs w:val="21"/>
          <w:lang w:val="en-US" w:eastAsia="zh-CN"/>
        </w:rPr>
        <w:t xml:space="preserve"> </w:t>
      </w:r>
      <w:r>
        <w:rPr>
          <w:rFonts w:hint="eastAsia" w:ascii="宋体" w:hAnsi="宋体" w:eastAsia="宋体" w:cs="宋体"/>
          <w:color w:val="auto"/>
          <w:szCs w:val="21"/>
        </w:rPr>
        <w:t xml:space="preserve">  日              签约日期：202</w:t>
      </w:r>
      <w:r>
        <w:rPr>
          <w:rFonts w:hint="eastAsia" w:ascii="宋体" w:hAnsi="宋体" w:cs="宋体"/>
          <w:color w:val="auto"/>
          <w:szCs w:val="21"/>
          <w:lang w:val="en-US" w:eastAsia="zh-CN"/>
        </w:rPr>
        <w:t>3</w:t>
      </w:r>
      <w:r>
        <w:rPr>
          <w:rFonts w:hint="eastAsia" w:ascii="宋体" w:hAnsi="宋体" w:eastAsia="宋体" w:cs="宋体"/>
          <w:color w:val="auto"/>
          <w:szCs w:val="21"/>
        </w:rPr>
        <w:t xml:space="preserve">年 </w:t>
      </w:r>
      <w:r>
        <w:rPr>
          <w:rFonts w:hint="eastAsia" w:ascii="宋体" w:hAnsi="宋体" w:cs="宋体"/>
          <w:color w:val="auto"/>
          <w:szCs w:val="21"/>
          <w:lang w:val="en-US" w:eastAsia="zh-CN"/>
        </w:rPr>
        <w:t>2</w:t>
      </w:r>
      <w:r>
        <w:rPr>
          <w:rFonts w:hint="eastAsia" w:hAnsi="宋体" w:cs="宋体"/>
          <w:color w:val="auto"/>
          <w:szCs w:val="21"/>
          <w:lang w:val="en-US" w:eastAsia="zh-CN"/>
        </w:rPr>
        <w:t xml:space="preserve"> </w:t>
      </w:r>
      <w:r>
        <w:rPr>
          <w:rFonts w:hint="eastAsia" w:ascii="宋体" w:hAnsi="宋体" w:eastAsia="宋体" w:cs="宋体"/>
          <w:color w:val="auto"/>
          <w:szCs w:val="21"/>
        </w:rPr>
        <w:t xml:space="preserve">月 </w:t>
      </w:r>
      <w:bookmarkStart w:id="44" w:name="_Toc97717278"/>
      <w:bookmarkStart w:id="45" w:name="_Toc97339364"/>
      <w:r>
        <w:rPr>
          <w:rFonts w:hint="eastAsia" w:hAnsi="宋体" w:cs="宋体"/>
          <w:color w:val="auto"/>
          <w:szCs w:val="21"/>
          <w:lang w:val="en-US" w:eastAsia="zh-CN"/>
        </w:rPr>
        <w:t xml:space="preserve">   </w:t>
      </w:r>
      <w:bookmarkEnd w:id="44"/>
      <w:bookmarkEnd w:id="45"/>
      <w:bookmarkStart w:id="46" w:name="_Toc97339365"/>
      <w:bookmarkStart w:id="47" w:name="_Toc97717279"/>
      <w:r>
        <w:rPr>
          <w:rFonts w:hint="eastAsia" w:hAnsi="宋体" w:cs="宋体"/>
          <w:color w:val="auto"/>
          <w:szCs w:val="21"/>
          <w:lang w:val="en-US" w:eastAsia="zh-CN"/>
        </w:rPr>
        <w:t xml:space="preserve"> 日</w:t>
      </w:r>
    </w:p>
    <w:p>
      <w:pPr>
        <w:pStyle w:val="4"/>
        <w:keepNext w:val="0"/>
        <w:keepLines w:val="0"/>
        <w:pageBreakBefore w:val="0"/>
        <w:kinsoku/>
        <w:wordWrap/>
        <w:overflowPunct/>
        <w:topLinePunct w:val="0"/>
        <w:autoSpaceDE w:val="0"/>
        <w:autoSpaceDN w:val="0"/>
        <w:bidi w:val="0"/>
        <w:adjustRightInd w:val="0"/>
        <w:snapToGrid/>
        <w:spacing w:line="360" w:lineRule="exact"/>
        <w:textAlignment w:val="auto"/>
        <w:rPr>
          <w:rFonts w:hint="eastAsia" w:hAnsi="宋体" w:cs="宋体"/>
          <w:color w:val="auto"/>
          <w:szCs w:val="21"/>
          <w:lang w:val="en-US" w:eastAsia="zh-CN"/>
        </w:rPr>
      </w:pPr>
    </w:p>
    <w:p>
      <w:pPr>
        <w:rPr>
          <w:rFonts w:hint="eastAsia" w:hAnsi="宋体" w:cs="宋体"/>
          <w:color w:val="auto"/>
          <w:szCs w:val="21"/>
          <w:lang w:val="en-US" w:eastAsia="zh-CN"/>
        </w:rPr>
      </w:pPr>
    </w:p>
    <w:p>
      <w:pPr>
        <w:pStyle w:val="4"/>
        <w:rPr>
          <w:rFonts w:hint="eastAsia" w:hAnsi="宋体" w:cs="宋体"/>
          <w:color w:val="auto"/>
          <w:szCs w:val="21"/>
          <w:lang w:val="en-US" w:eastAsia="zh-CN"/>
        </w:rPr>
      </w:pPr>
    </w:p>
    <w:p>
      <w:pPr>
        <w:rPr>
          <w:rFonts w:hint="eastAsia" w:hAnsi="宋体" w:cs="宋体"/>
          <w:color w:val="auto"/>
          <w:szCs w:val="21"/>
          <w:lang w:val="en-US" w:eastAsia="zh-CN"/>
        </w:rPr>
      </w:pPr>
    </w:p>
    <w:p>
      <w:pPr>
        <w:pStyle w:val="4"/>
        <w:rPr>
          <w:rFonts w:hint="eastAsia" w:hAnsi="宋体" w:cs="宋体"/>
          <w:color w:val="auto"/>
          <w:szCs w:val="21"/>
          <w:lang w:val="en-US" w:eastAsia="zh-CN"/>
        </w:rPr>
      </w:pPr>
    </w:p>
    <w:p>
      <w:pPr>
        <w:rPr>
          <w:rFonts w:hint="eastAsia" w:hAnsi="宋体" w:cs="宋体"/>
          <w:color w:val="auto"/>
          <w:szCs w:val="21"/>
          <w:lang w:val="en-US" w:eastAsia="zh-CN"/>
        </w:rPr>
      </w:pPr>
    </w:p>
    <w:p>
      <w:pPr>
        <w:pStyle w:val="4"/>
        <w:rPr>
          <w:rFonts w:hint="eastAsia" w:hAnsi="宋体" w:cs="宋体"/>
          <w:color w:val="auto"/>
          <w:szCs w:val="21"/>
          <w:lang w:val="en-US" w:eastAsia="zh-CN"/>
        </w:rPr>
      </w:pPr>
    </w:p>
    <w:p>
      <w:pPr>
        <w:rPr>
          <w:rFonts w:hint="eastAsia" w:hAnsi="宋体" w:cs="宋体"/>
          <w:color w:val="auto"/>
          <w:szCs w:val="21"/>
          <w:lang w:val="en-US" w:eastAsia="zh-CN"/>
        </w:rPr>
      </w:pPr>
    </w:p>
    <w:p>
      <w:pPr>
        <w:pStyle w:val="4"/>
        <w:rPr>
          <w:rFonts w:hint="eastAsia" w:hAnsi="宋体" w:cs="宋体"/>
          <w:color w:val="auto"/>
          <w:szCs w:val="21"/>
          <w:lang w:val="en-US" w:eastAsia="zh-CN"/>
        </w:rPr>
      </w:pPr>
    </w:p>
    <w:p>
      <w:pPr>
        <w:rPr>
          <w:rFonts w:hint="eastAsia" w:hAnsi="宋体" w:cs="宋体"/>
          <w:color w:val="auto"/>
          <w:szCs w:val="21"/>
          <w:lang w:val="en-US" w:eastAsia="zh-CN"/>
        </w:rPr>
      </w:pPr>
    </w:p>
    <w:p>
      <w:pPr>
        <w:pStyle w:val="4"/>
        <w:rPr>
          <w:rFonts w:hint="eastAsia" w:ascii="宋体" w:hAnsi="宋体" w:eastAsia="宋体" w:cs="宋体"/>
          <w:color w:val="auto"/>
          <w:sz w:val="21"/>
          <w:szCs w:val="21"/>
        </w:rPr>
        <w:sectPr>
          <w:pgSz w:w="11907" w:h="16840"/>
          <w:pgMar w:top="1440" w:right="1134" w:bottom="1440" w:left="1134" w:header="851" w:footer="720" w:gutter="0"/>
          <w:cols w:space="720" w:num="1"/>
          <w:titlePg/>
          <w:docGrid w:linePitch="326" w:charSpace="0"/>
        </w:sectPr>
      </w:pPr>
    </w:p>
    <w:p>
      <w:pPr>
        <w:pStyle w:val="4"/>
        <w:rPr>
          <w:rFonts w:hint="eastAsia" w:ascii="宋体" w:hAnsi="宋体" w:eastAsia="宋体" w:cs="宋体"/>
          <w:color w:val="auto"/>
          <w:sz w:val="21"/>
          <w:szCs w:val="21"/>
        </w:rPr>
        <w:sectPr>
          <w:pgSz w:w="11907" w:h="16840"/>
          <w:pgMar w:top="1440" w:right="1134" w:bottom="1440" w:left="1134" w:header="851" w:footer="720" w:gutter="0"/>
          <w:cols w:space="720" w:num="1"/>
          <w:titlePg/>
          <w:docGrid w:linePitch="326" w:charSpace="0"/>
        </w:sectPr>
      </w:pPr>
      <w:r>
        <w:rPr>
          <w:rFonts w:hint="eastAsia" w:ascii="宋体" w:hAnsi="宋体" w:eastAsia="宋体" w:cs="宋体"/>
          <w:color w:val="auto"/>
          <w:sz w:val="21"/>
          <w:szCs w:val="21"/>
        </w:rPr>
        <w:t>附件</w:t>
      </w:r>
      <w:r>
        <w:rPr>
          <w:rFonts w:hint="eastAsia" w:ascii="宋体" w:hAnsi="宋体" w:cs="宋体"/>
          <w:color w:val="auto"/>
          <w:sz w:val="21"/>
          <w:szCs w:val="21"/>
          <w:lang w:val="en-US" w:eastAsia="zh-CN"/>
        </w:rPr>
        <w:t>2</w:t>
      </w:r>
      <w:r>
        <w:rPr>
          <w:rFonts w:hint="eastAsia" w:ascii="宋体" w:hAnsi="宋体" w:eastAsia="宋体" w:cs="宋体"/>
          <w:color w:val="auto"/>
          <w:sz w:val="21"/>
          <w:szCs w:val="21"/>
        </w:rPr>
        <w:t>：《广东省东莞市城区配套物流仓储建设项目-基坑监测平面布置图》</w:t>
      </w:r>
    </w:p>
    <w:p>
      <w:pPr>
        <w:rPr>
          <w:rFonts w:hint="default"/>
          <w:color w:val="auto"/>
          <w:lang w:val="en-US" w:eastAsia="zh-CN"/>
        </w:rPr>
        <w:sectPr>
          <w:pgSz w:w="16840" w:h="11907" w:orient="landscape"/>
          <w:pgMar w:top="1134" w:right="1440" w:bottom="1134" w:left="1440" w:header="851" w:footer="720" w:gutter="0"/>
          <w:cols w:space="720" w:num="1"/>
          <w:titlePg/>
          <w:docGrid w:linePitch="326" w:charSpace="0"/>
        </w:sectPr>
      </w:pPr>
      <w:r>
        <w:rPr>
          <w:color w:val="auto"/>
        </w:rPr>
        <w:drawing>
          <wp:inline distT="0" distB="0" distL="114300" distR="114300">
            <wp:extent cx="8842375" cy="6172835"/>
            <wp:effectExtent l="0" t="0" r="15875" b="184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8842375" cy="6172835"/>
                    </a:xfrm>
                    <a:prstGeom prst="rect">
                      <a:avLst/>
                    </a:prstGeom>
                    <a:noFill/>
                    <a:ln>
                      <a:noFill/>
                    </a:ln>
                  </pic:spPr>
                </pic:pic>
              </a:graphicData>
            </a:graphic>
          </wp:inline>
        </w:drawing>
      </w:r>
    </w:p>
    <w:p>
      <w:pPr>
        <w:pStyle w:val="4"/>
        <w:rPr>
          <w:rFonts w:hint="default" w:eastAsia="宋体"/>
          <w:color w:val="auto"/>
          <w:lang w:val="en-US" w:eastAsia="zh-CN"/>
        </w:rPr>
      </w:pPr>
      <w:r>
        <w:rPr>
          <w:rFonts w:hint="eastAsia" w:ascii="宋体" w:hAnsi="宋体" w:eastAsia="宋体" w:cs="宋体"/>
          <w:color w:val="auto"/>
          <w:sz w:val="21"/>
          <w:szCs w:val="21"/>
        </w:rPr>
        <w:t>附件</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：《广东省东莞市城区配套物流仓储建设项目-基坑监测工程量清单》</w:t>
      </w:r>
    </w:p>
    <w:tbl>
      <w:tblPr>
        <w:tblStyle w:val="21"/>
        <w:tblW w:w="921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30"/>
        <w:gridCol w:w="1853"/>
        <w:gridCol w:w="1110"/>
        <w:gridCol w:w="1005"/>
        <w:gridCol w:w="817"/>
        <w:gridCol w:w="1082"/>
        <w:gridCol w:w="1116"/>
        <w:gridCol w:w="14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216"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 xml:space="preserve"> 广东省东莞市城区配套物流仓储建设项目基坑支护---基坑监测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一</w:t>
            </w:r>
          </w:p>
        </w:tc>
        <w:tc>
          <w:tcPr>
            <w:tcW w:w="1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测点埋设费用</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序号</w:t>
            </w:r>
          </w:p>
        </w:tc>
        <w:tc>
          <w:tcPr>
            <w:tcW w:w="1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项目名称</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单位</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数量</w:t>
            </w:r>
          </w:p>
        </w:tc>
        <w:tc>
          <w:tcPr>
            <w:tcW w:w="30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含税单价（元）</w:t>
            </w: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合价（元）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1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水平位移、沉降工作基点埋设费</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点</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w:t>
            </w:r>
          </w:p>
        </w:tc>
        <w:tc>
          <w:tcPr>
            <w:tcW w:w="30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c>
          <w:tcPr>
            <w:tcW w:w="1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坑顶沉降观测点埋设及辅助材料</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点</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29</w:t>
            </w:r>
          </w:p>
        </w:tc>
        <w:tc>
          <w:tcPr>
            <w:tcW w:w="30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w:t>
            </w:r>
          </w:p>
        </w:tc>
        <w:tc>
          <w:tcPr>
            <w:tcW w:w="1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坑顶位移观测点埋设及辅助材料</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点</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29</w:t>
            </w:r>
          </w:p>
        </w:tc>
        <w:tc>
          <w:tcPr>
            <w:tcW w:w="30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w:t>
            </w:r>
          </w:p>
        </w:tc>
        <w:tc>
          <w:tcPr>
            <w:tcW w:w="1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周边道路、管线沉降观测点埋设及辅助材料</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点</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w:t>
            </w:r>
          </w:p>
        </w:tc>
        <w:tc>
          <w:tcPr>
            <w:tcW w:w="30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c>
          <w:tcPr>
            <w:tcW w:w="1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锚索应力监测点埋设及辅助材料</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w:t>
            </w:r>
          </w:p>
        </w:tc>
        <w:tc>
          <w:tcPr>
            <w:tcW w:w="30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w:t>
            </w:r>
          </w:p>
        </w:tc>
        <w:tc>
          <w:tcPr>
            <w:tcW w:w="1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地下水位孔</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米</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60</w:t>
            </w:r>
          </w:p>
        </w:tc>
        <w:tc>
          <w:tcPr>
            <w:tcW w:w="30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w:t>
            </w:r>
          </w:p>
        </w:tc>
        <w:tc>
          <w:tcPr>
            <w:tcW w:w="1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深层水平位移监测点埋设及辅助材料</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米</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99</w:t>
            </w:r>
          </w:p>
        </w:tc>
        <w:tc>
          <w:tcPr>
            <w:tcW w:w="30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c>
          <w:tcPr>
            <w:tcW w:w="1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小计</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c>
          <w:tcPr>
            <w:tcW w:w="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二</w:t>
            </w:r>
          </w:p>
        </w:tc>
        <w:tc>
          <w:tcPr>
            <w:tcW w:w="1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现场监测费用</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c>
          <w:tcPr>
            <w:tcW w:w="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序号</w:t>
            </w:r>
          </w:p>
        </w:tc>
        <w:tc>
          <w:tcPr>
            <w:tcW w:w="1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项目名称</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单位</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测点数量</w:t>
            </w:r>
          </w:p>
        </w:tc>
        <w:tc>
          <w:tcPr>
            <w:tcW w:w="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监测次数</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监测总点次</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单价</w:t>
            </w: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合价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1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垂直位移基准网</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KM</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c>
          <w:tcPr>
            <w:tcW w:w="1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水平位移基准网</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点</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w:t>
            </w:r>
          </w:p>
        </w:tc>
        <w:tc>
          <w:tcPr>
            <w:tcW w:w="1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水平位移监测</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点.次</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29</w:t>
            </w:r>
          </w:p>
        </w:tc>
        <w:tc>
          <w:tcPr>
            <w:tcW w:w="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w:t>
            </w: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1856</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w:t>
            </w:r>
          </w:p>
        </w:tc>
        <w:tc>
          <w:tcPr>
            <w:tcW w:w="1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坑顶沉降监测</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点.次</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29</w:t>
            </w:r>
          </w:p>
        </w:tc>
        <w:tc>
          <w:tcPr>
            <w:tcW w:w="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w:t>
            </w: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1856</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c>
          <w:tcPr>
            <w:tcW w:w="1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锚索应力监测</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点.次</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w:t>
            </w:r>
          </w:p>
        </w:tc>
        <w:tc>
          <w:tcPr>
            <w:tcW w:w="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w:t>
            </w: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384</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w:t>
            </w:r>
          </w:p>
        </w:tc>
        <w:tc>
          <w:tcPr>
            <w:tcW w:w="1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周边道路管线沉降</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点.次</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w:t>
            </w:r>
          </w:p>
        </w:tc>
        <w:tc>
          <w:tcPr>
            <w:tcW w:w="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w:t>
            </w: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640</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w:t>
            </w:r>
          </w:p>
        </w:tc>
        <w:tc>
          <w:tcPr>
            <w:tcW w:w="1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地下水位观测</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孔.次</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w:t>
            </w:r>
          </w:p>
        </w:tc>
        <w:tc>
          <w:tcPr>
            <w:tcW w:w="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w:t>
            </w: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384</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w:t>
            </w:r>
          </w:p>
        </w:tc>
        <w:tc>
          <w:tcPr>
            <w:tcW w:w="1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深层水平位移观测</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点.次</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c>
          <w:tcPr>
            <w:tcW w:w="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64</w:t>
            </w: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576</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c>
          <w:tcPr>
            <w:tcW w:w="1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小计</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10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三</w:t>
            </w:r>
          </w:p>
        </w:tc>
        <w:tc>
          <w:tcPr>
            <w:tcW w:w="1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总价合计</w:t>
            </w:r>
          </w:p>
        </w:tc>
        <w:tc>
          <w:tcPr>
            <w:tcW w:w="4014"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一+二</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auto"/>
                <w:sz w:val="24"/>
                <w:szCs w:val="24"/>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60" w:hRule="atLeast"/>
        </w:trPr>
        <w:tc>
          <w:tcPr>
            <w:tcW w:w="9216" w:type="dxa"/>
            <w:gridSpan w:val="8"/>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1.测点埋设费价格参考广东省房屋建筑和市政工程质量安全检测收费指导价，监测费按照工程勘察设计收费标准2002版计算。</w:t>
            </w:r>
          </w:p>
          <w:p>
            <w:pPr>
              <w:keepNext w:val="0"/>
              <w:keepLines w:val="0"/>
              <w:widowControl/>
              <w:suppressLineNumbers w:val="0"/>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本项目从基坑开挖到回填正负零暂定120天，基坑开挖小于5米期间约30天，按1次/2天监测，预计15次；基坑开挖大于5米期间约40天，按1次/1天监测，预计40次；底板浇筑后≤7天，按1次/2天监测，预计3次，底板浇筑后时间7-14天，按1次/3天监测，预计2次，底板浇筑后时间14-28天，按1次/7天监测，预计2次，底板浇筑后时间＞28天，按1次/10天监测预计2次，总监测次数预计为64次；</w:t>
            </w:r>
          </w:p>
          <w:p>
            <w:pPr>
              <w:keepNext w:val="0"/>
              <w:keepLines w:val="0"/>
              <w:widowControl/>
              <w:suppressLineNumbers w:val="0"/>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3、结算时监测项目、监测点数以通过专家论证的监测方案为准。</w:t>
            </w:r>
          </w:p>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4、最终结算工程量以现场实际发生的工作量为准</w:t>
            </w:r>
          </w:p>
        </w:tc>
      </w:tr>
    </w:tbl>
    <w:p>
      <w:pPr>
        <w:rPr>
          <w:rFonts w:hint="default"/>
          <w:color w:val="auto"/>
          <w:lang w:val="en-US"/>
        </w:rPr>
        <w:sectPr>
          <w:pgSz w:w="11907" w:h="16840"/>
          <w:pgMar w:top="1440" w:right="1134" w:bottom="1440" w:left="1134" w:header="851" w:footer="720" w:gutter="0"/>
          <w:cols w:space="720" w:num="1"/>
          <w:titlePg/>
          <w:docGrid w:linePitch="326" w:charSpace="0"/>
        </w:sectPr>
      </w:pPr>
    </w:p>
    <w:p>
      <w:pPr>
        <w:keepNext w:val="0"/>
        <w:keepLines w:val="0"/>
        <w:pageBreakBefore w:val="0"/>
        <w:tabs>
          <w:tab w:val="left" w:pos="1695"/>
          <w:tab w:val="left" w:pos="2700"/>
        </w:tabs>
        <w:kinsoku/>
        <w:wordWrap/>
        <w:overflowPunct/>
        <w:topLinePunct w:val="0"/>
        <w:bidi w:val="0"/>
        <w:snapToGrid/>
        <w:spacing w:line="360" w:lineRule="exact"/>
        <w:textAlignment w:val="auto"/>
        <w:outlineLvl w:val="2"/>
        <w:rPr>
          <w:rFonts w:hint="eastAsia" w:ascii="宋体" w:hAnsi="宋体" w:eastAsia="宋体" w:cs="宋体"/>
          <w:b/>
          <w:color w:val="auto"/>
        </w:rPr>
      </w:pPr>
      <w:bookmarkStart w:id="48" w:name="_Toc109914428"/>
      <w:r>
        <w:rPr>
          <w:rFonts w:hint="eastAsia" w:ascii="宋体" w:hAnsi="宋体" w:eastAsia="宋体" w:cs="宋体"/>
          <w:b/>
          <w:color w:val="auto"/>
          <w:szCs w:val="21"/>
        </w:rPr>
        <w:t>附件</w:t>
      </w:r>
      <w:r>
        <w:rPr>
          <w:rFonts w:hint="eastAsia" w:hAnsi="宋体" w:cs="宋体"/>
          <w:b/>
          <w:color w:val="auto"/>
          <w:szCs w:val="21"/>
          <w:lang w:val="en-US" w:eastAsia="zh-CN"/>
        </w:rPr>
        <w:t>4</w:t>
      </w:r>
      <w:r>
        <w:rPr>
          <w:rFonts w:hint="eastAsia" w:ascii="宋体" w:hAnsi="宋体" w:eastAsia="宋体" w:cs="宋体"/>
          <w:b/>
          <w:color w:val="auto"/>
          <w:szCs w:val="21"/>
        </w:rPr>
        <w:t xml:space="preserve"> ：建筑施工安全生产协议书</w:t>
      </w:r>
      <w:bookmarkEnd w:id="46"/>
      <w:bookmarkEnd w:id="47"/>
      <w:bookmarkEnd w:id="48"/>
    </w:p>
    <w:p>
      <w:pPr>
        <w:keepNext w:val="0"/>
        <w:keepLines w:val="0"/>
        <w:pageBreakBefore w:val="0"/>
        <w:widowControl/>
        <w:kinsoku/>
        <w:wordWrap/>
        <w:overflowPunct/>
        <w:topLinePunct w:val="0"/>
        <w:bidi w:val="0"/>
        <w:snapToGrid/>
        <w:spacing w:line="360" w:lineRule="exact"/>
        <w:jc w:val="center"/>
        <w:textAlignment w:val="auto"/>
        <w:rPr>
          <w:rFonts w:hint="eastAsia" w:ascii="宋体" w:hAnsi="宋体" w:eastAsia="宋体" w:cs="宋体"/>
          <w:b/>
          <w:bCs/>
          <w:color w:val="auto"/>
          <w:sz w:val="36"/>
          <w:szCs w:val="36"/>
        </w:rPr>
      </w:pPr>
    </w:p>
    <w:p>
      <w:pPr>
        <w:keepNext w:val="0"/>
        <w:keepLines w:val="0"/>
        <w:pageBreakBefore w:val="0"/>
        <w:widowControl/>
        <w:kinsoku/>
        <w:wordWrap/>
        <w:overflowPunct/>
        <w:topLinePunct w:val="0"/>
        <w:bidi w:val="0"/>
        <w:snapToGrid/>
        <w:spacing w:line="360" w:lineRule="exact"/>
        <w:jc w:val="center"/>
        <w:textAlignment w:val="auto"/>
        <w:rPr>
          <w:rFonts w:hint="eastAsia" w:ascii="宋体" w:hAnsi="宋体" w:eastAsia="宋体" w:cs="宋体"/>
          <w:b/>
          <w:bCs/>
          <w:color w:val="auto"/>
          <w:sz w:val="36"/>
          <w:szCs w:val="36"/>
        </w:rPr>
      </w:pPr>
      <w:r>
        <w:rPr>
          <w:rFonts w:hint="eastAsia" w:ascii="宋体" w:hAnsi="宋体" w:eastAsia="宋体" w:cs="宋体"/>
          <w:b/>
          <w:bCs/>
          <w:color w:val="auto"/>
          <w:sz w:val="36"/>
          <w:szCs w:val="36"/>
        </w:rPr>
        <w:t>建筑施工安全生产协议书</w:t>
      </w:r>
    </w:p>
    <w:p>
      <w:pPr>
        <w:keepNext w:val="0"/>
        <w:keepLines w:val="0"/>
        <w:pageBreakBefore w:val="0"/>
        <w:kinsoku/>
        <w:wordWrap/>
        <w:overflowPunct/>
        <w:topLinePunct w:val="0"/>
        <w:bidi w:val="0"/>
        <w:snapToGrid/>
        <w:spacing w:line="360" w:lineRule="exact"/>
        <w:textAlignment w:val="auto"/>
        <w:rPr>
          <w:rFonts w:hint="eastAsia" w:ascii="宋体" w:hAnsi="宋体" w:eastAsia="宋体" w:cs="宋体"/>
          <w:color w:val="auto"/>
        </w:rPr>
      </w:pPr>
    </w:p>
    <w:p>
      <w:pPr>
        <w:pStyle w:val="13"/>
        <w:keepNext w:val="0"/>
        <w:keepLines w:val="0"/>
        <w:pageBreakBefore w:val="0"/>
        <w:kinsoku/>
        <w:wordWrap/>
        <w:overflowPunct/>
        <w:topLinePunct w:val="0"/>
        <w:bidi w:val="0"/>
        <w:snapToGrid/>
        <w:spacing w:line="360" w:lineRule="exact"/>
        <w:ind w:firstLine="480" w:firstLineChars="200"/>
        <w:jc w:val="left"/>
        <w:textAlignment w:val="auto"/>
        <w:rPr>
          <w:rFonts w:hint="eastAsia" w:ascii="宋体" w:hAnsi="宋体" w:eastAsia="宋体" w:cs="宋体"/>
          <w:color w:val="auto"/>
          <w:szCs w:val="21"/>
        </w:rPr>
      </w:pPr>
      <w:r>
        <w:rPr>
          <w:rFonts w:hint="eastAsia" w:ascii="宋体" w:hAnsi="宋体" w:eastAsia="宋体" w:cs="宋体"/>
          <w:color w:val="auto"/>
          <w:szCs w:val="21"/>
        </w:rPr>
        <w:t>甲方：</w:t>
      </w:r>
      <w:r>
        <w:rPr>
          <w:rFonts w:hint="eastAsia" w:ascii="宋体" w:hAnsi="宋体" w:eastAsia="宋体" w:cs="宋体"/>
          <w:color w:val="auto"/>
          <w:szCs w:val="21"/>
          <w:u w:val="single"/>
        </w:rPr>
        <w:t>东莞市莞城建筑工程有限公司</w:t>
      </w:r>
    </w:p>
    <w:p>
      <w:pPr>
        <w:pStyle w:val="13"/>
        <w:keepNext w:val="0"/>
        <w:keepLines w:val="0"/>
        <w:pageBreakBefore w:val="0"/>
        <w:kinsoku/>
        <w:wordWrap/>
        <w:overflowPunct/>
        <w:topLinePunct w:val="0"/>
        <w:bidi w:val="0"/>
        <w:snapToGrid/>
        <w:spacing w:line="360" w:lineRule="exact"/>
        <w:ind w:firstLine="480" w:firstLineChars="200"/>
        <w:jc w:val="left"/>
        <w:textAlignment w:val="auto"/>
        <w:rPr>
          <w:rFonts w:hint="eastAsia" w:ascii="宋体" w:hAnsi="宋体" w:eastAsia="宋体" w:cs="宋体"/>
          <w:color w:val="auto"/>
          <w:szCs w:val="21"/>
        </w:rPr>
      </w:pPr>
    </w:p>
    <w:p>
      <w:pPr>
        <w:pStyle w:val="13"/>
        <w:keepNext w:val="0"/>
        <w:keepLines w:val="0"/>
        <w:pageBreakBefore w:val="0"/>
        <w:kinsoku/>
        <w:wordWrap/>
        <w:overflowPunct/>
        <w:topLinePunct w:val="0"/>
        <w:bidi w:val="0"/>
        <w:snapToGrid/>
        <w:spacing w:line="360" w:lineRule="exact"/>
        <w:ind w:firstLine="480" w:firstLineChars="200"/>
        <w:jc w:val="left"/>
        <w:textAlignment w:val="auto"/>
        <w:rPr>
          <w:rFonts w:hint="default" w:ascii="宋体" w:hAnsi="宋体" w:eastAsia="宋体" w:cs="宋体"/>
          <w:color w:val="auto"/>
          <w:szCs w:val="21"/>
          <w:u w:val="single"/>
          <w:lang w:val="en-US" w:eastAsia="zh-CN"/>
        </w:rPr>
      </w:pPr>
      <w:r>
        <w:rPr>
          <w:rFonts w:hint="eastAsia" w:ascii="宋体" w:hAnsi="宋体" w:eastAsia="宋体" w:cs="宋体"/>
          <w:color w:val="auto"/>
          <w:szCs w:val="21"/>
        </w:rPr>
        <w:t>乙方：</w:t>
      </w:r>
      <w:r>
        <w:rPr>
          <w:rFonts w:hint="eastAsia" w:ascii="宋体" w:hAnsi="宋体" w:cs="宋体"/>
          <w:color w:val="auto"/>
          <w:szCs w:val="21"/>
          <w:u w:val="single"/>
          <w:lang w:val="en-US" w:eastAsia="zh-CN"/>
        </w:rPr>
        <w:t xml:space="preserve">                          </w:t>
      </w:r>
    </w:p>
    <w:p>
      <w:pPr>
        <w:pStyle w:val="13"/>
        <w:keepNext w:val="0"/>
        <w:keepLines w:val="0"/>
        <w:pageBreakBefore w:val="0"/>
        <w:kinsoku/>
        <w:wordWrap/>
        <w:overflowPunct/>
        <w:topLinePunct w:val="0"/>
        <w:bidi w:val="0"/>
        <w:snapToGrid/>
        <w:spacing w:line="360" w:lineRule="exact"/>
        <w:ind w:firstLine="480" w:firstLineChars="200"/>
        <w:jc w:val="left"/>
        <w:textAlignment w:val="auto"/>
        <w:rPr>
          <w:rFonts w:hint="eastAsia" w:ascii="宋体" w:hAnsi="宋体" w:eastAsia="宋体" w:cs="宋体"/>
          <w:color w:val="auto"/>
          <w:szCs w:val="21"/>
        </w:rPr>
      </w:pPr>
    </w:p>
    <w:p>
      <w:pPr>
        <w:pStyle w:val="13"/>
        <w:keepNext w:val="0"/>
        <w:keepLines w:val="0"/>
        <w:pageBreakBefore w:val="0"/>
        <w:kinsoku/>
        <w:wordWrap/>
        <w:overflowPunct/>
        <w:topLinePunct w:val="0"/>
        <w:bidi w:val="0"/>
        <w:snapToGrid/>
        <w:spacing w:line="360" w:lineRule="exact"/>
        <w:ind w:firstLine="480" w:firstLineChars="200"/>
        <w:jc w:val="left"/>
        <w:textAlignment w:val="auto"/>
        <w:rPr>
          <w:rFonts w:hint="eastAsia" w:ascii="宋体" w:hAnsi="宋体" w:eastAsia="宋体" w:cs="宋体"/>
          <w:color w:val="auto"/>
          <w:szCs w:val="21"/>
        </w:rPr>
      </w:pPr>
      <w:r>
        <w:rPr>
          <w:rFonts w:hint="eastAsia" w:ascii="宋体" w:hAnsi="宋体" w:eastAsia="宋体" w:cs="宋体"/>
          <w:color w:val="auto"/>
          <w:szCs w:val="21"/>
        </w:rPr>
        <w:t>为了切实加强施工现场的安全生产管理，深入贯彻“安全第一，预防为主、综合治理”安全生产方针，保证人身、设备安全，确保项目施工期间各项工作顺利进行。根据国家《安全生产法》、《安全生产管理条例》等相关法律法规规定，经双方协商，在签订《</w:t>
      </w:r>
      <w:r>
        <w:rPr>
          <w:rFonts w:hint="eastAsia" w:ascii="宋体" w:hAnsi="宋体" w:eastAsia="宋体" w:cs="宋体"/>
          <w:color w:val="auto"/>
          <w:szCs w:val="21"/>
          <w:u w:val="single"/>
        </w:rPr>
        <w:t>广东省东莞市城区配套物流仓储建设项目-基坑监测</w:t>
      </w:r>
      <w:r>
        <w:rPr>
          <w:rFonts w:hint="eastAsia" w:hAnsi="宋体" w:cs="宋体"/>
          <w:color w:val="auto"/>
          <w:szCs w:val="21"/>
          <w:u w:val="single"/>
          <w:lang w:val="en-US" w:eastAsia="zh-CN"/>
        </w:rPr>
        <w:t>服务合同</w:t>
      </w:r>
      <w:r>
        <w:rPr>
          <w:rFonts w:hint="eastAsia" w:ascii="宋体" w:hAnsi="宋体" w:eastAsia="宋体" w:cs="宋体"/>
          <w:color w:val="auto"/>
          <w:szCs w:val="21"/>
        </w:rPr>
        <w:t>》（以下简称主合同）的同时，签订本安全生产协议，作为项目合同的必要补充条件。</w:t>
      </w:r>
    </w:p>
    <w:p>
      <w:pPr>
        <w:pStyle w:val="13"/>
        <w:keepNext w:val="0"/>
        <w:keepLines w:val="0"/>
        <w:pageBreakBefore w:val="0"/>
        <w:kinsoku/>
        <w:wordWrap/>
        <w:overflowPunct/>
        <w:topLinePunct w:val="0"/>
        <w:bidi w:val="0"/>
        <w:snapToGrid/>
        <w:spacing w:line="360" w:lineRule="exact"/>
        <w:ind w:firstLine="480" w:firstLineChars="200"/>
        <w:jc w:val="left"/>
        <w:textAlignment w:val="auto"/>
        <w:rPr>
          <w:rFonts w:hint="eastAsia" w:ascii="宋体" w:hAnsi="宋体" w:eastAsia="宋体" w:cs="宋体"/>
          <w:b/>
          <w:bCs/>
          <w:color w:val="auto"/>
          <w:szCs w:val="21"/>
        </w:rPr>
      </w:pPr>
      <w:r>
        <w:rPr>
          <w:rFonts w:hint="eastAsia" w:ascii="宋体" w:hAnsi="宋体" w:eastAsia="宋体" w:cs="宋体"/>
          <w:b/>
          <w:bCs/>
          <w:color w:val="auto"/>
          <w:szCs w:val="21"/>
        </w:rPr>
        <w:t>一、安全责任协议内容：</w:t>
      </w:r>
    </w:p>
    <w:p>
      <w:pPr>
        <w:pStyle w:val="13"/>
        <w:keepNext w:val="0"/>
        <w:keepLines w:val="0"/>
        <w:pageBreakBefore w:val="0"/>
        <w:kinsoku/>
        <w:wordWrap/>
        <w:overflowPunct/>
        <w:topLinePunct w:val="0"/>
        <w:bidi w:val="0"/>
        <w:snapToGrid/>
        <w:spacing w:line="360" w:lineRule="exact"/>
        <w:ind w:firstLine="480" w:firstLineChars="200"/>
        <w:jc w:val="left"/>
        <w:textAlignment w:val="auto"/>
        <w:rPr>
          <w:rFonts w:hint="eastAsia" w:ascii="宋体" w:hAnsi="宋体" w:eastAsia="宋体" w:cs="宋体"/>
          <w:color w:val="auto"/>
          <w:szCs w:val="21"/>
        </w:rPr>
      </w:pPr>
      <w:r>
        <w:rPr>
          <w:rFonts w:hint="eastAsia" w:ascii="宋体" w:hAnsi="宋体" w:eastAsia="宋体" w:cs="宋体"/>
          <w:color w:val="auto"/>
          <w:szCs w:val="21"/>
        </w:rPr>
        <w:t>1.1、甲乙双方都应本着安全第一、预防为主的原则，签订安全生产协议书。甲方应对乙方人员进行进场前安全教育，逐日进行安全检查。乙方必须严格遵守国家有关安全生产的法律法规，认真执行工程承包合同中的有关安全要求，管理人员为义务安全员，必须负责安全生产工作。甲乙双方相互协助检查工程项目中有关安全、防火等工作，共同预防事故发生。</w:t>
      </w:r>
      <w:bookmarkStart w:id="49" w:name="_Toc396137262"/>
    </w:p>
    <w:p>
      <w:pPr>
        <w:pStyle w:val="13"/>
        <w:keepNext w:val="0"/>
        <w:keepLines w:val="0"/>
        <w:pageBreakBefore w:val="0"/>
        <w:kinsoku/>
        <w:wordWrap/>
        <w:overflowPunct/>
        <w:topLinePunct w:val="0"/>
        <w:bidi w:val="0"/>
        <w:snapToGrid/>
        <w:spacing w:line="360" w:lineRule="exact"/>
        <w:ind w:firstLine="480" w:firstLineChars="200"/>
        <w:jc w:val="left"/>
        <w:textAlignment w:val="auto"/>
        <w:rPr>
          <w:rFonts w:hint="eastAsia" w:ascii="宋体" w:hAnsi="宋体" w:eastAsia="宋体" w:cs="宋体"/>
          <w:color w:val="auto"/>
          <w:szCs w:val="21"/>
          <w:lang w:val="zh-CN"/>
        </w:rPr>
      </w:pPr>
      <w:r>
        <w:rPr>
          <w:rFonts w:hint="eastAsia" w:ascii="宋体" w:hAnsi="宋体" w:eastAsia="宋体" w:cs="宋体"/>
          <w:color w:val="auto"/>
          <w:szCs w:val="21"/>
        </w:rPr>
        <w:t>1.</w:t>
      </w:r>
      <w:r>
        <w:rPr>
          <w:rFonts w:hint="eastAsia" w:ascii="宋体" w:hAnsi="宋体" w:eastAsia="宋体" w:cs="宋体"/>
          <w:color w:val="auto"/>
          <w:szCs w:val="21"/>
          <w:lang w:val="zh-CN"/>
        </w:rPr>
        <w:t>2、乙方须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pPr>
        <w:pStyle w:val="13"/>
        <w:keepNext w:val="0"/>
        <w:keepLines w:val="0"/>
        <w:pageBreakBefore w:val="0"/>
        <w:kinsoku/>
        <w:wordWrap/>
        <w:overflowPunct/>
        <w:topLinePunct w:val="0"/>
        <w:bidi w:val="0"/>
        <w:snapToGrid/>
        <w:spacing w:line="360" w:lineRule="exact"/>
        <w:ind w:firstLine="480" w:firstLineChars="200"/>
        <w:jc w:val="left"/>
        <w:textAlignment w:val="auto"/>
        <w:rPr>
          <w:rFonts w:hint="eastAsia" w:ascii="宋体" w:hAnsi="宋体" w:eastAsia="宋体" w:cs="宋体"/>
          <w:color w:val="auto"/>
          <w:szCs w:val="21"/>
          <w:lang w:val="zh-CN"/>
        </w:rPr>
      </w:pPr>
      <w:r>
        <w:rPr>
          <w:rFonts w:hint="eastAsia" w:ascii="宋体" w:hAnsi="宋体" w:eastAsia="宋体" w:cs="宋体"/>
          <w:color w:val="auto"/>
          <w:szCs w:val="21"/>
        </w:rPr>
        <w:t>1.</w:t>
      </w:r>
      <w:r>
        <w:rPr>
          <w:rFonts w:hint="eastAsia" w:ascii="宋体" w:hAnsi="宋体" w:eastAsia="宋体" w:cs="宋体"/>
          <w:color w:val="auto"/>
          <w:szCs w:val="21"/>
          <w:lang w:val="zh-CN"/>
        </w:rPr>
        <w:t>3、乙方必须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施工人员的1%～3%配备安全员，专职负责所有员工的安全和治安保卫工作及预防事故的发生。安全机构人员，有权按有关规定发布指令，并采取保护性措施防止事故发生。</w:t>
      </w:r>
    </w:p>
    <w:p>
      <w:pPr>
        <w:pStyle w:val="13"/>
        <w:keepNext w:val="0"/>
        <w:keepLines w:val="0"/>
        <w:pageBreakBefore w:val="0"/>
        <w:kinsoku/>
        <w:wordWrap/>
        <w:overflowPunct/>
        <w:topLinePunct w:val="0"/>
        <w:bidi w:val="0"/>
        <w:snapToGrid/>
        <w:spacing w:line="360" w:lineRule="exact"/>
        <w:ind w:firstLine="480" w:firstLineChars="200"/>
        <w:jc w:val="left"/>
        <w:textAlignment w:val="auto"/>
        <w:rPr>
          <w:rFonts w:hint="eastAsia" w:ascii="宋体" w:hAnsi="宋体" w:eastAsia="宋体" w:cs="宋体"/>
          <w:color w:val="auto"/>
          <w:szCs w:val="21"/>
          <w:lang w:val="zh-CN"/>
        </w:rPr>
      </w:pPr>
      <w:r>
        <w:rPr>
          <w:rFonts w:hint="eastAsia" w:ascii="宋体" w:hAnsi="宋体" w:eastAsia="宋体" w:cs="宋体"/>
          <w:color w:val="auto"/>
          <w:szCs w:val="21"/>
        </w:rPr>
        <w:t>1.</w:t>
      </w:r>
      <w:r>
        <w:rPr>
          <w:rFonts w:hint="eastAsia" w:ascii="宋体" w:hAnsi="宋体" w:eastAsia="宋体" w:cs="宋体"/>
          <w:color w:val="auto"/>
          <w:szCs w:val="21"/>
          <w:lang w:val="zh-CN"/>
        </w:rPr>
        <w:t>4、乙方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pPr>
        <w:pStyle w:val="13"/>
        <w:keepNext w:val="0"/>
        <w:keepLines w:val="0"/>
        <w:pageBreakBefore w:val="0"/>
        <w:kinsoku/>
        <w:wordWrap/>
        <w:overflowPunct/>
        <w:topLinePunct w:val="0"/>
        <w:bidi w:val="0"/>
        <w:snapToGrid/>
        <w:spacing w:line="360" w:lineRule="exact"/>
        <w:ind w:firstLine="480" w:firstLineChars="200"/>
        <w:jc w:val="left"/>
        <w:textAlignment w:val="auto"/>
        <w:rPr>
          <w:rFonts w:hint="eastAsia" w:ascii="宋体" w:hAnsi="宋体" w:eastAsia="宋体" w:cs="宋体"/>
          <w:color w:val="auto"/>
          <w:szCs w:val="21"/>
          <w:lang w:val="zh-CN"/>
        </w:rPr>
      </w:pPr>
      <w:r>
        <w:rPr>
          <w:rFonts w:hint="eastAsia" w:ascii="宋体" w:hAnsi="宋体" w:eastAsia="宋体" w:cs="宋体"/>
          <w:color w:val="auto"/>
          <w:szCs w:val="21"/>
        </w:rPr>
        <w:t>1.</w:t>
      </w:r>
      <w:r>
        <w:rPr>
          <w:rFonts w:hint="eastAsia" w:ascii="宋体" w:hAnsi="宋体" w:eastAsia="宋体" w:cs="宋体"/>
          <w:color w:val="auto"/>
          <w:szCs w:val="21"/>
          <w:lang w:val="zh-CN"/>
        </w:rPr>
        <w:t>5、甲乙双方必须认真对本班组职工进行安全生产制度及安全技术知识教育，增强法制观念，提高职工的安全思想意识和自我保护能力，督促职工自觉遵守安全纪律、制度法规。</w:t>
      </w:r>
    </w:p>
    <w:p>
      <w:pPr>
        <w:pStyle w:val="13"/>
        <w:keepNext w:val="0"/>
        <w:keepLines w:val="0"/>
        <w:pageBreakBefore w:val="0"/>
        <w:kinsoku/>
        <w:wordWrap/>
        <w:overflowPunct/>
        <w:topLinePunct w:val="0"/>
        <w:bidi w:val="0"/>
        <w:snapToGrid/>
        <w:spacing w:line="360" w:lineRule="exact"/>
        <w:ind w:firstLine="480" w:firstLineChars="200"/>
        <w:jc w:val="left"/>
        <w:textAlignment w:val="auto"/>
        <w:rPr>
          <w:rFonts w:hint="eastAsia" w:ascii="宋体" w:hAnsi="宋体" w:eastAsia="宋体" w:cs="宋体"/>
          <w:color w:val="auto"/>
          <w:szCs w:val="21"/>
          <w:lang w:val="zh-CN"/>
        </w:rPr>
      </w:pPr>
      <w:r>
        <w:rPr>
          <w:rFonts w:hint="eastAsia" w:ascii="宋体" w:hAnsi="宋体" w:eastAsia="宋体" w:cs="宋体"/>
          <w:color w:val="auto"/>
          <w:szCs w:val="21"/>
        </w:rPr>
        <w:t>1.</w:t>
      </w:r>
      <w:r>
        <w:rPr>
          <w:rFonts w:hint="eastAsia" w:ascii="宋体" w:hAnsi="宋体" w:eastAsia="宋体" w:cs="宋体"/>
          <w:color w:val="auto"/>
          <w:szCs w:val="21"/>
          <w:lang w:val="zh-CN"/>
        </w:rPr>
        <w:t>6、施工前，乙方应组织召开管理、施工人员安全生产教育会议，并通知甲方委派有关人员出席会议。介绍施工中有关安全、防火等规章制度及要求，乙方必须检查、督促施工人员严格遵守、认真执行。施工期间，乙方指派</w:t>
      </w:r>
      <w:r>
        <w:rPr>
          <w:rFonts w:hint="eastAsia" w:ascii="宋体" w:hAnsi="宋体" w:cs="宋体"/>
          <w:color w:val="auto"/>
          <w:szCs w:val="21"/>
          <w:u w:val="single"/>
          <w:lang w:val="en-US" w:eastAsia="zh-CN"/>
        </w:rPr>
        <w:t xml:space="preserve">          </w:t>
      </w:r>
      <w:r>
        <w:rPr>
          <w:rFonts w:hint="eastAsia" w:ascii="宋体" w:hAnsi="宋体" w:eastAsia="宋体" w:cs="宋体"/>
          <w:color w:val="auto"/>
          <w:szCs w:val="21"/>
          <w:lang w:val="zh-CN"/>
        </w:rPr>
        <w:t>同志（联系电话：</w:t>
      </w:r>
      <w:r>
        <w:rPr>
          <w:rFonts w:hint="eastAsia" w:ascii="宋体" w:hAnsi="宋体" w:cs="宋体"/>
          <w:color w:val="auto"/>
          <w:szCs w:val="21"/>
          <w:u w:val="single"/>
          <w:lang w:val="en-US" w:eastAsia="zh-CN"/>
        </w:rPr>
        <w:t xml:space="preserve">          </w:t>
      </w:r>
      <w:r>
        <w:rPr>
          <w:rFonts w:hint="eastAsia" w:ascii="宋体" w:hAnsi="宋体" w:eastAsia="宋体" w:cs="宋体"/>
          <w:color w:val="auto"/>
          <w:szCs w:val="21"/>
          <w:lang w:val="zh-CN"/>
        </w:rPr>
        <w:t>）负责有关安全，消防保卫、劳动保护等工作。</w:t>
      </w:r>
    </w:p>
    <w:p>
      <w:pPr>
        <w:pStyle w:val="13"/>
        <w:keepNext w:val="0"/>
        <w:keepLines w:val="0"/>
        <w:pageBreakBefore w:val="0"/>
        <w:kinsoku/>
        <w:wordWrap/>
        <w:overflowPunct/>
        <w:topLinePunct w:val="0"/>
        <w:bidi w:val="0"/>
        <w:snapToGrid/>
        <w:spacing w:line="360" w:lineRule="exact"/>
        <w:ind w:firstLine="480" w:firstLineChars="200"/>
        <w:jc w:val="left"/>
        <w:textAlignment w:val="auto"/>
        <w:rPr>
          <w:rFonts w:hint="eastAsia" w:ascii="宋体" w:hAnsi="宋体" w:eastAsia="宋体" w:cs="宋体"/>
          <w:color w:val="auto"/>
          <w:szCs w:val="21"/>
          <w:lang w:val="zh-CN"/>
        </w:rPr>
      </w:pPr>
      <w:r>
        <w:rPr>
          <w:rFonts w:hint="eastAsia" w:ascii="宋体" w:hAnsi="宋体" w:eastAsia="宋体" w:cs="宋体"/>
          <w:color w:val="auto"/>
          <w:szCs w:val="21"/>
        </w:rPr>
        <w:t>1.</w:t>
      </w:r>
      <w:r>
        <w:rPr>
          <w:rFonts w:hint="eastAsia" w:ascii="宋体" w:hAnsi="宋体" w:eastAsia="宋体" w:cs="宋体"/>
          <w:color w:val="auto"/>
          <w:szCs w:val="21"/>
          <w:lang w:val="zh-CN"/>
        </w:rPr>
        <w:t>7、乙方在施工期间必须严格执行和遵守甲方的安全生产、防火管理等各类规定，接受甲方的监督、检查和指导。甲方有协助乙方搞好安全生产、防火管理等以及督促检查义务，对于查出隐患，乙方必须限期整改。甲乙双方都应监督施工人员自觉穿戴好安全防护用品。</w:t>
      </w:r>
    </w:p>
    <w:p>
      <w:pPr>
        <w:pStyle w:val="13"/>
        <w:keepNext w:val="0"/>
        <w:keepLines w:val="0"/>
        <w:pageBreakBefore w:val="0"/>
        <w:kinsoku/>
        <w:wordWrap/>
        <w:overflowPunct/>
        <w:topLinePunct w:val="0"/>
        <w:bidi w:val="0"/>
        <w:snapToGrid/>
        <w:spacing w:line="360" w:lineRule="exact"/>
        <w:ind w:firstLine="480" w:firstLineChars="200"/>
        <w:jc w:val="left"/>
        <w:textAlignment w:val="auto"/>
        <w:rPr>
          <w:rFonts w:hint="eastAsia" w:ascii="宋体" w:hAnsi="宋体" w:eastAsia="宋体" w:cs="宋体"/>
          <w:color w:val="auto"/>
          <w:szCs w:val="21"/>
          <w:lang w:val="zh-CN"/>
        </w:rPr>
      </w:pPr>
      <w:r>
        <w:rPr>
          <w:rFonts w:hint="eastAsia" w:ascii="宋体" w:hAnsi="宋体" w:eastAsia="宋体" w:cs="宋体"/>
          <w:color w:val="auto"/>
          <w:szCs w:val="21"/>
        </w:rPr>
        <w:t>1.</w:t>
      </w:r>
      <w:r>
        <w:rPr>
          <w:rFonts w:hint="eastAsia" w:ascii="宋体" w:hAnsi="宋体" w:eastAsia="宋体" w:cs="宋体"/>
          <w:color w:val="auto"/>
          <w:szCs w:val="21"/>
          <w:lang w:val="zh-CN"/>
        </w:rPr>
        <w:t>8、乙方对施工区域、作业环境、操作施工设备、工具用具等必须认真检查，发现隐患应立即停止施工，并由有关单位落实整改后方准施工。一经施工，就表示确认施工现场，作业环境、操作施工设备、工具用具等符合安全要求和处于安全状态。乙方对施工过程中产生后果自负。</w:t>
      </w:r>
    </w:p>
    <w:p>
      <w:pPr>
        <w:pStyle w:val="13"/>
        <w:keepNext w:val="0"/>
        <w:keepLines w:val="0"/>
        <w:pageBreakBefore w:val="0"/>
        <w:kinsoku/>
        <w:wordWrap/>
        <w:overflowPunct/>
        <w:topLinePunct w:val="0"/>
        <w:bidi w:val="0"/>
        <w:snapToGrid/>
        <w:spacing w:line="360" w:lineRule="exact"/>
        <w:ind w:firstLine="480" w:firstLineChars="200"/>
        <w:jc w:val="left"/>
        <w:textAlignment w:val="auto"/>
        <w:rPr>
          <w:rFonts w:hint="eastAsia" w:ascii="宋体" w:hAnsi="宋体" w:eastAsia="宋体" w:cs="宋体"/>
          <w:color w:val="auto"/>
          <w:szCs w:val="21"/>
          <w:lang w:val="zh-CN"/>
        </w:rPr>
      </w:pPr>
      <w:r>
        <w:rPr>
          <w:rFonts w:hint="eastAsia" w:ascii="宋体" w:hAnsi="宋体" w:eastAsia="宋体" w:cs="宋体"/>
          <w:color w:val="auto"/>
          <w:szCs w:val="21"/>
        </w:rPr>
        <w:t>1.</w:t>
      </w:r>
      <w:r>
        <w:rPr>
          <w:rFonts w:hint="eastAsia" w:ascii="宋体" w:hAnsi="宋体" w:eastAsia="宋体" w:cs="宋体"/>
          <w:color w:val="auto"/>
          <w:szCs w:val="21"/>
          <w:lang w:val="zh-CN"/>
        </w:rPr>
        <w:t>9、乙方所有施工机具设备和高空作业的设备均应定期检查，并有安全员的签字记录，保证其经常处于完好状态；不合格的机具、设备和劳动保护用品严禁使用。</w:t>
      </w:r>
    </w:p>
    <w:p>
      <w:pPr>
        <w:pStyle w:val="13"/>
        <w:keepNext w:val="0"/>
        <w:keepLines w:val="0"/>
        <w:pageBreakBefore w:val="0"/>
        <w:kinsoku/>
        <w:wordWrap/>
        <w:overflowPunct/>
        <w:topLinePunct w:val="0"/>
        <w:bidi w:val="0"/>
        <w:snapToGrid/>
        <w:spacing w:line="360" w:lineRule="exact"/>
        <w:ind w:firstLine="480" w:firstLineChars="200"/>
        <w:jc w:val="left"/>
        <w:textAlignment w:val="auto"/>
        <w:rPr>
          <w:rFonts w:hint="eastAsia" w:ascii="宋体" w:hAnsi="宋体" w:eastAsia="宋体" w:cs="宋体"/>
          <w:color w:val="auto"/>
          <w:szCs w:val="21"/>
          <w:lang w:val="zh-CN"/>
        </w:rPr>
      </w:pPr>
      <w:r>
        <w:rPr>
          <w:rFonts w:hint="eastAsia" w:ascii="宋体" w:hAnsi="宋体" w:eastAsia="宋体" w:cs="宋体"/>
          <w:color w:val="auto"/>
          <w:szCs w:val="21"/>
        </w:rPr>
        <w:t>1.</w:t>
      </w:r>
      <w:r>
        <w:rPr>
          <w:rFonts w:hint="eastAsia" w:ascii="宋体" w:hAnsi="宋体" w:eastAsia="宋体" w:cs="宋体"/>
          <w:color w:val="auto"/>
          <w:szCs w:val="21"/>
          <w:lang w:val="zh-CN"/>
        </w:rPr>
        <w:t>10、机械设备、脚手架等设施，在搭设、安装完毕并按规定验收后方可使用，严禁在未检验或检验不合格情况下投入使用，否则由此发生后果概由擅自使用方负责。</w:t>
      </w:r>
    </w:p>
    <w:p>
      <w:pPr>
        <w:pStyle w:val="13"/>
        <w:keepNext w:val="0"/>
        <w:keepLines w:val="0"/>
        <w:pageBreakBefore w:val="0"/>
        <w:kinsoku/>
        <w:wordWrap/>
        <w:overflowPunct/>
        <w:topLinePunct w:val="0"/>
        <w:bidi w:val="0"/>
        <w:snapToGrid/>
        <w:spacing w:line="360" w:lineRule="exact"/>
        <w:ind w:firstLine="480" w:firstLineChars="200"/>
        <w:jc w:val="left"/>
        <w:textAlignment w:val="auto"/>
        <w:rPr>
          <w:rFonts w:hint="eastAsia" w:ascii="宋体" w:hAnsi="宋体" w:eastAsia="宋体" w:cs="宋体"/>
          <w:color w:val="auto"/>
          <w:szCs w:val="21"/>
          <w:lang w:val="zh-CN"/>
        </w:rPr>
      </w:pPr>
      <w:r>
        <w:rPr>
          <w:rFonts w:hint="eastAsia" w:ascii="宋体" w:hAnsi="宋体" w:eastAsia="宋体" w:cs="宋体"/>
          <w:color w:val="auto"/>
          <w:szCs w:val="21"/>
        </w:rPr>
        <w:t>1.</w:t>
      </w:r>
      <w:r>
        <w:rPr>
          <w:rFonts w:hint="eastAsia" w:ascii="宋体" w:hAnsi="宋体" w:eastAsia="宋体" w:cs="宋体"/>
          <w:color w:val="auto"/>
          <w:szCs w:val="21"/>
          <w:lang w:val="zh-CN"/>
        </w:rPr>
        <w:t>11、乙方施工人员对施工现场的脚手架、各类安全防护措施、安全标志和警告牌等，不得擅自拆除、更动。如确实需要拆除更动的，必须经甲方工地负责人和安全管理人员同意，并采取必要、可靠的安全措施后方能拆除更动。乙方人员擅自拆除更动所造成的后果，均由乙方自行承担。</w:t>
      </w:r>
    </w:p>
    <w:p>
      <w:pPr>
        <w:pStyle w:val="13"/>
        <w:keepNext w:val="0"/>
        <w:keepLines w:val="0"/>
        <w:pageBreakBefore w:val="0"/>
        <w:kinsoku/>
        <w:wordWrap/>
        <w:overflowPunct/>
        <w:topLinePunct w:val="0"/>
        <w:bidi w:val="0"/>
        <w:snapToGrid/>
        <w:spacing w:line="360" w:lineRule="exact"/>
        <w:ind w:firstLine="480" w:firstLineChars="200"/>
        <w:jc w:val="left"/>
        <w:textAlignment w:val="auto"/>
        <w:rPr>
          <w:rFonts w:hint="eastAsia" w:ascii="宋体" w:hAnsi="宋体" w:eastAsia="宋体" w:cs="宋体"/>
          <w:color w:val="auto"/>
          <w:szCs w:val="21"/>
          <w:lang w:val="zh-CN"/>
        </w:rPr>
      </w:pPr>
      <w:r>
        <w:rPr>
          <w:rFonts w:hint="eastAsia" w:ascii="宋体" w:hAnsi="宋体" w:eastAsia="宋体" w:cs="宋体"/>
          <w:color w:val="auto"/>
          <w:szCs w:val="21"/>
        </w:rPr>
        <w:t>1.</w:t>
      </w:r>
      <w:r>
        <w:rPr>
          <w:rFonts w:hint="eastAsia" w:ascii="宋体" w:hAnsi="宋体" w:eastAsia="宋体" w:cs="宋体"/>
          <w:color w:val="auto"/>
          <w:szCs w:val="21"/>
          <w:lang w:val="zh-CN"/>
        </w:rPr>
        <w:t>12、特种作业必须执行《国家特种作业人员安全技术培训考核管理规定》，经省、市、区的特种作业人员安全技术培训考核后持证上岗，起重吊装作业必须遵守“十不吊”规定，严禁违章、无证操作，严禁不懂电气、机械设备的人，擅自操作使用电气、机械设备。</w:t>
      </w:r>
    </w:p>
    <w:p>
      <w:pPr>
        <w:pStyle w:val="13"/>
        <w:keepNext w:val="0"/>
        <w:keepLines w:val="0"/>
        <w:pageBreakBefore w:val="0"/>
        <w:kinsoku/>
        <w:wordWrap/>
        <w:overflowPunct/>
        <w:topLinePunct w:val="0"/>
        <w:bidi w:val="0"/>
        <w:snapToGrid/>
        <w:spacing w:line="360" w:lineRule="exact"/>
        <w:ind w:firstLine="480" w:firstLineChars="200"/>
        <w:jc w:val="left"/>
        <w:textAlignment w:val="auto"/>
        <w:rPr>
          <w:rFonts w:hint="eastAsia" w:ascii="宋体" w:hAnsi="宋体" w:eastAsia="宋体" w:cs="宋体"/>
          <w:color w:val="auto"/>
          <w:szCs w:val="21"/>
          <w:lang w:val="zh-CN"/>
        </w:rPr>
      </w:pPr>
      <w:r>
        <w:rPr>
          <w:rFonts w:hint="eastAsia" w:ascii="宋体" w:hAnsi="宋体" w:eastAsia="宋体" w:cs="宋体"/>
          <w:color w:val="auto"/>
          <w:szCs w:val="21"/>
        </w:rPr>
        <w:t>1.</w:t>
      </w:r>
      <w:r>
        <w:rPr>
          <w:rFonts w:hint="eastAsia" w:ascii="宋体" w:hAnsi="宋体" w:eastAsia="宋体" w:cs="宋体"/>
          <w:color w:val="auto"/>
          <w:szCs w:val="21"/>
          <w:lang w:val="zh-CN"/>
        </w:rPr>
        <w:t>13、甲乙双方必须严格执行各类防火、防爆制度，易燃易爆场所严禁吸烟及动用明火，消防器材不得挪作他用。电焊、气焊割作业应按规定办理动火审批手续，严格遵守“十不烧”规定，严禁使用电炉。擅自乱拉电器线路造成后果均有肇事方负责。</w:t>
      </w:r>
    </w:p>
    <w:p>
      <w:pPr>
        <w:pStyle w:val="13"/>
        <w:keepNext w:val="0"/>
        <w:keepLines w:val="0"/>
        <w:pageBreakBefore w:val="0"/>
        <w:kinsoku/>
        <w:wordWrap/>
        <w:overflowPunct/>
        <w:topLinePunct w:val="0"/>
        <w:bidi w:val="0"/>
        <w:snapToGrid/>
        <w:spacing w:line="360" w:lineRule="exact"/>
        <w:ind w:firstLine="480" w:firstLineChars="200"/>
        <w:jc w:val="left"/>
        <w:textAlignment w:val="auto"/>
        <w:rPr>
          <w:rFonts w:hint="eastAsia" w:ascii="宋体" w:hAnsi="宋体" w:eastAsia="宋体" w:cs="宋体"/>
          <w:color w:val="auto"/>
          <w:szCs w:val="21"/>
          <w:lang w:val="zh-CN"/>
        </w:rPr>
      </w:pPr>
      <w:r>
        <w:rPr>
          <w:rFonts w:hint="eastAsia" w:ascii="宋体" w:hAnsi="宋体" w:eastAsia="宋体" w:cs="宋体"/>
          <w:color w:val="auto"/>
          <w:szCs w:val="21"/>
        </w:rPr>
        <w:t>1.</w:t>
      </w:r>
      <w:r>
        <w:rPr>
          <w:rFonts w:hint="eastAsia" w:ascii="宋体" w:hAnsi="宋体" w:eastAsia="宋体" w:cs="宋体"/>
          <w:color w:val="auto"/>
          <w:szCs w:val="21"/>
          <w:lang w:val="zh-CN"/>
        </w:rPr>
        <w:t>14、甲乙双方在施工中，应注意地下管线及高低压架空线路保护，甲方应详细交底，乙方应贯彻交底要求，如遇有情况，应及时和甲方联系，采取保护措施。</w:t>
      </w:r>
    </w:p>
    <w:p>
      <w:pPr>
        <w:pStyle w:val="13"/>
        <w:keepNext w:val="0"/>
        <w:keepLines w:val="0"/>
        <w:pageBreakBefore w:val="0"/>
        <w:kinsoku/>
        <w:wordWrap/>
        <w:overflowPunct/>
        <w:topLinePunct w:val="0"/>
        <w:bidi w:val="0"/>
        <w:snapToGrid/>
        <w:spacing w:line="360" w:lineRule="exact"/>
        <w:ind w:firstLine="480" w:firstLineChars="200"/>
        <w:jc w:val="left"/>
        <w:textAlignment w:val="auto"/>
        <w:rPr>
          <w:rFonts w:hint="eastAsia" w:ascii="宋体" w:hAnsi="宋体" w:eastAsia="宋体" w:cs="宋体"/>
          <w:color w:val="auto"/>
          <w:szCs w:val="21"/>
          <w:lang w:val="zh-CN"/>
        </w:rPr>
      </w:pPr>
      <w:r>
        <w:rPr>
          <w:rFonts w:hint="eastAsia" w:ascii="宋体" w:hAnsi="宋体" w:eastAsia="宋体" w:cs="宋体"/>
          <w:color w:val="auto"/>
          <w:szCs w:val="21"/>
        </w:rPr>
        <w:t>1.</w:t>
      </w:r>
      <w:r>
        <w:rPr>
          <w:rFonts w:hint="eastAsia" w:ascii="宋体" w:hAnsi="宋体" w:eastAsia="宋体" w:cs="宋体"/>
          <w:color w:val="auto"/>
          <w:szCs w:val="21"/>
          <w:lang w:val="zh-CN"/>
        </w:rPr>
        <w:t>15、乙方在施工过程中禁止以下行为：（1）乱砍伐树木；（2）将危险废物混入生活垃圾或者其他废物；（3）任意倾倒生活垃圾、粪便、或者其他固体废物；（4）装载、运输过程中散落生活垃圾、或者其他固体废物；（5）排放有毒有害的废气和粉尘超过规定排放标准；（6）在非指定地区焚烧产生有毒有害烟尘和恶臭气体的物质；（7）施工、运输、装卸和生产中产生大量粉尘和扬尘；（8）有动力装置的车废气排放超过规定标准；（9）任意排放未达到标准的工业废水、生活污水、建筑泥浆和其他生产经营活动产生的污水；（10）在住宅区、文教区和其他特殊地区设立产生噪声污染的生产、经营项目。</w:t>
      </w:r>
    </w:p>
    <w:p>
      <w:pPr>
        <w:pStyle w:val="13"/>
        <w:keepNext w:val="0"/>
        <w:keepLines w:val="0"/>
        <w:pageBreakBefore w:val="0"/>
        <w:kinsoku/>
        <w:wordWrap/>
        <w:overflowPunct/>
        <w:topLinePunct w:val="0"/>
        <w:bidi w:val="0"/>
        <w:snapToGrid/>
        <w:spacing w:line="360" w:lineRule="exact"/>
        <w:ind w:firstLine="480" w:firstLineChars="200"/>
        <w:jc w:val="left"/>
        <w:textAlignment w:val="auto"/>
        <w:rPr>
          <w:rFonts w:hint="eastAsia" w:ascii="宋体" w:hAnsi="宋体" w:eastAsia="宋体" w:cs="宋体"/>
          <w:color w:val="auto"/>
          <w:szCs w:val="21"/>
          <w:lang w:val="zh-CN"/>
        </w:rPr>
      </w:pPr>
      <w:r>
        <w:rPr>
          <w:rFonts w:hint="eastAsia" w:ascii="宋体" w:hAnsi="宋体" w:eastAsia="宋体" w:cs="宋体"/>
          <w:color w:val="auto"/>
          <w:szCs w:val="21"/>
        </w:rPr>
        <w:t>1.</w:t>
      </w:r>
      <w:r>
        <w:rPr>
          <w:rFonts w:hint="eastAsia" w:ascii="宋体" w:hAnsi="宋体" w:eastAsia="宋体" w:cs="宋体"/>
          <w:color w:val="auto"/>
          <w:szCs w:val="21"/>
          <w:lang w:val="zh-CN"/>
        </w:rPr>
        <w:t>16、乙方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pPr>
        <w:pStyle w:val="20"/>
        <w:keepNext w:val="0"/>
        <w:keepLines w:val="0"/>
        <w:pageBreakBefore w:val="0"/>
        <w:kinsoku/>
        <w:wordWrap/>
        <w:overflowPunct/>
        <w:topLinePunct w:val="0"/>
        <w:bidi w:val="0"/>
        <w:adjustRightInd/>
        <w:snapToGrid/>
        <w:spacing w:after="0" w:line="360" w:lineRule="exact"/>
        <w:ind w:left="0" w:leftChars="0"/>
        <w:textAlignment w:val="auto"/>
        <w:rPr>
          <w:rFonts w:hint="eastAsia" w:ascii="宋体" w:hAnsi="宋体" w:eastAsia="宋体" w:cs="宋体"/>
          <w:color w:val="auto"/>
          <w:sz w:val="21"/>
          <w:szCs w:val="21"/>
          <w:lang w:val="zh-CN"/>
        </w:rPr>
      </w:pPr>
    </w:p>
    <w:p>
      <w:pPr>
        <w:pStyle w:val="13"/>
        <w:keepNext w:val="0"/>
        <w:keepLines w:val="0"/>
        <w:pageBreakBefore w:val="0"/>
        <w:kinsoku/>
        <w:wordWrap/>
        <w:overflowPunct/>
        <w:topLinePunct w:val="0"/>
        <w:bidi w:val="0"/>
        <w:snapToGrid/>
        <w:spacing w:line="360" w:lineRule="exact"/>
        <w:ind w:firstLine="480" w:firstLineChars="200"/>
        <w:jc w:val="left"/>
        <w:textAlignment w:val="auto"/>
        <w:rPr>
          <w:rFonts w:hint="eastAsia" w:ascii="宋体" w:hAnsi="宋体" w:eastAsia="宋体" w:cs="宋体"/>
          <w:b/>
          <w:bCs/>
          <w:color w:val="auto"/>
          <w:szCs w:val="21"/>
        </w:rPr>
      </w:pPr>
      <w:r>
        <w:rPr>
          <w:rFonts w:hint="eastAsia" w:ascii="宋体" w:hAnsi="宋体" w:eastAsia="宋体" w:cs="宋体"/>
          <w:b/>
          <w:bCs/>
          <w:color w:val="auto"/>
          <w:szCs w:val="21"/>
        </w:rPr>
        <w:t>二、文明工地安全管理制度细则：</w:t>
      </w:r>
    </w:p>
    <w:p>
      <w:pPr>
        <w:pStyle w:val="13"/>
        <w:keepNext w:val="0"/>
        <w:keepLines w:val="0"/>
        <w:pageBreakBefore w:val="0"/>
        <w:kinsoku/>
        <w:wordWrap/>
        <w:overflowPunct/>
        <w:topLinePunct w:val="0"/>
        <w:bidi w:val="0"/>
        <w:snapToGrid/>
        <w:spacing w:line="360" w:lineRule="exact"/>
        <w:ind w:firstLine="480" w:firstLineChars="200"/>
        <w:jc w:val="left"/>
        <w:textAlignment w:val="auto"/>
        <w:rPr>
          <w:rFonts w:hint="eastAsia" w:ascii="宋体" w:hAnsi="宋体" w:eastAsia="宋体" w:cs="宋体"/>
          <w:color w:val="auto"/>
          <w:szCs w:val="21"/>
        </w:rPr>
      </w:pPr>
      <w:r>
        <w:rPr>
          <w:rFonts w:hint="eastAsia" w:ascii="宋体" w:hAnsi="宋体" w:eastAsia="宋体" w:cs="宋体"/>
          <w:color w:val="auto"/>
          <w:szCs w:val="21"/>
        </w:rPr>
        <w:t>安全目标：轻伤在2‰以下，杜绝重伤和死亡事故的发生，杜绝发生机械事故。</w:t>
      </w:r>
    </w:p>
    <w:p>
      <w:pPr>
        <w:pStyle w:val="13"/>
        <w:keepNext w:val="0"/>
        <w:keepLines w:val="0"/>
        <w:pageBreakBefore w:val="0"/>
        <w:kinsoku/>
        <w:wordWrap/>
        <w:overflowPunct/>
        <w:topLinePunct w:val="0"/>
        <w:bidi w:val="0"/>
        <w:snapToGrid/>
        <w:spacing w:line="360" w:lineRule="exact"/>
        <w:ind w:firstLine="480" w:firstLineChars="200"/>
        <w:jc w:val="left"/>
        <w:textAlignment w:val="auto"/>
        <w:rPr>
          <w:rFonts w:hint="eastAsia" w:ascii="宋体" w:hAnsi="宋体" w:eastAsia="宋体" w:cs="宋体"/>
          <w:color w:val="auto"/>
          <w:szCs w:val="21"/>
        </w:rPr>
      </w:pPr>
      <w:r>
        <w:rPr>
          <w:rFonts w:hint="eastAsia" w:ascii="宋体" w:hAnsi="宋体" w:eastAsia="宋体" w:cs="宋体"/>
          <w:color w:val="auto"/>
          <w:szCs w:val="21"/>
        </w:rPr>
        <w:t>安全约定条款：乙方必须达到省级文明工地的安全要求，否则按协议书有关条例执行。</w:t>
      </w:r>
    </w:p>
    <w:p>
      <w:pPr>
        <w:pStyle w:val="13"/>
        <w:keepNext w:val="0"/>
        <w:keepLines w:val="0"/>
        <w:pageBreakBefore w:val="0"/>
        <w:kinsoku/>
        <w:wordWrap/>
        <w:overflowPunct/>
        <w:topLinePunct w:val="0"/>
        <w:bidi w:val="0"/>
        <w:snapToGrid/>
        <w:spacing w:line="360" w:lineRule="exact"/>
        <w:ind w:firstLine="480" w:firstLineChars="200"/>
        <w:jc w:val="left"/>
        <w:textAlignment w:val="auto"/>
        <w:rPr>
          <w:rFonts w:hint="eastAsia" w:ascii="宋体" w:hAnsi="宋体" w:eastAsia="宋体" w:cs="宋体"/>
          <w:color w:val="auto"/>
          <w:szCs w:val="21"/>
        </w:rPr>
      </w:pPr>
      <w:r>
        <w:rPr>
          <w:rFonts w:hint="eastAsia" w:ascii="宋体" w:hAnsi="宋体" w:eastAsia="宋体" w:cs="宋体"/>
          <w:color w:val="auto"/>
          <w:szCs w:val="21"/>
        </w:rPr>
        <w:t>2.1、安全设施管理：乙方不得擅自拆除、更动施工用电、脚手架及防护措施，对于现场机械、电器设备应符合要求，否则发生安全事故由乙方负责。</w:t>
      </w:r>
    </w:p>
    <w:p>
      <w:pPr>
        <w:pStyle w:val="13"/>
        <w:keepNext w:val="0"/>
        <w:keepLines w:val="0"/>
        <w:pageBreakBefore w:val="0"/>
        <w:kinsoku/>
        <w:wordWrap/>
        <w:overflowPunct/>
        <w:topLinePunct w:val="0"/>
        <w:bidi w:val="0"/>
        <w:snapToGrid/>
        <w:spacing w:line="360" w:lineRule="exact"/>
        <w:ind w:firstLine="480" w:firstLineChars="200"/>
        <w:jc w:val="left"/>
        <w:textAlignment w:val="auto"/>
        <w:rPr>
          <w:rFonts w:hint="eastAsia" w:ascii="宋体" w:hAnsi="宋体" w:eastAsia="宋体" w:cs="宋体"/>
          <w:color w:val="auto"/>
          <w:szCs w:val="21"/>
        </w:rPr>
      </w:pPr>
      <w:r>
        <w:rPr>
          <w:rFonts w:hint="eastAsia" w:ascii="宋体" w:hAnsi="宋体" w:eastAsia="宋体" w:cs="宋体"/>
          <w:color w:val="auto"/>
          <w:szCs w:val="21"/>
        </w:rPr>
        <w:t>2.2、安全带：对于高空作业必须戴安全带操作，否则甲方有权停止其工作，并严肃批评教育甚至罚款处理。乙方高空作业时如不按安全规定操作所发生人身伤亡事故，一律由乙方负责。</w:t>
      </w:r>
    </w:p>
    <w:p>
      <w:pPr>
        <w:pStyle w:val="13"/>
        <w:keepNext w:val="0"/>
        <w:keepLines w:val="0"/>
        <w:pageBreakBefore w:val="0"/>
        <w:kinsoku/>
        <w:wordWrap/>
        <w:overflowPunct/>
        <w:topLinePunct w:val="0"/>
        <w:bidi w:val="0"/>
        <w:snapToGrid/>
        <w:spacing w:line="360" w:lineRule="exact"/>
        <w:ind w:firstLine="480" w:firstLineChars="200"/>
        <w:jc w:val="left"/>
        <w:textAlignment w:val="auto"/>
        <w:rPr>
          <w:rFonts w:hint="eastAsia" w:ascii="宋体" w:hAnsi="宋体" w:eastAsia="宋体" w:cs="宋体"/>
          <w:color w:val="auto"/>
          <w:szCs w:val="21"/>
        </w:rPr>
      </w:pPr>
      <w:r>
        <w:rPr>
          <w:rFonts w:hint="eastAsia" w:ascii="宋体" w:hAnsi="宋体" w:eastAsia="宋体" w:cs="宋体"/>
          <w:color w:val="auto"/>
          <w:szCs w:val="21"/>
        </w:rPr>
        <w:t>2.3、安全帽：对于进入现场必须戴安全帽，如不戴安全帽进入现场，甲方处罚乙方每人每次20元，并赶出工地。</w:t>
      </w:r>
    </w:p>
    <w:p>
      <w:pPr>
        <w:pStyle w:val="13"/>
        <w:keepNext w:val="0"/>
        <w:keepLines w:val="0"/>
        <w:pageBreakBefore w:val="0"/>
        <w:kinsoku/>
        <w:wordWrap/>
        <w:overflowPunct/>
        <w:topLinePunct w:val="0"/>
        <w:bidi w:val="0"/>
        <w:snapToGrid/>
        <w:spacing w:line="360" w:lineRule="exact"/>
        <w:ind w:firstLine="480" w:firstLineChars="200"/>
        <w:jc w:val="left"/>
        <w:textAlignment w:val="auto"/>
        <w:rPr>
          <w:rFonts w:hint="eastAsia" w:ascii="宋体" w:hAnsi="宋体" w:eastAsia="宋体" w:cs="宋体"/>
          <w:color w:val="auto"/>
          <w:szCs w:val="21"/>
        </w:rPr>
      </w:pPr>
      <w:r>
        <w:rPr>
          <w:rFonts w:hint="eastAsia" w:ascii="宋体" w:hAnsi="宋体" w:eastAsia="宋体" w:cs="宋体"/>
          <w:color w:val="auto"/>
          <w:szCs w:val="21"/>
        </w:rPr>
        <w:t>2.4、室外高空作业：乙方人员应首先检查脚手板、护身栏杆、架子扣件是否牢固方可操作，如发生隐患，应立即向甲方报告。直至加固到符合安全要求方可施工，否则乙方不得施工。</w:t>
      </w:r>
    </w:p>
    <w:p>
      <w:pPr>
        <w:pStyle w:val="13"/>
        <w:keepNext w:val="0"/>
        <w:keepLines w:val="0"/>
        <w:pageBreakBefore w:val="0"/>
        <w:kinsoku/>
        <w:wordWrap/>
        <w:overflowPunct/>
        <w:topLinePunct w:val="0"/>
        <w:bidi w:val="0"/>
        <w:snapToGrid/>
        <w:spacing w:line="360" w:lineRule="exact"/>
        <w:ind w:firstLine="480" w:firstLineChars="200"/>
        <w:jc w:val="left"/>
        <w:textAlignment w:val="auto"/>
        <w:rPr>
          <w:rFonts w:hint="eastAsia" w:ascii="宋体" w:hAnsi="宋体" w:eastAsia="宋体" w:cs="宋体"/>
          <w:color w:val="auto"/>
          <w:szCs w:val="21"/>
        </w:rPr>
      </w:pPr>
      <w:r>
        <w:rPr>
          <w:rFonts w:hint="eastAsia" w:ascii="宋体" w:hAnsi="宋体" w:eastAsia="宋体" w:cs="宋体"/>
          <w:color w:val="auto"/>
          <w:szCs w:val="21"/>
        </w:rPr>
        <w:t>2.5、室内作业：必须检查脚手板、马凳是否牢固，特别在“四口五临边”，操作人员必须有安全防范措施和配备安全工具，否则所发生安全事故由乙方负责。</w:t>
      </w:r>
    </w:p>
    <w:p>
      <w:pPr>
        <w:pStyle w:val="13"/>
        <w:keepNext w:val="0"/>
        <w:keepLines w:val="0"/>
        <w:pageBreakBefore w:val="0"/>
        <w:kinsoku/>
        <w:wordWrap/>
        <w:overflowPunct/>
        <w:topLinePunct w:val="0"/>
        <w:bidi w:val="0"/>
        <w:snapToGrid/>
        <w:spacing w:line="360" w:lineRule="exact"/>
        <w:ind w:firstLine="480" w:firstLineChars="200"/>
        <w:jc w:val="left"/>
        <w:textAlignment w:val="auto"/>
        <w:rPr>
          <w:rFonts w:hint="eastAsia" w:ascii="宋体" w:hAnsi="宋体" w:eastAsia="宋体" w:cs="宋体"/>
          <w:color w:val="auto"/>
          <w:szCs w:val="21"/>
        </w:rPr>
      </w:pPr>
      <w:r>
        <w:rPr>
          <w:rFonts w:hint="eastAsia" w:ascii="宋体" w:hAnsi="宋体" w:eastAsia="宋体" w:cs="宋体"/>
          <w:color w:val="auto"/>
          <w:szCs w:val="21"/>
        </w:rPr>
        <w:t>2.6、日常安全教育：由乙方班组长进行班前安全教育，做好记录并反馈至项目部；每次组织安全教育大会，若不参加每人每次处以</w:t>
      </w:r>
      <w:r>
        <w:rPr>
          <w:rFonts w:hint="eastAsia" w:ascii="宋体" w:hAnsi="宋体" w:eastAsia="宋体" w:cs="宋体"/>
          <w:color w:val="auto"/>
          <w:szCs w:val="21"/>
          <w:u w:val="single"/>
        </w:rPr>
        <w:t>100</w:t>
      </w:r>
      <w:r>
        <w:rPr>
          <w:rFonts w:hint="eastAsia" w:ascii="宋体" w:hAnsi="宋体" w:eastAsia="宋体" w:cs="宋体"/>
          <w:color w:val="auto"/>
          <w:szCs w:val="21"/>
        </w:rPr>
        <w:t xml:space="preserve">元罚款；乙方进场人员没有进行安全教育，每发现一人处罚 </w:t>
      </w:r>
      <w:r>
        <w:rPr>
          <w:rFonts w:hint="eastAsia" w:ascii="宋体" w:hAnsi="宋体" w:eastAsia="宋体" w:cs="宋体"/>
          <w:color w:val="auto"/>
          <w:szCs w:val="21"/>
          <w:u w:val="single"/>
        </w:rPr>
        <w:t>100</w:t>
      </w:r>
      <w:r>
        <w:rPr>
          <w:rFonts w:hint="eastAsia" w:ascii="宋体" w:hAnsi="宋体" w:eastAsia="宋体" w:cs="宋体"/>
          <w:color w:val="auto"/>
          <w:szCs w:val="21"/>
        </w:rPr>
        <w:t xml:space="preserve"> 元。</w:t>
      </w:r>
    </w:p>
    <w:p>
      <w:pPr>
        <w:pStyle w:val="13"/>
        <w:keepNext w:val="0"/>
        <w:keepLines w:val="0"/>
        <w:pageBreakBefore w:val="0"/>
        <w:kinsoku/>
        <w:wordWrap/>
        <w:overflowPunct/>
        <w:topLinePunct w:val="0"/>
        <w:bidi w:val="0"/>
        <w:snapToGrid/>
        <w:spacing w:line="360" w:lineRule="exact"/>
        <w:ind w:firstLine="480" w:firstLineChars="200"/>
        <w:jc w:val="left"/>
        <w:textAlignment w:val="auto"/>
        <w:rPr>
          <w:rFonts w:hint="eastAsia" w:ascii="宋体" w:hAnsi="宋体" w:eastAsia="宋体" w:cs="宋体"/>
          <w:color w:val="auto"/>
          <w:szCs w:val="21"/>
        </w:rPr>
      </w:pPr>
      <w:r>
        <w:rPr>
          <w:rFonts w:hint="eastAsia" w:ascii="宋体" w:hAnsi="宋体" w:eastAsia="宋体" w:cs="宋体"/>
          <w:color w:val="auto"/>
          <w:szCs w:val="21"/>
        </w:rPr>
        <w:t xml:space="preserve">2.7、违章处理：对乙方有下列违章行为之一的人员每次处罚 </w:t>
      </w:r>
      <w:r>
        <w:rPr>
          <w:rFonts w:hint="eastAsia" w:ascii="宋体" w:hAnsi="宋体" w:eastAsia="宋体" w:cs="宋体"/>
          <w:color w:val="auto"/>
          <w:szCs w:val="21"/>
          <w:u w:val="single"/>
        </w:rPr>
        <w:t xml:space="preserve">100 </w:t>
      </w:r>
      <w:r>
        <w:rPr>
          <w:rFonts w:hint="eastAsia" w:ascii="宋体" w:hAnsi="宋体" w:eastAsia="宋体" w:cs="宋体"/>
          <w:color w:val="auto"/>
          <w:szCs w:val="21"/>
        </w:rPr>
        <w:t>元。</w:t>
      </w:r>
    </w:p>
    <w:p>
      <w:pPr>
        <w:pStyle w:val="20"/>
        <w:keepNext w:val="0"/>
        <w:keepLines w:val="0"/>
        <w:pageBreakBefore w:val="0"/>
        <w:kinsoku/>
        <w:wordWrap/>
        <w:overflowPunct/>
        <w:topLinePunct w:val="0"/>
        <w:bidi w:val="0"/>
        <w:adjustRightInd/>
        <w:snapToGrid/>
        <w:spacing w:after="0" w:line="360" w:lineRule="exact"/>
        <w:ind w:left="0" w:leftChars="0"/>
        <w:textAlignment w:val="auto"/>
        <w:rPr>
          <w:rFonts w:hint="eastAsia" w:ascii="宋体" w:hAnsi="宋体" w:eastAsia="宋体" w:cs="宋体"/>
          <w:color w:val="auto"/>
          <w:kern w:val="2"/>
          <w:sz w:val="24"/>
          <w:szCs w:val="21"/>
          <w:lang w:val="en-US"/>
        </w:rPr>
      </w:pPr>
      <w:r>
        <w:rPr>
          <w:rFonts w:hint="eastAsia" w:ascii="宋体" w:hAnsi="宋体" w:eastAsia="宋体" w:cs="宋体"/>
          <w:color w:val="auto"/>
          <w:kern w:val="2"/>
          <w:sz w:val="24"/>
          <w:szCs w:val="21"/>
          <w:lang w:val="en-US"/>
        </w:rPr>
        <w:t>①高处作业未穿防滑鞋，未按规定铺板和设置防护栏杆。</w:t>
      </w:r>
    </w:p>
    <w:p>
      <w:pPr>
        <w:pStyle w:val="20"/>
        <w:keepNext w:val="0"/>
        <w:keepLines w:val="0"/>
        <w:pageBreakBefore w:val="0"/>
        <w:kinsoku/>
        <w:wordWrap/>
        <w:overflowPunct/>
        <w:topLinePunct w:val="0"/>
        <w:bidi w:val="0"/>
        <w:adjustRightInd/>
        <w:snapToGrid/>
        <w:spacing w:after="0" w:line="360" w:lineRule="exact"/>
        <w:ind w:left="0" w:leftChars="0"/>
        <w:textAlignment w:val="auto"/>
        <w:rPr>
          <w:rFonts w:hint="eastAsia" w:ascii="宋体" w:hAnsi="宋体" w:eastAsia="宋体" w:cs="宋体"/>
          <w:color w:val="auto"/>
          <w:kern w:val="2"/>
          <w:sz w:val="24"/>
          <w:szCs w:val="21"/>
          <w:lang w:val="en-US"/>
        </w:rPr>
      </w:pPr>
      <w:r>
        <w:rPr>
          <w:rFonts w:hint="eastAsia" w:ascii="宋体" w:hAnsi="宋体" w:eastAsia="宋体" w:cs="宋体"/>
          <w:color w:val="auto"/>
          <w:kern w:val="2"/>
          <w:sz w:val="24"/>
          <w:szCs w:val="21"/>
          <w:lang w:val="en-US"/>
        </w:rPr>
        <w:t>②2米以上（含2米）高处作业未系好安全带。</w:t>
      </w:r>
    </w:p>
    <w:p>
      <w:pPr>
        <w:pStyle w:val="20"/>
        <w:keepNext w:val="0"/>
        <w:keepLines w:val="0"/>
        <w:pageBreakBefore w:val="0"/>
        <w:kinsoku/>
        <w:wordWrap/>
        <w:overflowPunct/>
        <w:topLinePunct w:val="0"/>
        <w:bidi w:val="0"/>
        <w:adjustRightInd/>
        <w:snapToGrid/>
        <w:spacing w:after="0" w:line="360" w:lineRule="exact"/>
        <w:ind w:left="0" w:leftChars="0"/>
        <w:textAlignment w:val="auto"/>
        <w:rPr>
          <w:rFonts w:hint="eastAsia" w:ascii="宋体" w:hAnsi="宋体" w:eastAsia="宋体" w:cs="宋体"/>
          <w:color w:val="auto"/>
          <w:kern w:val="2"/>
          <w:sz w:val="24"/>
          <w:szCs w:val="21"/>
          <w:lang w:val="en-US"/>
        </w:rPr>
      </w:pPr>
      <w:r>
        <w:rPr>
          <w:rFonts w:hint="eastAsia" w:ascii="宋体" w:hAnsi="宋体" w:eastAsia="宋体" w:cs="宋体"/>
          <w:color w:val="auto"/>
          <w:kern w:val="2"/>
          <w:sz w:val="24"/>
          <w:szCs w:val="21"/>
          <w:lang w:val="en-US"/>
        </w:rPr>
        <w:t>③没有防护设施或防护设施不全的高处作业。</w:t>
      </w:r>
    </w:p>
    <w:p>
      <w:pPr>
        <w:pStyle w:val="20"/>
        <w:keepNext w:val="0"/>
        <w:keepLines w:val="0"/>
        <w:pageBreakBefore w:val="0"/>
        <w:kinsoku/>
        <w:wordWrap/>
        <w:overflowPunct/>
        <w:topLinePunct w:val="0"/>
        <w:bidi w:val="0"/>
        <w:adjustRightInd/>
        <w:snapToGrid/>
        <w:spacing w:after="0" w:line="360" w:lineRule="exact"/>
        <w:ind w:left="0" w:leftChars="0"/>
        <w:textAlignment w:val="auto"/>
        <w:rPr>
          <w:rFonts w:hint="eastAsia" w:ascii="宋体" w:hAnsi="宋体" w:eastAsia="宋体" w:cs="宋体"/>
          <w:color w:val="auto"/>
          <w:kern w:val="2"/>
          <w:sz w:val="24"/>
          <w:szCs w:val="21"/>
          <w:lang w:val="en-US"/>
        </w:rPr>
      </w:pPr>
      <w:r>
        <w:rPr>
          <w:rFonts w:hint="eastAsia" w:ascii="宋体" w:hAnsi="宋体" w:eastAsia="宋体" w:cs="宋体"/>
          <w:color w:val="auto"/>
          <w:kern w:val="2"/>
          <w:sz w:val="24"/>
          <w:szCs w:val="21"/>
          <w:lang w:val="en-US"/>
        </w:rPr>
        <w:t>④非特种作业人员从事特种作业，特种作业人员不持证上岗。</w:t>
      </w:r>
    </w:p>
    <w:p>
      <w:pPr>
        <w:pStyle w:val="20"/>
        <w:keepNext w:val="0"/>
        <w:keepLines w:val="0"/>
        <w:pageBreakBefore w:val="0"/>
        <w:kinsoku/>
        <w:wordWrap/>
        <w:overflowPunct/>
        <w:topLinePunct w:val="0"/>
        <w:bidi w:val="0"/>
        <w:adjustRightInd/>
        <w:snapToGrid/>
        <w:spacing w:after="0" w:line="360" w:lineRule="exact"/>
        <w:ind w:left="0" w:leftChars="0"/>
        <w:textAlignment w:val="auto"/>
        <w:rPr>
          <w:rFonts w:hint="eastAsia" w:ascii="宋体" w:hAnsi="宋体" w:eastAsia="宋体" w:cs="宋体"/>
          <w:color w:val="auto"/>
          <w:kern w:val="2"/>
          <w:sz w:val="24"/>
          <w:szCs w:val="21"/>
          <w:lang w:val="en-US"/>
        </w:rPr>
      </w:pPr>
      <w:r>
        <w:rPr>
          <w:rFonts w:hint="eastAsia" w:ascii="宋体" w:hAnsi="宋体" w:eastAsia="宋体" w:cs="宋体"/>
          <w:color w:val="auto"/>
          <w:kern w:val="2"/>
          <w:sz w:val="24"/>
          <w:szCs w:val="21"/>
          <w:lang w:val="en-US"/>
        </w:rPr>
        <w:t>⑤非本工种人员乱摸乱动机电设备。</w:t>
      </w:r>
    </w:p>
    <w:p>
      <w:pPr>
        <w:pStyle w:val="20"/>
        <w:keepNext w:val="0"/>
        <w:keepLines w:val="0"/>
        <w:pageBreakBefore w:val="0"/>
        <w:kinsoku/>
        <w:wordWrap/>
        <w:overflowPunct/>
        <w:topLinePunct w:val="0"/>
        <w:bidi w:val="0"/>
        <w:adjustRightInd/>
        <w:snapToGrid/>
        <w:spacing w:after="0" w:line="360" w:lineRule="exact"/>
        <w:ind w:left="0" w:leftChars="0"/>
        <w:textAlignment w:val="auto"/>
        <w:rPr>
          <w:rFonts w:hint="eastAsia" w:ascii="宋体" w:hAnsi="宋体" w:eastAsia="宋体" w:cs="宋体"/>
          <w:color w:val="auto"/>
          <w:kern w:val="2"/>
          <w:sz w:val="24"/>
          <w:szCs w:val="21"/>
          <w:lang w:val="en-US"/>
        </w:rPr>
      </w:pPr>
      <w:r>
        <w:rPr>
          <w:rFonts w:hint="eastAsia" w:ascii="宋体" w:hAnsi="宋体" w:eastAsia="宋体" w:cs="宋体"/>
          <w:color w:val="auto"/>
          <w:kern w:val="2"/>
          <w:sz w:val="24"/>
          <w:szCs w:val="21"/>
          <w:lang w:val="en-US"/>
        </w:rPr>
        <w:t>⑥未执行本工种安全技术交底，违章作业、冒险蛮干。</w:t>
      </w:r>
    </w:p>
    <w:p>
      <w:pPr>
        <w:pStyle w:val="20"/>
        <w:keepNext w:val="0"/>
        <w:keepLines w:val="0"/>
        <w:pageBreakBefore w:val="0"/>
        <w:kinsoku/>
        <w:wordWrap/>
        <w:overflowPunct/>
        <w:topLinePunct w:val="0"/>
        <w:bidi w:val="0"/>
        <w:adjustRightInd/>
        <w:snapToGrid/>
        <w:spacing w:after="0" w:line="360" w:lineRule="exact"/>
        <w:ind w:left="0" w:leftChars="0"/>
        <w:textAlignment w:val="auto"/>
        <w:rPr>
          <w:rFonts w:hint="eastAsia" w:ascii="宋体" w:hAnsi="宋体" w:eastAsia="宋体" w:cs="宋体"/>
          <w:color w:val="auto"/>
          <w:kern w:val="2"/>
          <w:sz w:val="24"/>
          <w:szCs w:val="21"/>
          <w:lang w:val="en-US"/>
        </w:rPr>
      </w:pPr>
      <w:r>
        <w:rPr>
          <w:rFonts w:hint="eastAsia" w:ascii="宋体" w:hAnsi="宋体" w:eastAsia="宋体" w:cs="宋体"/>
          <w:color w:val="auto"/>
          <w:kern w:val="2"/>
          <w:sz w:val="24"/>
          <w:szCs w:val="21"/>
          <w:lang w:val="en-US"/>
        </w:rPr>
        <w:t>⑦不走正式安全通道，翻爬栏杆、脚手架等违章行为。</w:t>
      </w:r>
    </w:p>
    <w:p>
      <w:pPr>
        <w:pStyle w:val="20"/>
        <w:keepNext w:val="0"/>
        <w:keepLines w:val="0"/>
        <w:pageBreakBefore w:val="0"/>
        <w:kinsoku/>
        <w:wordWrap/>
        <w:overflowPunct/>
        <w:topLinePunct w:val="0"/>
        <w:bidi w:val="0"/>
        <w:adjustRightInd/>
        <w:snapToGrid/>
        <w:spacing w:after="0" w:line="360" w:lineRule="exact"/>
        <w:ind w:left="0" w:leftChars="0"/>
        <w:textAlignment w:val="auto"/>
        <w:rPr>
          <w:rFonts w:hint="eastAsia" w:ascii="宋体" w:hAnsi="宋体" w:eastAsia="宋体" w:cs="宋体"/>
          <w:color w:val="auto"/>
          <w:kern w:val="2"/>
          <w:sz w:val="24"/>
          <w:szCs w:val="21"/>
          <w:lang w:val="en-US"/>
        </w:rPr>
      </w:pPr>
      <w:r>
        <w:rPr>
          <w:rFonts w:hint="eastAsia" w:ascii="宋体" w:hAnsi="宋体" w:eastAsia="宋体" w:cs="宋体"/>
          <w:color w:val="auto"/>
          <w:kern w:val="2"/>
          <w:sz w:val="24"/>
          <w:szCs w:val="21"/>
          <w:lang w:val="en-US"/>
        </w:rPr>
        <w:t>⑧高处作业向下抛投物体。</w:t>
      </w:r>
    </w:p>
    <w:p>
      <w:pPr>
        <w:pStyle w:val="20"/>
        <w:keepNext w:val="0"/>
        <w:keepLines w:val="0"/>
        <w:pageBreakBefore w:val="0"/>
        <w:kinsoku/>
        <w:wordWrap/>
        <w:overflowPunct/>
        <w:topLinePunct w:val="0"/>
        <w:bidi w:val="0"/>
        <w:adjustRightInd/>
        <w:snapToGrid/>
        <w:spacing w:after="0" w:line="360" w:lineRule="exact"/>
        <w:ind w:left="0" w:leftChars="0"/>
        <w:textAlignment w:val="auto"/>
        <w:rPr>
          <w:rFonts w:hint="eastAsia" w:ascii="宋体" w:hAnsi="宋体" w:eastAsia="宋体" w:cs="宋体"/>
          <w:color w:val="auto"/>
          <w:kern w:val="2"/>
          <w:sz w:val="24"/>
          <w:szCs w:val="21"/>
          <w:lang w:val="en-US"/>
        </w:rPr>
      </w:pPr>
      <w:r>
        <w:rPr>
          <w:rFonts w:hint="eastAsia" w:ascii="宋体" w:hAnsi="宋体" w:eastAsia="宋体" w:cs="宋体"/>
          <w:color w:val="auto"/>
          <w:kern w:val="2"/>
          <w:sz w:val="24"/>
          <w:szCs w:val="21"/>
          <w:lang w:val="en-US"/>
        </w:rPr>
        <w:t>⑨机电设备缺防护装置，未按操作规程操作。</w:t>
      </w:r>
    </w:p>
    <w:p>
      <w:pPr>
        <w:pStyle w:val="20"/>
        <w:keepNext w:val="0"/>
        <w:keepLines w:val="0"/>
        <w:pageBreakBefore w:val="0"/>
        <w:kinsoku/>
        <w:wordWrap/>
        <w:overflowPunct/>
        <w:topLinePunct w:val="0"/>
        <w:bidi w:val="0"/>
        <w:adjustRightInd/>
        <w:snapToGrid/>
        <w:spacing w:after="0" w:line="360" w:lineRule="exact"/>
        <w:ind w:left="0" w:leftChars="0"/>
        <w:textAlignment w:val="auto"/>
        <w:rPr>
          <w:rFonts w:hint="eastAsia" w:ascii="宋体" w:hAnsi="宋体" w:eastAsia="宋体" w:cs="宋体"/>
          <w:color w:val="auto"/>
          <w:kern w:val="2"/>
          <w:sz w:val="24"/>
          <w:szCs w:val="21"/>
          <w:lang w:val="en-US"/>
        </w:rPr>
      </w:pPr>
      <w:r>
        <w:rPr>
          <w:rFonts w:hint="eastAsia" w:ascii="宋体" w:hAnsi="宋体" w:eastAsia="宋体" w:cs="宋体"/>
          <w:color w:val="auto"/>
          <w:kern w:val="2"/>
          <w:sz w:val="24"/>
          <w:szCs w:val="21"/>
          <w:lang w:val="en-US"/>
        </w:rPr>
        <w:t>⑩破坏现场各种防护装置、防护设施和安全标志，未经工程管理部门批准，随意挪动或拆除。</w:t>
      </w:r>
    </w:p>
    <w:p>
      <w:pPr>
        <w:pStyle w:val="20"/>
        <w:keepNext w:val="0"/>
        <w:keepLines w:val="0"/>
        <w:pageBreakBefore w:val="0"/>
        <w:kinsoku/>
        <w:wordWrap/>
        <w:overflowPunct/>
        <w:topLinePunct w:val="0"/>
        <w:bidi w:val="0"/>
        <w:adjustRightInd/>
        <w:snapToGrid/>
        <w:spacing w:after="0" w:line="360" w:lineRule="exact"/>
        <w:ind w:left="0" w:leftChars="0"/>
        <w:textAlignment w:val="auto"/>
        <w:rPr>
          <w:rFonts w:hint="eastAsia" w:ascii="宋体" w:hAnsi="宋体" w:eastAsia="宋体" w:cs="宋体"/>
          <w:color w:val="auto"/>
          <w:kern w:val="2"/>
          <w:sz w:val="24"/>
          <w:szCs w:val="21"/>
          <w:lang w:val="en-US"/>
        </w:rPr>
      </w:pPr>
    </w:p>
    <w:p>
      <w:pPr>
        <w:pStyle w:val="20"/>
        <w:keepNext w:val="0"/>
        <w:keepLines w:val="0"/>
        <w:pageBreakBefore w:val="0"/>
        <w:kinsoku/>
        <w:wordWrap/>
        <w:overflowPunct/>
        <w:topLinePunct w:val="0"/>
        <w:bidi w:val="0"/>
        <w:adjustRightInd/>
        <w:snapToGrid/>
        <w:spacing w:after="0" w:line="360" w:lineRule="exact"/>
        <w:ind w:left="0" w:leftChars="0" w:firstLine="422"/>
        <w:textAlignment w:val="auto"/>
        <w:rPr>
          <w:rFonts w:hint="eastAsia" w:ascii="宋体" w:hAnsi="宋体" w:eastAsia="宋体" w:cs="宋体"/>
          <w:color w:val="auto"/>
          <w:kern w:val="2"/>
          <w:sz w:val="24"/>
          <w:szCs w:val="21"/>
          <w:lang w:val="en-US"/>
        </w:rPr>
      </w:pPr>
      <w:r>
        <w:rPr>
          <w:rFonts w:hint="eastAsia" w:ascii="宋体" w:hAnsi="宋体" w:eastAsia="宋体" w:cs="宋体"/>
          <w:b w:val="0"/>
          <w:bCs w:val="0"/>
          <w:color w:val="auto"/>
          <w:kern w:val="2"/>
          <w:sz w:val="24"/>
          <w:szCs w:val="21"/>
          <w:lang w:val="en-US"/>
        </w:rPr>
        <w:t>三、现场施工安全管理措施：</w:t>
      </w:r>
    </w:p>
    <w:p>
      <w:pPr>
        <w:pStyle w:val="20"/>
        <w:keepNext w:val="0"/>
        <w:keepLines w:val="0"/>
        <w:pageBreakBefore w:val="0"/>
        <w:kinsoku/>
        <w:wordWrap/>
        <w:overflowPunct/>
        <w:topLinePunct w:val="0"/>
        <w:bidi w:val="0"/>
        <w:adjustRightInd/>
        <w:snapToGrid/>
        <w:spacing w:after="0" w:line="360" w:lineRule="exact"/>
        <w:ind w:left="0" w:leftChars="0"/>
        <w:textAlignment w:val="auto"/>
        <w:rPr>
          <w:rFonts w:hint="eastAsia" w:ascii="宋体" w:hAnsi="宋体" w:eastAsia="宋体" w:cs="宋体"/>
          <w:color w:val="auto"/>
          <w:kern w:val="2"/>
          <w:sz w:val="24"/>
          <w:szCs w:val="21"/>
          <w:lang w:val="en-US"/>
        </w:rPr>
      </w:pPr>
      <w:r>
        <w:rPr>
          <w:rFonts w:hint="eastAsia" w:ascii="宋体" w:hAnsi="宋体" w:eastAsia="宋体" w:cs="宋体"/>
          <w:color w:val="auto"/>
          <w:kern w:val="2"/>
          <w:sz w:val="24"/>
          <w:szCs w:val="21"/>
        </w:rPr>
        <w:t>3.</w:t>
      </w:r>
      <w:r>
        <w:rPr>
          <w:rFonts w:hint="eastAsia" w:ascii="宋体" w:hAnsi="宋体" w:eastAsia="宋体" w:cs="宋体"/>
          <w:color w:val="auto"/>
          <w:kern w:val="2"/>
          <w:sz w:val="24"/>
          <w:szCs w:val="21"/>
          <w:lang w:val="en-US"/>
        </w:rPr>
        <w:t>1、乙方必须确保所有进场的人员，年满18岁且身体健康。老、弱、病、残、家属、小孩及童工不得进入现场，否则，产生的一切后果均由乙方承担，甲方不承担任何责任。</w:t>
      </w:r>
    </w:p>
    <w:p>
      <w:pPr>
        <w:pStyle w:val="20"/>
        <w:keepNext w:val="0"/>
        <w:keepLines w:val="0"/>
        <w:pageBreakBefore w:val="0"/>
        <w:kinsoku/>
        <w:wordWrap/>
        <w:overflowPunct/>
        <w:topLinePunct w:val="0"/>
        <w:bidi w:val="0"/>
        <w:adjustRightInd/>
        <w:snapToGrid/>
        <w:spacing w:after="0" w:line="360" w:lineRule="exact"/>
        <w:ind w:left="0" w:leftChars="0"/>
        <w:textAlignment w:val="auto"/>
        <w:rPr>
          <w:rFonts w:hint="eastAsia" w:ascii="宋体" w:hAnsi="宋体" w:eastAsia="宋体" w:cs="宋体"/>
          <w:color w:val="auto"/>
          <w:kern w:val="2"/>
          <w:sz w:val="24"/>
          <w:szCs w:val="21"/>
          <w:lang w:val="en-US"/>
        </w:rPr>
      </w:pPr>
      <w:r>
        <w:rPr>
          <w:rFonts w:hint="eastAsia" w:ascii="宋体" w:hAnsi="宋体" w:eastAsia="宋体" w:cs="宋体"/>
          <w:color w:val="auto"/>
          <w:kern w:val="2"/>
          <w:sz w:val="24"/>
          <w:szCs w:val="21"/>
        </w:rPr>
        <w:t>3.</w:t>
      </w:r>
      <w:r>
        <w:rPr>
          <w:rFonts w:hint="eastAsia" w:ascii="宋体" w:hAnsi="宋体" w:eastAsia="宋体" w:cs="宋体"/>
          <w:color w:val="auto"/>
          <w:kern w:val="2"/>
          <w:sz w:val="24"/>
          <w:szCs w:val="21"/>
          <w:lang w:val="en-US"/>
        </w:rPr>
        <w:t>2、在施工工地由于乙方内部管理不严而误伤他人，由乙方承担全部责任。乙方人员与其它人员发生打架斗殴事件，责任自负，并且甲方将按《文明施工规定》严加处罚。乙方人员外出发生走失和其它任何不安全事件责任由乙方自负，甲方概不负责。</w:t>
      </w:r>
    </w:p>
    <w:p>
      <w:pPr>
        <w:pStyle w:val="20"/>
        <w:keepNext w:val="0"/>
        <w:keepLines w:val="0"/>
        <w:pageBreakBefore w:val="0"/>
        <w:kinsoku/>
        <w:wordWrap/>
        <w:overflowPunct/>
        <w:topLinePunct w:val="0"/>
        <w:bidi w:val="0"/>
        <w:adjustRightInd/>
        <w:snapToGrid/>
        <w:spacing w:after="0" w:line="360" w:lineRule="exact"/>
        <w:ind w:left="0" w:leftChars="0"/>
        <w:textAlignment w:val="auto"/>
        <w:rPr>
          <w:rFonts w:hint="eastAsia" w:ascii="宋体" w:hAnsi="宋体" w:eastAsia="宋体" w:cs="宋体"/>
          <w:color w:val="auto"/>
          <w:kern w:val="2"/>
          <w:sz w:val="24"/>
          <w:szCs w:val="21"/>
          <w:lang w:val="en-US"/>
        </w:rPr>
      </w:pPr>
      <w:r>
        <w:rPr>
          <w:rFonts w:hint="eastAsia" w:ascii="宋体" w:hAnsi="宋体" w:eastAsia="宋体" w:cs="宋体"/>
          <w:color w:val="auto"/>
          <w:kern w:val="2"/>
          <w:sz w:val="24"/>
          <w:szCs w:val="21"/>
        </w:rPr>
        <w:t>3.</w:t>
      </w:r>
      <w:r>
        <w:rPr>
          <w:rFonts w:hint="eastAsia" w:ascii="宋体" w:hAnsi="宋体" w:eastAsia="宋体" w:cs="宋体"/>
          <w:color w:val="auto"/>
          <w:kern w:val="2"/>
          <w:sz w:val="24"/>
          <w:szCs w:val="21"/>
          <w:lang w:val="en-US"/>
        </w:rPr>
        <w:t>3、乙方人员和家属未经项目部许可不得在施工现场和生活区内摆摊设点，开食堂、卖副食，以防止中毒和发生意外。</w:t>
      </w:r>
    </w:p>
    <w:p>
      <w:pPr>
        <w:pStyle w:val="20"/>
        <w:keepNext w:val="0"/>
        <w:keepLines w:val="0"/>
        <w:pageBreakBefore w:val="0"/>
        <w:kinsoku/>
        <w:wordWrap/>
        <w:overflowPunct/>
        <w:topLinePunct w:val="0"/>
        <w:bidi w:val="0"/>
        <w:adjustRightInd/>
        <w:snapToGrid/>
        <w:spacing w:after="0" w:line="360" w:lineRule="exact"/>
        <w:ind w:left="0" w:leftChars="0"/>
        <w:textAlignment w:val="auto"/>
        <w:rPr>
          <w:rFonts w:hint="eastAsia" w:ascii="宋体" w:hAnsi="宋体" w:eastAsia="宋体" w:cs="宋体"/>
          <w:color w:val="auto"/>
          <w:kern w:val="2"/>
          <w:sz w:val="24"/>
          <w:szCs w:val="21"/>
          <w:lang w:val="en-US"/>
        </w:rPr>
      </w:pPr>
      <w:r>
        <w:rPr>
          <w:rFonts w:hint="eastAsia" w:ascii="宋体" w:hAnsi="宋体" w:eastAsia="宋体" w:cs="宋体"/>
          <w:color w:val="auto"/>
          <w:kern w:val="2"/>
          <w:sz w:val="24"/>
          <w:szCs w:val="21"/>
        </w:rPr>
        <w:t>3.</w:t>
      </w:r>
      <w:r>
        <w:rPr>
          <w:rFonts w:hint="eastAsia" w:ascii="宋体" w:hAnsi="宋体" w:eastAsia="宋体" w:cs="宋体"/>
          <w:color w:val="auto"/>
          <w:kern w:val="2"/>
          <w:sz w:val="24"/>
          <w:szCs w:val="21"/>
          <w:lang w:val="en-US"/>
        </w:rPr>
        <w:t xml:space="preserve">4、施工现场所有材料进场必须按规定码放整齐、达到文明工地要求，工序交接时（钢筋料：余料、扎丝、套筒、保护帽、垫块、清理干净、竖向报验时无任何相应材料，并清扫周围地面；木工：顶板、梁内、结构架内材料、地面清扫、拆模后材料清理、地面粗扫等；混凝土工：板面扫水、放线后楼面清扫干净、拆模后楼面清除清扫每次浇砼后施工面、车辆进出口路面清扫、余料处理等；外架工：每日检查密目网、防护、脚手板、拉结点、外架上的材料清理等；钢筋加工：钢筋分类、分项、码放整齐，挂标示牌、废料进箱施工区域清扫等）所有工种完工报验时，必须达到以上规定，并检查外架上无任何材料。宿舍要随时保持干净、整洁、卫生，物品摆放整齐有序、无异味排好值日表并有专人负责。甲方将组织不定期检查，各班组、各房间，评比打分。对最差房间或班组进行 </w:t>
      </w:r>
      <w:r>
        <w:rPr>
          <w:rFonts w:hint="eastAsia" w:ascii="宋体" w:hAnsi="宋体" w:eastAsia="宋体" w:cs="宋体"/>
          <w:color w:val="auto"/>
          <w:kern w:val="2"/>
          <w:sz w:val="24"/>
          <w:szCs w:val="21"/>
          <w:u w:val="none"/>
          <w:lang w:val="en-US"/>
        </w:rPr>
        <w:t>500~1000</w:t>
      </w:r>
      <w:r>
        <w:rPr>
          <w:rFonts w:hint="eastAsia" w:ascii="宋体" w:hAnsi="宋体" w:eastAsia="宋体" w:cs="宋体"/>
          <w:color w:val="auto"/>
          <w:kern w:val="2"/>
          <w:sz w:val="24"/>
          <w:szCs w:val="21"/>
          <w:lang w:val="en-US"/>
        </w:rPr>
        <w:t xml:space="preserve"> 元处罚。</w:t>
      </w:r>
    </w:p>
    <w:p>
      <w:pPr>
        <w:pStyle w:val="20"/>
        <w:keepNext w:val="0"/>
        <w:keepLines w:val="0"/>
        <w:pageBreakBefore w:val="0"/>
        <w:kinsoku/>
        <w:wordWrap/>
        <w:overflowPunct/>
        <w:topLinePunct w:val="0"/>
        <w:bidi w:val="0"/>
        <w:adjustRightInd/>
        <w:snapToGrid/>
        <w:spacing w:after="0" w:line="360" w:lineRule="exact"/>
        <w:ind w:left="0" w:leftChars="0"/>
        <w:textAlignment w:val="auto"/>
        <w:rPr>
          <w:rFonts w:hint="eastAsia" w:ascii="宋体" w:hAnsi="宋体" w:eastAsia="宋体" w:cs="宋体"/>
          <w:color w:val="auto"/>
          <w:kern w:val="2"/>
          <w:sz w:val="24"/>
          <w:szCs w:val="21"/>
          <w:lang w:val="en-US"/>
        </w:rPr>
      </w:pPr>
      <w:r>
        <w:rPr>
          <w:rFonts w:hint="eastAsia" w:ascii="宋体" w:hAnsi="宋体" w:eastAsia="宋体" w:cs="宋体"/>
          <w:color w:val="auto"/>
          <w:kern w:val="2"/>
          <w:sz w:val="24"/>
          <w:szCs w:val="21"/>
        </w:rPr>
        <w:t>3.</w:t>
      </w:r>
      <w:r>
        <w:rPr>
          <w:rFonts w:hint="eastAsia" w:ascii="宋体" w:hAnsi="宋体" w:eastAsia="宋体" w:cs="宋体"/>
          <w:color w:val="auto"/>
          <w:kern w:val="2"/>
          <w:sz w:val="24"/>
          <w:szCs w:val="21"/>
          <w:lang w:val="en-US"/>
        </w:rPr>
        <w:t>5、乙方人员在施工现场，生活区有节约设施材料及水电的责任，对随意浪费者，甲方将对其处以该设施材料原值</w:t>
      </w:r>
      <w:r>
        <w:rPr>
          <w:rFonts w:hint="eastAsia" w:ascii="宋体" w:hAnsi="宋体" w:eastAsia="宋体" w:cs="宋体"/>
          <w:color w:val="auto"/>
          <w:kern w:val="2"/>
          <w:sz w:val="24"/>
          <w:szCs w:val="21"/>
          <w:u w:val="none"/>
          <w:lang w:val="en-US"/>
        </w:rPr>
        <w:t xml:space="preserve"> 1~3</w:t>
      </w:r>
      <w:r>
        <w:rPr>
          <w:rFonts w:hint="eastAsia" w:ascii="宋体" w:hAnsi="宋体" w:eastAsia="宋体" w:cs="宋体"/>
          <w:color w:val="auto"/>
          <w:kern w:val="2"/>
          <w:sz w:val="24"/>
          <w:szCs w:val="21"/>
          <w:lang w:val="en-US"/>
        </w:rPr>
        <w:t xml:space="preserve"> 倍的罚款。</w:t>
      </w:r>
    </w:p>
    <w:p>
      <w:pPr>
        <w:pStyle w:val="20"/>
        <w:keepNext w:val="0"/>
        <w:keepLines w:val="0"/>
        <w:pageBreakBefore w:val="0"/>
        <w:kinsoku/>
        <w:wordWrap/>
        <w:overflowPunct/>
        <w:topLinePunct w:val="0"/>
        <w:bidi w:val="0"/>
        <w:adjustRightInd/>
        <w:snapToGrid/>
        <w:spacing w:after="0" w:line="360" w:lineRule="exact"/>
        <w:ind w:left="0" w:leftChars="0"/>
        <w:textAlignment w:val="auto"/>
        <w:rPr>
          <w:rFonts w:hint="eastAsia" w:ascii="宋体" w:hAnsi="宋体" w:eastAsia="宋体" w:cs="宋体"/>
          <w:color w:val="auto"/>
          <w:kern w:val="2"/>
          <w:sz w:val="24"/>
          <w:szCs w:val="21"/>
          <w:lang w:val="en-US"/>
        </w:rPr>
      </w:pPr>
      <w:r>
        <w:rPr>
          <w:rFonts w:hint="eastAsia" w:ascii="宋体" w:hAnsi="宋体" w:eastAsia="宋体" w:cs="宋体"/>
          <w:color w:val="auto"/>
          <w:kern w:val="2"/>
          <w:sz w:val="24"/>
          <w:szCs w:val="21"/>
        </w:rPr>
        <w:t>3.</w:t>
      </w:r>
      <w:r>
        <w:rPr>
          <w:rFonts w:hint="eastAsia" w:ascii="宋体" w:hAnsi="宋体" w:eastAsia="宋体" w:cs="宋体"/>
          <w:color w:val="auto"/>
          <w:kern w:val="2"/>
          <w:sz w:val="24"/>
          <w:szCs w:val="21"/>
          <w:lang w:val="en-US"/>
        </w:rPr>
        <w:t xml:space="preserve">6、严禁赌博、集众闹事、酗酒等不文明行为出现，对违反者视情节轻重除对当事人处以 100~500 元罚款，并对所属班组处以 </w:t>
      </w:r>
      <w:r>
        <w:rPr>
          <w:rFonts w:hint="eastAsia" w:ascii="宋体" w:hAnsi="宋体" w:eastAsia="宋体" w:cs="宋体"/>
          <w:color w:val="auto"/>
          <w:kern w:val="2"/>
          <w:sz w:val="24"/>
          <w:szCs w:val="21"/>
          <w:u w:val="none"/>
          <w:lang w:val="en-US"/>
        </w:rPr>
        <w:t>500~1000</w:t>
      </w:r>
      <w:r>
        <w:rPr>
          <w:rFonts w:hint="eastAsia" w:ascii="宋体" w:hAnsi="宋体" w:eastAsia="宋体" w:cs="宋体"/>
          <w:color w:val="auto"/>
          <w:kern w:val="2"/>
          <w:sz w:val="24"/>
          <w:szCs w:val="21"/>
          <w:lang w:val="en-US"/>
        </w:rPr>
        <w:t xml:space="preserve"> 元罚款。情节严重的交公安部门处理。</w:t>
      </w:r>
    </w:p>
    <w:p>
      <w:pPr>
        <w:pStyle w:val="20"/>
        <w:keepNext w:val="0"/>
        <w:keepLines w:val="0"/>
        <w:pageBreakBefore w:val="0"/>
        <w:kinsoku/>
        <w:wordWrap/>
        <w:overflowPunct/>
        <w:topLinePunct w:val="0"/>
        <w:bidi w:val="0"/>
        <w:adjustRightInd/>
        <w:snapToGrid/>
        <w:spacing w:after="0" w:line="360" w:lineRule="exact"/>
        <w:ind w:left="0" w:leftChars="0"/>
        <w:textAlignment w:val="auto"/>
        <w:rPr>
          <w:rFonts w:hint="eastAsia" w:ascii="宋体" w:hAnsi="宋体" w:eastAsia="宋体" w:cs="宋体"/>
          <w:color w:val="auto"/>
          <w:kern w:val="2"/>
          <w:sz w:val="24"/>
          <w:szCs w:val="21"/>
          <w:lang w:val="en-US"/>
        </w:rPr>
      </w:pPr>
      <w:r>
        <w:rPr>
          <w:rFonts w:hint="eastAsia" w:ascii="宋体" w:hAnsi="宋体" w:eastAsia="宋体" w:cs="宋体"/>
          <w:color w:val="auto"/>
          <w:kern w:val="2"/>
          <w:sz w:val="24"/>
          <w:szCs w:val="21"/>
        </w:rPr>
        <w:t>3.</w:t>
      </w:r>
      <w:r>
        <w:rPr>
          <w:rFonts w:hint="eastAsia" w:ascii="宋体" w:hAnsi="宋体" w:eastAsia="宋体" w:cs="宋体"/>
          <w:color w:val="auto"/>
          <w:kern w:val="2"/>
          <w:sz w:val="24"/>
          <w:szCs w:val="21"/>
          <w:lang w:val="en-US"/>
        </w:rPr>
        <w:t xml:space="preserve">6、施工现场内（包括生活区）严禁乱倒垃圾，严禁随地大小便，一经发现，乱倒垃圾每人每次 </w:t>
      </w:r>
      <w:r>
        <w:rPr>
          <w:rFonts w:hint="eastAsia" w:ascii="宋体" w:hAnsi="宋体" w:eastAsia="宋体" w:cs="宋体"/>
          <w:color w:val="auto"/>
          <w:kern w:val="2"/>
          <w:sz w:val="24"/>
          <w:szCs w:val="21"/>
          <w:u w:val="none"/>
          <w:lang w:val="en-US"/>
        </w:rPr>
        <w:t>100</w:t>
      </w:r>
      <w:r>
        <w:rPr>
          <w:rFonts w:hint="eastAsia" w:ascii="宋体" w:hAnsi="宋体" w:eastAsia="宋体" w:cs="宋体"/>
          <w:color w:val="auto"/>
          <w:kern w:val="2"/>
          <w:sz w:val="24"/>
          <w:szCs w:val="21"/>
          <w:lang w:val="en-US"/>
        </w:rPr>
        <w:t xml:space="preserve"> 元，随地大小便每人每次 </w:t>
      </w:r>
      <w:r>
        <w:rPr>
          <w:rFonts w:hint="eastAsia" w:ascii="宋体" w:hAnsi="宋体" w:eastAsia="宋体" w:cs="宋体"/>
          <w:color w:val="auto"/>
          <w:kern w:val="2"/>
          <w:sz w:val="24"/>
          <w:szCs w:val="21"/>
          <w:u w:val="none"/>
          <w:lang w:val="en-US"/>
        </w:rPr>
        <w:t xml:space="preserve">200 </w:t>
      </w:r>
      <w:r>
        <w:rPr>
          <w:rFonts w:hint="eastAsia" w:ascii="宋体" w:hAnsi="宋体" w:eastAsia="宋体" w:cs="宋体"/>
          <w:color w:val="auto"/>
          <w:kern w:val="2"/>
          <w:sz w:val="24"/>
          <w:szCs w:val="21"/>
          <w:lang w:val="en-US"/>
        </w:rPr>
        <w:t>元。</w:t>
      </w:r>
    </w:p>
    <w:p>
      <w:pPr>
        <w:pStyle w:val="20"/>
        <w:keepNext w:val="0"/>
        <w:keepLines w:val="0"/>
        <w:pageBreakBefore w:val="0"/>
        <w:kinsoku/>
        <w:wordWrap/>
        <w:overflowPunct/>
        <w:topLinePunct w:val="0"/>
        <w:bidi w:val="0"/>
        <w:adjustRightInd/>
        <w:snapToGrid/>
        <w:spacing w:after="0" w:line="360" w:lineRule="exact"/>
        <w:ind w:left="0" w:leftChars="0"/>
        <w:textAlignment w:val="auto"/>
        <w:rPr>
          <w:rFonts w:hint="eastAsia" w:ascii="宋体" w:hAnsi="宋体" w:eastAsia="宋体" w:cs="宋体"/>
          <w:color w:val="auto"/>
          <w:kern w:val="2"/>
          <w:sz w:val="24"/>
          <w:szCs w:val="21"/>
          <w:lang w:val="en-US"/>
        </w:rPr>
      </w:pPr>
      <w:r>
        <w:rPr>
          <w:rFonts w:hint="eastAsia" w:ascii="宋体" w:hAnsi="宋体" w:eastAsia="宋体" w:cs="宋体"/>
          <w:color w:val="auto"/>
          <w:kern w:val="2"/>
          <w:sz w:val="24"/>
          <w:szCs w:val="21"/>
        </w:rPr>
        <w:t>3.</w:t>
      </w:r>
      <w:r>
        <w:rPr>
          <w:rFonts w:hint="eastAsia" w:ascii="宋体" w:hAnsi="宋体" w:eastAsia="宋体" w:cs="宋体"/>
          <w:color w:val="auto"/>
          <w:kern w:val="2"/>
          <w:sz w:val="24"/>
          <w:szCs w:val="21"/>
          <w:lang w:val="en-US"/>
        </w:rPr>
        <w:t xml:space="preserve">7、施工过程中必须注意成品、半成品的保护工作，对成品、半成品造成破坏的，除令其修补完好外，另外处以 </w:t>
      </w:r>
      <w:r>
        <w:rPr>
          <w:rFonts w:hint="eastAsia" w:ascii="宋体" w:hAnsi="宋体" w:eastAsia="宋体" w:cs="宋体"/>
          <w:color w:val="auto"/>
          <w:kern w:val="2"/>
          <w:sz w:val="24"/>
          <w:szCs w:val="21"/>
          <w:u w:val="none"/>
          <w:lang w:val="en-US"/>
        </w:rPr>
        <w:t>200~500</w:t>
      </w:r>
      <w:r>
        <w:rPr>
          <w:rFonts w:hint="eastAsia" w:ascii="宋体" w:hAnsi="宋体" w:eastAsia="宋体" w:cs="宋体"/>
          <w:color w:val="auto"/>
          <w:kern w:val="2"/>
          <w:sz w:val="24"/>
          <w:szCs w:val="21"/>
          <w:lang w:val="en-US"/>
        </w:rPr>
        <w:t xml:space="preserve"> 元罚款。严禁偷盗和损坏公物。违反者对当事人处以被盗材料原价 </w:t>
      </w:r>
      <w:r>
        <w:rPr>
          <w:rFonts w:hint="eastAsia" w:ascii="宋体" w:hAnsi="宋体" w:eastAsia="宋体" w:cs="宋体"/>
          <w:color w:val="auto"/>
          <w:kern w:val="2"/>
          <w:sz w:val="24"/>
          <w:szCs w:val="21"/>
          <w:u w:val="none"/>
          <w:lang w:val="en-US"/>
        </w:rPr>
        <w:t>2~5</w:t>
      </w:r>
      <w:r>
        <w:rPr>
          <w:rFonts w:hint="eastAsia" w:ascii="宋体" w:hAnsi="宋体" w:eastAsia="宋体" w:cs="宋体"/>
          <w:color w:val="auto"/>
          <w:kern w:val="2"/>
          <w:sz w:val="24"/>
          <w:szCs w:val="21"/>
          <w:lang w:val="en-US"/>
        </w:rPr>
        <w:t xml:space="preserve"> 倍罚款。</w:t>
      </w:r>
    </w:p>
    <w:p>
      <w:pPr>
        <w:pStyle w:val="20"/>
        <w:keepNext w:val="0"/>
        <w:keepLines w:val="0"/>
        <w:pageBreakBefore w:val="0"/>
        <w:kinsoku/>
        <w:wordWrap/>
        <w:overflowPunct/>
        <w:topLinePunct w:val="0"/>
        <w:bidi w:val="0"/>
        <w:adjustRightInd/>
        <w:snapToGrid/>
        <w:spacing w:after="0" w:line="360" w:lineRule="exact"/>
        <w:ind w:left="0" w:leftChars="0"/>
        <w:textAlignment w:val="auto"/>
        <w:rPr>
          <w:rFonts w:hint="eastAsia" w:ascii="宋体" w:hAnsi="宋体" w:eastAsia="宋体" w:cs="宋体"/>
          <w:color w:val="auto"/>
          <w:kern w:val="2"/>
          <w:sz w:val="24"/>
          <w:szCs w:val="21"/>
          <w:lang w:val="en-US"/>
        </w:rPr>
      </w:pPr>
      <w:r>
        <w:rPr>
          <w:rFonts w:hint="eastAsia" w:ascii="宋体" w:hAnsi="宋体" w:eastAsia="宋体" w:cs="宋体"/>
          <w:color w:val="auto"/>
          <w:kern w:val="2"/>
          <w:sz w:val="24"/>
          <w:szCs w:val="21"/>
        </w:rPr>
        <w:t>3.</w:t>
      </w:r>
      <w:r>
        <w:rPr>
          <w:rFonts w:hint="eastAsia" w:ascii="宋体" w:hAnsi="宋体" w:eastAsia="宋体" w:cs="宋体"/>
          <w:color w:val="auto"/>
          <w:kern w:val="2"/>
          <w:sz w:val="24"/>
          <w:szCs w:val="21"/>
          <w:lang w:val="en-US"/>
        </w:rPr>
        <w:t>8、临时用电：乙方必须从甲方指定的电箱，并由专业电工接用电源，严禁私自乱拉乱接。</w:t>
      </w:r>
    </w:p>
    <w:p>
      <w:pPr>
        <w:pStyle w:val="20"/>
        <w:keepNext w:val="0"/>
        <w:keepLines w:val="0"/>
        <w:pageBreakBefore w:val="0"/>
        <w:kinsoku/>
        <w:wordWrap/>
        <w:overflowPunct/>
        <w:topLinePunct w:val="0"/>
        <w:bidi w:val="0"/>
        <w:adjustRightInd/>
        <w:snapToGrid/>
        <w:spacing w:after="0" w:line="360" w:lineRule="exact"/>
        <w:ind w:left="0" w:leftChars="0"/>
        <w:textAlignment w:val="auto"/>
        <w:rPr>
          <w:rFonts w:hint="eastAsia" w:ascii="宋体" w:hAnsi="宋体" w:eastAsia="宋体" w:cs="宋体"/>
          <w:color w:val="auto"/>
          <w:kern w:val="2"/>
          <w:sz w:val="24"/>
          <w:szCs w:val="21"/>
          <w:lang w:val="en-US"/>
        </w:rPr>
      </w:pPr>
      <w:r>
        <w:rPr>
          <w:rFonts w:hint="eastAsia" w:ascii="宋体" w:hAnsi="宋体" w:eastAsia="宋体" w:cs="宋体"/>
          <w:color w:val="auto"/>
          <w:kern w:val="2"/>
          <w:sz w:val="24"/>
          <w:szCs w:val="21"/>
        </w:rPr>
        <w:t>3.</w:t>
      </w:r>
      <w:r>
        <w:rPr>
          <w:rFonts w:hint="eastAsia" w:ascii="宋体" w:hAnsi="宋体" w:eastAsia="宋体" w:cs="宋体"/>
          <w:color w:val="auto"/>
          <w:kern w:val="2"/>
          <w:sz w:val="24"/>
          <w:szCs w:val="21"/>
          <w:lang w:val="en-US"/>
        </w:rPr>
        <w:t>9、机械管理：乙方自带机械设备及工具，安全由乙方负责。使用甲方机械，必须遵守操作规程，合理使用，按要求进行维护及保养，禁止野蛮操作。因自身因素违章操作造成事故，由乙方独自承担。</w:t>
      </w:r>
    </w:p>
    <w:p>
      <w:pPr>
        <w:pStyle w:val="20"/>
        <w:keepNext w:val="0"/>
        <w:keepLines w:val="0"/>
        <w:pageBreakBefore w:val="0"/>
        <w:kinsoku/>
        <w:wordWrap/>
        <w:overflowPunct/>
        <w:topLinePunct w:val="0"/>
        <w:bidi w:val="0"/>
        <w:adjustRightInd/>
        <w:snapToGrid/>
        <w:spacing w:after="0" w:line="360" w:lineRule="exact"/>
        <w:ind w:left="0" w:leftChars="0"/>
        <w:textAlignment w:val="auto"/>
        <w:rPr>
          <w:rFonts w:hint="eastAsia" w:ascii="宋体" w:hAnsi="宋体" w:eastAsia="宋体" w:cs="宋体"/>
          <w:color w:val="auto"/>
          <w:kern w:val="2"/>
          <w:sz w:val="24"/>
          <w:szCs w:val="21"/>
          <w:lang w:val="en-US"/>
        </w:rPr>
      </w:pPr>
      <w:r>
        <w:rPr>
          <w:rFonts w:hint="eastAsia" w:ascii="宋体" w:hAnsi="宋体" w:eastAsia="宋体" w:cs="宋体"/>
          <w:color w:val="auto"/>
          <w:kern w:val="2"/>
          <w:sz w:val="24"/>
          <w:szCs w:val="21"/>
        </w:rPr>
        <w:t>3.</w:t>
      </w:r>
      <w:r>
        <w:rPr>
          <w:rFonts w:hint="eastAsia" w:ascii="宋体" w:hAnsi="宋体" w:eastAsia="宋体" w:cs="宋体"/>
          <w:color w:val="auto"/>
          <w:kern w:val="2"/>
          <w:sz w:val="24"/>
          <w:szCs w:val="21"/>
          <w:lang w:val="en-US"/>
        </w:rPr>
        <w:t>10、治安保卫：</w:t>
      </w:r>
    </w:p>
    <w:p>
      <w:pPr>
        <w:pStyle w:val="20"/>
        <w:keepNext w:val="0"/>
        <w:keepLines w:val="0"/>
        <w:pageBreakBefore w:val="0"/>
        <w:kinsoku/>
        <w:wordWrap/>
        <w:overflowPunct/>
        <w:topLinePunct w:val="0"/>
        <w:bidi w:val="0"/>
        <w:adjustRightInd/>
        <w:snapToGrid/>
        <w:spacing w:after="0" w:line="360" w:lineRule="exact"/>
        <w:ind w:left="0" w:leftChars="0"/>
        <w:textAlignment w:val="auto"/>
        <w:rPr>
          <w:rFonts w:hint="eastAsia" w:ascii="宋体" w:hAnsi="宋体" w:eastAsia="宋体" w:cs="宋体"/>
          <w:color w:val="auto"/>
          <w:kern w:val="2"/>
          <w:sz w:val="24"/>
          <w:szCs w:val="21"/>
          <w:lang w:val="en-US"/>
        </w:rPr>
      </w:pPr>
      <w:r>
        <w:rPr>
          <w:rFonts w:hint="eastAsia" w:ascii="宋体" w:hAnsi="宋体" w:eastAsia="宋体" w:cs="宋体"/>
          <w:color w:val="auto"/>
          <w:kern w:val="2"/>
          <w:sz w:val="24"/>
          <w:szCs w:val="21"/>
          <w:lang w:val="en-US"/>
        </w:rPr>
        <w:t>①乙方人员必须遵守现场各项规章制度及国家、地方有关法律法规。</w:t>
      </w:r>
    </w:p>
    <w:p>
      <w:pPr>
        <w:pStyle w:val="20"/>
        <w:keepNext w:val="0"/>
        <w:keepLines w:val="0"/>
        <w:pageBreakBefore w:val="0"/>
        <w:kinsoku/>
        <w:wordWrap/>
        <w:overflowPunct/>
        <w:topLinePunct w:val="0"/>
        <w:bidi w:val="0"/>
        <w:adjustRightInd/>
        <w:snapToGrid/>
        <w:spacing w:after="0" w:line="360" w:lineRule="exact"/>
        <w:ind w:left="0" w:leftChars="0"/>
        <w:textAlignment w:val="auto"/>
        <w:rPr>
          <w:rFonts w:hint="eastAsia" w:ascii="宋体" w:hAnsi="宋体" w:eastAsia="宋体" w:cs="宋体"/>
          <w:color w:val="auto"/>
          <w:kern w:val="2"/>
          <w:sz w:val="24"/>
          <w:szCs w:val="21"/>
          <w:lang w:val="en-US"/>
        </w:rPr>
      </w:pPr>
      <w:r>
        <w:rPr>
          <w:rFonts w:hint="eastAsia" w:ascii="宋体" w:hAnsi="宋体" w:eastAsia="宋体" w:cs="宋体"/>
          <w:color w:val="auto"/>
          <w:kern w:val="2"/>
          <w:sz w:val="24"/>
          <w:szCs w:val="21"/>
          <w:lang w:val="en-US"/>
        </w:rPr>
        <w:t>②乙方人员必须符合有关外来人口管理规定，做到手续齐全，并按有关规定办理证件。</w:t>
      </w:r>
    </w:p>
    <w:p>
      <w:pPr>
        <w:pStyle w:val="20"/>
        <w:keepNext w:val="0"/>
        <w:keepLines w:val="0"/>
        <w:pageBreakBefore w:val="0"/>
        <w:kinsoku/>
        <w:wordWrap/>
        <w:overflowPunct/>
        <w:topLinePunct w:val="0"/>
        <w:bidi w:val="0"/>
        <w:adjustRightInd/>
        <w:snapToGrid/>
        <w:spacing w:after="0" w:line="360" w:lineRule="exact"/>
        <w:ind w:left="0" w:leftChars="0"/>
        <w:textAlignment w:val="auto"/>
        <w:rPr>
          <w:rFonts w:hint="eastAsia" w:ascii="宋体" w:hAnsi="宋体" w:eastAsia="宋体" w:cs="宋体"/>
          <w:color w:val="auto"/>
          <w:kern w:val="2"/>
          <w:sz w:val="24"/>
          <w:szCs w:val="21"/>
          <w:lang w:val="en-US"/>
        </w:rPr>
      </w:pPr>
      <w:r>
        <w:rPr>
          <w:rFonts w:hint="eastAsia" w:ascii="宋体" w:hAnsi="宋体" w:eastAsia="宋体" w:cs="宋体"/>
          <w:color w:val="auto"/>
          <w:kern w:val="2"/>
          <w:sz w:val="24"/>
          <w:szCs w:val="21"/>
          <w:lang w:val="en-US"/>
        </w:rPr>
        <w:t>③所有人员携带物件出门必须有物资部开据出门证。</w:t>
      </w:r>
    </w:p>
    <w:p>
      <w:pPr>
        <w:pStyle w:val="20"/>
        <w:keepNext w:val="0"/>
        <w:keepLines w:val="0"/>
        <w:pageBreakBefore w:val="0"/>
        <w:kinsoku/>
        <w:wordWrap/>
        <w:overflowPunct/>
        <w:topLinePunct w:val="0"/>
        <w:bidi w:val="0"/>
        <w:adjustRightInd/>
        <w:snapToGrid/>
        <w:spacing w:after="0" w:line="360" w:lineRule="exact"/>
        <w:ind w:left="0" w:leftChars="0"/>
        <w:textAlignment w:val="auto"/>
        <w:rPr>
          <w:rFonts w:hint="eastAsia" w:ascii="宋体" w:hAnsi="宋体" w:eastAsia="宋体" w:cs="宋体"/>
          <w:color w:val="auto"/>
          <w:kern w:val="2"/>
          <w:sz w:val="24"/>
          <w:szCs w:val="21"/>
          <w:lang w:val="en-US"/>
        </w:rPr>
      </w:pPr>
      <w:r>
        <w:rPr>
          <w:rFonts w:hint="eastAsia" w:ascii="宋体" w:hAnsi="宋体" w:eastAsia="宋体" w:cs="宋体"/>
          <w:color w:val="auto"/>
          <w:kern w:val="2"/>
          <w:sz w:val="24"/>
          <w:szCs w:val="21"/>
          <w:lang w:val="en-US"/>
        </w:rPr>
        <w:t>④外来人员必须持有关证件到门卫处办理来客登记。</w:t>
      </w:r>
    </w:p>
    <w:p>
      <w:pPr>
        <w:pStyle w:val="20"/>
        <w:keepNext w:val="0"/>
        <w:keepLines w:val="0"/>
        <w:pageBreakBefore w:val="0"/>
        <w:kinsoku/>
        <w:wordWrap/>
        <w:overflowPunct/>
        <w:topLinePunct w:val="0"/>
        <w:bidi w:val="0"/>
        <w:adjustRightInd/>
        <w:snapToGrid/>
        <w:spacing w:after="0" w:line="360" w:lineRule="exact"/>
        <w:ind w:left="0" w:leftChars="0"/>
        <w:textAlignment w:val="auto"/>
        <w:rPr>
          <w:rFonts w:hint="eastAsia" w:ascii="宋体" w:hAnsi="宋体" w:eastAsia="宋体" w:cs="宋体"/>
          <w:color w:val="auto"/>
          <w:kern w:val="2"/>
          <w:sz w:val="24"/>
          <w:szCs w:val="21"/>
          <w:lang w:val="en-US"/>
        </w:rPr>
      </w:pPr>
      <w:r>
        <w:rPr>
          <w:rFonts w:hint="eastAsia" w:ascii="宋体" w:hAnsi="宋体" w:eastAsia="宋体" w:cs="宋体"/>
          <w:color w:val="auto"/>
          <w:kern w:val="2"/>
          <w:sz w:val="24"/>
          <w:szCs w:val="21"/>
          <w:lang w:val="en-US"/>
        </w:rPr>
        <w:t>⑤任何人不得翻越围墙及大门，不得扰乱门卫秩序。</w:t>
      </w:r>
    </w:p>
    <w:p>
      <w:pPr>
        <w:pStyle w:val="20"/>
        <w:keepNext w:val="0"/>
        <w:keepLines w:val="0"/>
        <w:pageBreakBefore w:val="0"/>
        <w:kinsoku/>
        <w:wordWrap/>
        <w:overflowPunct/>
        <w:topLinePunct w:val="0"/>
        <w:bidi w:val="0"/>
        <w:adjustRightInd/>
        <w:snapToGrid/>
        <w:spacing w:after="0" w:line="360" w:lineRule="exact"/>
        <w:ind w:left="0" w:leftChars="0"/>
        <w:textAlignment w:val="auto"/>
        <w:rPr>
          <w:rFonts w:hint="eastAsia" w:ascii="宋体" w:hAnsi="宋体" w:eastAsia="宋体" w:cs="宋体"/>
          <w:color w:val="auto"/>
          <w:kern w:val="2"/>
          <w:sz w:val="24"/>
          <w:szCs w:val="21"/>
          <w:lang w:val="en-US"/>
        </w:rPr>
      </w:pPr>
      <w:r>
        <w:rPr>
          <w:rFonts w:hint="eastAsia" w:ascii="宋体" w:hAnsi="宋体" w:eastAsia="宋体" w:cs="宋体"/>
          <w:color w:val="auto"/>
          <w:kern w:val="2"/>
          <w:sz w:val="24"/>
          <w:szCs w:val="21"/>
          <w:lang w:val="en-US"/>
        </w:rPr>
        <w:t>⑥乙方集体宿舍不得男女混住，不得卧床吸烟，不得私自留宿外来人员。</w:t>
      </w:r>
    </w:p>
    <w:p>
      <w:pPr>
        <w:keepNext w:val="0"/>
        <w:keepLines w:val="0"/>
        <w:pageBreakBefore w:val="0"/>
        <w:kinsoku/>
        <w:wordWrap/>
        <w:overflowPunct/>
        <w:topLinePunct w:val="0"/>
        <w:bidi w:val="0"/>
        <w:snapToGrid/>
        <w:spacing w:line="360" w:lineRule="exact"/>
        <w:ind w:firstLine="480" w:firstLineChars="200"/>
        <w:textAlignment w:val="auto"/>
        <w:rPr>
          <w:rFonts w:hint="eastAsia" w:ascii="宋体" w:hAnsi="宋体" w:eastAsia="宋体" w:cs="宋体"/>
          <w:color w:val="auto"/>
          <w:sz w:val="24"/>
          <w:szCs w:val="21"/>
          <w:lang w:val="en-US"/>
        </w:rPr>
      </w:pPr>
      <w:r>
        <w:rPr>
          <w:rFonts w:hint="eastAsia" w:ascii="宋体" w:hAnsi="宋体" w:eastAsia="宋体" w:cs="宋体"/>
          <w:color w:val="auto"/>
          <w:sz w:val="24"/>
          <w:szCs w:val="21"/>
          <w:lang w:val="en-US"/>
        </w:rPr>
        <w:t>⑦宿舍不得存大量现金（1000元以上）及贵重物品，以防被盗。</w:t>
      </w:r>
    </w:p>
    <w:p>
      <w:pPr>
        <w:pStyle w:val="20"/>
        <w:keepNext w:val="0"/>
        <w:keepLines w:val="0"/>
        <w:pageBreakBefore w:val="0"/>
        <w:kinsoku/>
        <w:wordWrap/>
        <w:overflowPunct/>
        <w:topLinePunct w:val="0"/>
        <w:bidi w:val="0"/>
        <w:adjustRightInd/>
        <w:snapToGrid/>
        <w:spacing w:after="0" w:line="360" w:lineRule="exact"/>
        <w:ind w:left="0" w:leftChars="0"/>
        <w:textAlignment w:val="auto"/>
        <w:rPr>
          <w:rFonts w:hint="eastAsia" w:ascii="宋体" w:hAnsi="宋体" w:eastAsia="宋体" w:cs="宋体"/>
          <w:color w:val="auto"/>
          <w:kern w:val="2"/>
          <w:sz w:val="24"/>
          <w:szCs w:val="21"/>
        </w:rPr>
      </w:pPr>
      <w:r>
        <w:rPr>
          <w:rFonts w:hint="eastAsia" w:ascii="宋体" w:hAnsi="宋体" w:eastAsia="宋体" w:cs="宋体"/>
          <w:color w:val="auto"/>
          <w:kern w:val="2"/>
          <w:sz w:val="24"/>
          <w:szCs w:val="21"/>
        </w:rPr>
        <w:t>3.11、消防保卫：</w:t>
      </w:r>
    </w:p>
    <w:p>
      <w:pPr>
        <w:pStyle w:val="20"/>
        <w:keepNext w:val="0"/>
        <w:keepLines w:val="0"/>
        <w:pageBreakBefore w:val="0"/>
        <w:kinsoku/>
        <w:wordWrap/>
        <w:overflowPunct/>
        <w:topLinePunct w:val="0"/>
        <w:bidi w:val="0"/>
        <w:adjustRightInd/>
        <w:snapToGrid/>
        <w:spacing w:after="0" w:line="360" w:lineRule="exact"/>
        <w:ind w:left="0" w:leftChars="0"/>
        <w:textAlignment w:val="auto"/>
        <w:rPr>
          <w:rFonts w:hint="eastAsia" w:ascii="宋体" w:hAnsi="宋体" w:eastAsia="宋体" w:cs="宋体"/>
          <w:color w:val="auto"/>
          <w:kern w:val="2"/>
          <w:sz w:val="24"/>
          <w:szCs w:val="21"/>
        </w:rPr>
      </w:pPr>
      <w:r>
        <w:rPr>
          <w:rFonts w:hint="eastAsia" w:ascii="宋体" w:hAnsi="宋体" w:eastAsia="宋体" w:cs="宋体"/>
          <w:color w:val="auto"/>
          <w:kern w:val="2"/>
          <w:sz w:val="24"/>
          <w:szCs w:val="21"/>
        </w:rPr>
        <w:t>①施工现场严禁吸烟，不得随便动用明火，施工用火必须办理动火令。</w:t>
      </w:r>
    </w:p>
    <w:p>
      <w:pPr>
        <w:pStyle w:val="20"/>
        <w:keepNext w:val="0"/>
        <w:keepLines w:val="0"/>
        <w:pageBreakBefore w:val="0"/>
        <w:kinsoku/>
        <w:wordWrap/>
        <w:overflowPunct/>
        <w:topLinePunct w:val="0"/>
        <w:bidi w:val="0"/>
        <w:adjustRightInd/>
        <w:snapToGrid/>
        <w:spacing w:after="0" w:line="360" w:lineRule="exact"/>
        <w:ind w:left="0" w:leftChars="0"/>
        <w:textAlignment w:val="auto"/>
        <w:rPr>
          <w:rFonts w:hint="eastAsia" w:ascii="宋体" w:hAnsi="宋体" w:eastAsia="宋体" w:cs="宋体"/>
          <w:color w:val="auto"/>
          <w:kern w:val="2"/>
          <w:sz w:val="24"/>
          <w:szCs w:val="21"/>
        </w:rPr>
      </w:pPr>
      <w:r>
        <w:rPr>
          <w:rFonts w:hint="eastAsia" w:ascii="宋体" w:hAnsi="宋体" w:eastAsia="宋体" w:cs="宋体"/>
          <w:color w:val="auto"/>
          <w:kern w:val="2"/>
          <w:sz w:val="24"/>
          <w:szCs w:val="21"/>
        </w:rPr>
        <w:t>②电气焊割作业必须符合国家禁火区域划分和分级动火审查手续动火。</w:t>
      </w:r>
    </w:p>
    <w:p>
      <w:pPr>
        <w:pStyle w:val="20"/>
        <w:keepNext w:val="0"/>
        <w:keepLines w:val="0"/>
        <w:pageBreakBefore w:val="0"/>
        <w:kinsoku/>
        <w:wordWrap/>
        <w:overflowPunct/>
        <w:topLinePunct w:val="0"/>
        <w:bidi w:val="0"/>
        <w:adjustRightInd/>
        <w:snapToGrid/>
        <w:spacing w:after="0" w:line="360" w:lineRule="exact"/>
        <w:ind w:left="0" w:leftChars="0"/>
        <w:textAlignment w:val="auto"/>
        <w:rPr>
          <w:rFonts w:hint="eastAsia" w:ascii="宋体" w:hAnsi="宋体" w:eastAsia="宋体" w:cs="宋体"/>
          <w:color w:val="auto"/>
          <w:kern w:val="2"/>
          <w:sz w:val="24"/>
          <w:szCs w:val="21"/>
        </w:rPr>
      </w:pPr>
      <w:r>
        <w:rPr>
          <w:rFonts w:hint="eastAsia" w:ascii="宋体" w:hAnsi="宋体" w:eastAsia="宋体" w:cs="宋体"/>
          <w:color w:val="auto"/>
          <w:kern w:val="2"/>
          <w:sz w:val="24"/>
          <w:szCs w:val="21"/>
        </w:rPr>
        <w:t>③木工棚、钢筋棚应符合防火安全要求，刨花、木屑、锯末应及时清理，做到工完场清。</w:t>
      </w:r>
    </w:p>
    <w:p>
      <w:pPr>
        <w:pStyle w:val="20"/>
        <w:keepNext w:val="0"/>
        <w:keepLines w:val="0"/>
        <w:pageBreakBefore w:val="0"/>
        <w:kinsoku/>
        <w:wordWrap/>
        <w:overflowPunct/>
        <w:topLinePunct w:val="0"/>
        <w:bidi w:val="0"/>
        <w:adjustRightInd/>
        <w:snapToGrid/>
        <w:spacing w:after="0" w:line="360" w:lineRule="exact"/>
        <w:ind w:left="0" w:leftChars="0"/>
        <w:textAlignment w:val="auto"/>
        <w:rPr>
          <w:rFonts w:hint="eastAsia" w:ascii="宋体" w:hAnsi="宋体" w:eastAsia="宋体" w:cs="宋体"/>
          <w:color w:val="auto"/>
          <w:kern w:val="2"/>
          <w:sz w:val="24"/>
          <w:szCs w:val="21"/>
        </w:rPr>
      </w:pPr>
      <w:r>
        <w:rPr>
          <w:rFonts w:hint="eastAsia" w:ascii="宋体" w:hAnsi="宋体" w:eastAsia="宋体" w:cs="宋体"/>
          <w:color w:val="auto"/>
          <w:kern w:val="2"/>
          <w:sz w:val="24"/>
          <w:szCs w:val="21"/>
        </w:rPr>
        <w:t>④易燃易爆及危险品进入现场必须登记，并有专人看管。</w:t>
      </w:r>
    </w:p>
    <w:p>
      <w:pPr>
        <w:pStyle w:val="20"/>
        <w:keepNext w:val="0"/>
        <w:keepLines w:val="0"/>
        <w:pageBreakBefore w:val="0"/>
        <w:kinsoku/>
        <w:wordWrap/>
        <w:overflowPunct/>
        <w:topLinePunct w:val="0"/>
        <w:bidi w:val="0"/>
        <w:adjustRightInd/>
        <w:snapToGrid/>
        <w:spacing w:after="0" w:line="360" w:lineRule="exact"/>
        <w:ind w:left="0" w:leftChars="0"/>
        <w:textAlignment w:val="auto"/>
        <w:rPr>
          <w:rFonts w:hint="eastAsia" w:ascii="宋体" w:hAnsi="宋体" w:eastAsia="宋体" w:cs="宋体"/>
          <w:color w:val="auto"/>
          <w:kern w:val="2"/>
          <w:sz w:val="24"/>
          <w:szCs w:val="21"/>
        </w:rPr>
      </w:pPr>
      <w:r>
        <w:rPr>
          <w:rFonts w:hint="eastAsia" w:ascii="宋体" w:hAnsi="宋体" w:eastAsia="宋体" w:cs="宋体"/>
          <w:color w:val="auto"/>
          <w:kern w:val="2"/>
          <w:sz w:val="24"/>
          <w:szCs w:val="21"/>
        </w:rPr>
        <w:t>⑤教育施工人员必须具备灭火常识，会使用灭火器材，下班前对灯、闸、锁等认真检查。</w:t>
      </w:r>
    </w:p>
    <w:p>
      <w:pPr>
        <w:pStyle w:val="20"/>
        <w:keepNext w:val="0"/>
        <w:keepLines w:val="0"/>
        <w:pageBreakBefore w:val="0"/>
        <w:kinsoku/>
        <w:wordWrap/>
        <w:overflowPunct/>
        <w:topLinePunct w:val="0"/>
        <w:bidi w:val="0"/>
        <w:adjustRightInd/>
        <w:snapToGrid/>
        <w:spacing w:after="0" w:line="360" w:lineRule="exact"/>
        <w:ind w:left="0" w:leftChars="0"/>
        <w:textAlignment w:val="auto"/>
        <w:rPr>
          <w:rFonts w:hint="eastAsia" w:ascii="宋体" w:hAnsi="宋体" w:eastAsia="宋体" w:cs="宋体"/>
          <w:color w:val="auto"/>
          <w:kern w:val="2"/>
          <w:sz w:val="24"/>
          <w:szCs w:val="21"/>
        </w:rPr>
      </w:pPr>
      <w:r>
        <w:rPr>
          <w:rFonts w:hint="eastAsia" w:ascii="宋体" w:hAnsi="宋体" w:eastAsia="宋体" w:cs="宋体"/>
          <w:color w:val="auto"/>
          <w:kern w:val="2"/>
          <w:sz w:val="24"/>
          <w:szCs w:val="21"/>
        </w:rPr>
        <w:t>3.12、其它：在工地现场所发下的整改通知、处理措施、工作联系单等与《发包合同》、《招标文件》、《建筑施工安全责任合同》、《工地文明施工规定》、《施工方案》、《技术交底》、及《保证书》，《承诺书》等与本合同具有同等法律效力。</w:t>
      </w:r>
    </w:p>
    <w:p>
      <w:pPr>
        <w:pStyle w:val="20"/>
        <w:keepNext w:val="0"/>
        <w:keepLines w:val="0"/>
        <w:pageBreakBefore w:val="0"/>
        <w:kinsoku/>
        <w:wordWrap/>
        <w:overflowPunct/>
        <w:topLinePunct w:val="0"/>
        <w:bidi w:val="0"/>
        <w:adjustRightInd/>
        <w:snapToGrid/>
        <w:spacing w:after="0" w:line="360" w:lineRule="exact"/>
        <w:ind w:left="0" w:leftChars="0"/>
        <w:textAlignment w:val="auto"/>
        <w:rPr>
          <w:rFonts w:hint="eastAsia" w:ascii="宋体" w:hAnsi="宋体" w:eastAsia="宋体" w:cs="宋体"/>
          <w:color w:val="auto"/>
          <w:kern w:val="2"/>
          <w:sz w:val="24"/>
          <w:szCs w:val="21"/>
          <w:lang w:val="en-US"/>
        </w:rPr>
      </w:pPr>
    </w:p>
    <w:p>
      <w:pPr>
        <w:pStyle w:val="20"/>
        <w:keepNext w:val="0"/>
        <w:keepLines w:val="0"/>
        <w:pageBreakBefore w:val="0"/>
        <w:kinsoku/>
        <w:wordWrap/>
        <w:overflowPunct/>
        <w:topLinePunct w:val="0"/>
        <w:bidi w:val="0"/>
        <w:adjustRightInd/>
        <w:snapToGrid/>
        <w:spacing w:after="0" w:line="360" w:lineRule="exact"/>
        <w:ind w:left="0" w:leftChars="0" w:firstLine="422"/>
        <w:textAlignment w:val="auto"/>
        <w:rPr>
          <w:rFonts w:hint="eastAsia" w:ascii="宋体" w:hAnsi="宋体" w:eastAsia="宋体" w:cs="宋体"/>
          <w:b w:val="0"/>
          <w:bCs w:val="0"/>
          <w:color w:val="auto"/>
          <w:kern w:val="2"/>
          <w:sz w:val="24"/>
          <w:szCs w:val="21"/>
          <w:lang w:val="en-US"/>
        </w:rPr>
      </w:pPr>
      <w:r>
        <w:rPr>
          <w:rFonts w:hint="eastAsia" w:ascii="宋体" w:hAnsi="宋体" w:eastAsia="宋体" w:cs="宋体"/>
          <w:b w:val="0"/>
          <w:bCs w:val="0"/>
          <w:color w:val="auto"/>
          <w:kern w:val="2"/>
          <w:sz w:val="24"/>
          <w:szCs w:val="21"/>
          <w:lang w:val="en-US"/>
        </w:rPr>
        <w:t>四、违约责任：</w:t>
      </w:r>
    </w:p>
    <w:p>
      <w:pPr>
        <w:pStyle w:val="20"/>
        <w:keepNext w:val="0"/>
        <w:keepLines w:val="0"/>
        <w:pageBreakBefore w:val="0"/>
        <w:kinsoku/>
        <w:wordWrap/>
        <w:overflowPunct/>
        <w:topLinePunct w:val="0"/>
        <w:bidi w:val="0"/>
        <w:adjustRightInd/>
        <w:snapToGrid/>
        <w:spacing w:after="0" w:line="360" w:lineRule="exact"/>
        <w:ind w:left="0" w:leftChars="0"/>
        <w:textAlignment w:val="auto"/>
        <w:rPr>
          <w:rFonts w:hint="eastAsia" w:ascii="宋体" w:hAnsi="宋体" w:eastAsia="宋体" w:cs="宋体"/>
          <w:color w:val="auto"/>
          <w:kern w:val="2"/>
          <w:sz w:val="24"/>
          <w:szCs w:val="21"/>
          <w:lang w:val="en-US"/>
        </w:rPr>
      </w:pPr>
      <w:r>
        <w:rPr>
          <w:rFonts w:hint="eastAsia" w:ascii="宋体" w:hAnsi="宋体" w:eastAsia="宋体" w:cs="宋体"/>
          <w:color w:val="auto"/>
          <w:kern w:val="2"/>
          <w:sz w:val="24"/>
          <w:szCs w:val="21"/>
          <w:lang w:val="en-US"/>
        </w:rPr>
        <w:t>如造成安全事故，责任方除依法承担法律责任外，还应承担因此给对方及第三</w:t>
      </w:r>
      <w:r>
        <w:rPr>
          <w:rFonts w:hint="eastAsia" w:ascii="宋体" w:hAnsi="宋体" w:eastAsia="宋体" w:cs="宋体"/>
          <w:color w:val="auto"/>
          <w:kern w:val="2"/>
          <w:sz w:val="24"/>
          <w:szCs w:val="21"/>
        </w:rPr>
        <w:t>方</w:t>
      </w:r>
      <w:r>
        <w:rPr>
          <w:rFonts w:hint="eastAsia" w:ascii="宋体" w:hAnsi="宋体" w:eastAsia="宋体" w:cs="宋体"/>
          <w:color w:val="auto"/>
          <w:kern w:val="2"/>
          <w:sz w:val="24"/>
          <w:szCs w:val="21"/>
          <w:lang w:val="en-US"/>
        </w:rPr>
        <w:t>造成的全部损失。</w:t>
      </w:r>
    </w:p>
    <w:p>
      <w:pPr>
        <w:pStyle w:val="20"/>
        <w:keepNext w:val="0"/>
        <w:keepLines w:val="0"/>
        <w:pageBreakBefore w:val="0"/>
        <w:kinsoku/>
        <w:wordWrap/>
        <w:overflowPunct/>
        <w:topLinePunct w:val="0"/>
        <w:bidi w:val="0"/>
        <w:adjustRightInd/>
        <w:snapToGrid/>
        <w:spacing w:after="0" w:line="360" w:lineRule="exact"/>
        <w:ind w:left="0" w:leftChars="0"/>
        <w:textAlignment w:val="auto"/>
        <w:rPr>
          <w:rFonts w:hint="eastAsia" w:ascii="宋体" w:hAnsi="宋体" w:eastAsia="宋体" w:cs="宋体"/>
          <w:color w:val="auto"/>
          <w:kern w:val="2"/>
          <w:sz w:val="24"/>
          <w:szCs w:val="21"/>
          <w:lang w:val="en-US"/>
        </w:rPr>
      </w:pPr>
      <w:r>
        <w:rPr>
          <w:rFonts w:hint="eastAsia" w:ascii="宋体" w:hAnsi="宋体" w:eastAsia="宋体" w:cs="宋体"/>
          <w:color w:val="auto"/>
          <w:kern w:val="2"/>
          <w:sz w:val="24"/>
          <w:szCs w:val="21"/>
          <w:lang w:val="en-US"/>
        </w:rPr>
        <w:t>本协议经双方签字盖章齐全后生效，协议作为分项承包合同附件，工程完工结算完毕，合同自行失效。</w:t>
      </w:r>
    </w:p>
    <w:p>
      <w:pPr>
        <w:pStyle w:val="20"/>
        <w:keepNext w:val="0"/>
        <w:keepLines w:val="0"/>
        <w:pageBreakBefore w:val="0"/>
        <w:kinsoku/>
        <w:wordWrap/>
        <w:overflowPunct/>
        <w:topLinePunct w:val="0"/>
        <w:bidi w:val="0"/>
        <w:snapToGrid/>
        <w:spacing w:line="360" w:lineRule="exact"/>
        <w:ind w:left="0" w:leftChars="0" w:firstLine="480"/>
        <w:textAlignment w:val="auto"/>
        <w:rPr>
          <w:rFonts w:hint="eastAsia" w:ascii="宋体" w:hAnsi="宋体" w:eastAsia="宋体" w:cs="宋体"/>
          <w:color w:val="auto"/>
          <w:kern w:val="2"/>
          <w:szCs w:val="21"/>
          <w:lang w:val="en-US"/>
        </w:rPr>
      </w:pPr>
    </w:p>
    <w:p>
      <w:pPr>
        <w:pStyle w:val="20"/>
        <w:keepNext w:val="0"/>
        <w:keepLines w:val="0"/>
        <w:pageBreakBefore w:val="0"/>
        <w:kinsoku/>
        <w:wordWrap/>
        <w:overflowPunct/>
        <w:topLinePunct w:val="0"/>
        <w:bidi w:val="0"/>
        <w:adjustRightInd/>
        <w:snapToGrid/>
        <w:spacing w:after="0" w:line="360" w:lineRule="exact"/>
        <w:ind w:left="0" w:leftChars="0"/>
        <w:textAlignment w:val="auto"/>
        <w:rPr>
          <w:rFonts w:hint="eastAsia" w:ascii="宋体" w:hAnsi="宋体" w:eastAsia="宋体" w:cs="宋体"/>
          <w:color w:val="auto"/>
          <w:kern w:val="2"/>
          <w:sz w:val="24"/>
          <w:szCs w:val="21"/>
          <w:lang w:val="en-US"/>
        </w:rPr>
      </w:pPr>
      <w:r>
        <w:rPr>
          <w:rFonts w:hint="eastAsia" w:ascii="宋体" w:hAnsi="宋体" w:eastAsia="宋体" w:cs="宋体"/>
          <w:color w:val="auto"/>
          <w:kern w:val="2"/>
          <w:sz w:val="24"/>
          <w:szCs w:val="21"/>
          <w:lang w:val="en-US"/>
        </w:rPr>
        <w:t>以下无正文。</w:t>
      </w:r>
    </w:p>
    <w:p>
      <w:pPr>
        <w:pStyle w:val="20"/>
        <w:keepNext w:val="0"/>
        <w:keepLines w:val="0"/>
        <w:pageBreakBefore w:val="0"/>
        <w:kinsoku/>
        <w:wordWrap/>
        <w:overflowPunct/>
        <w:topLinePunct w:val="0"/>
        <w:bidi w:val="0"/>
        <w:adjustRightInd/>
        <w:snapToGrid/>
        <w:spacing w:after="0" w:line="360" w:lineRule="exact"/>
        <w:ind w:left="0" w:leftChars="0"/>
        <w:textAlignment w:val="auto"/>
        <w:rPr>
          <w:rFonts w:hint="eastAsia" w:ascii="宋体" w:hAnsi="宋体" w:eastAsia="宋体" w:cs="宋体"/>
          <w:color w:val="auto"/>
          <w:kern w:val="2"/>
          <w:sz w:val="24"/>
          <w:szCs w:val="21"/>
          <w:lang w:val="en-US"/>
        </w:rPr>
      </w:pPr>
    </w:p>
    <w:bookmarkEnd w:id="49"/>
    <w:p>
      <w:pPr>
        <w:keepNext w:val="0"/>
        <w:keepLines w:val="0"/>
        <w:pageBreakBefore w:val="0"/>
        <w:kinsoku/>
        <w:wordWrap/>
        <w:overflowPunct/>
        <w:topLinePunct w:val="0"/>
        <w:bidi w:val="0"/>
        <w:snapToGrid/>
        <w:spacing w:line="360" w:lineRule="exact"/>
        <w:ind w:firstLine="480" w:firstLineChars="200"/>
        <w:textAlignment w:val="auto"/>
        <w:rPr>
          <w:rFonts w:hint="eastAsia" w:ascii="宋体" w:hAnsi="宋体" w:eastAsia="宋体" w:cs="宋体"/>
          <w:color w:val="auto"/>
          <w:sz w:val="24"/>
          <w:szCs w:val="21"/>
          <w:lang w:val="en-US"/>
        </w:rPr>
      </w:pPr>
    </w:p>
    <w:p>
      <w:pPr>
        <w:keepNext w:val="0"/>
        <w:keepLines w:val="0"/>
        <w:pageBreakBefore w:val="0"/>
        <w:kinsoku/>
        <w:wordWrap/>
        <w:overflowPunct/>
        <w:topLinePunct w:val="0"/>
        <w:bidi w:val="0"/>
        <w:snapToGrid/>
        <w:spacing w:line="360" w:lineRule="exact"/>
        <w:ind w:firstLine="480" w:firstLineChars="200"/>
        <w:textAlignment w:val="auto"/>
        <w:rPr>
          <w:rFonts w:hint="eastAsia" w:ascii="宋体" w:hAnsi="宋体" w:eastAsia="宋体" w:cs="宋体"/>
          <w:color w:val="auto"/>
          <w:sz w:val="24"/>
          <w:szCs w:val="21"/>
          <w:u w:val="none"/>
          <w:lang w:val="en-US"/>
        </w:rPr>
      </w:pPr>
      <w:r>
        <w:rPr>
          <w:rFonts w:hint="eastAsia" w:ascii="宋体" w:hAnsi="宋体" w:eastAsia="宋体" w:cs="宋体"/>
          <w:color w:val="auto"/>
          <w:sz w:val="24"/>
          <w:szCs w:val="21"/>
          <w:lang w:val="en-US"/>
        </w:rPr>
        <w:t>甲方（盖章）：</w:t>
      </w:r>
      <w:r>
        <w:rPr>
          <w:rFonts w:hint="eastAsia" w:ascii="宋体" w:hAnsi="宋体" w:eastAsia="宋体" w:cs="宋体"/>
          <w:color w:val="auto"/>
          <w:sz w:val="24"/>
          <w:szCs w:val="21"/>
          <w:u w:val="none"/>
        </w:rPr>
        <w:t>东莞市莞城建筑工程有限公司</w:t>
      </w:r>
    </w:p>
    <w:p>
      <w:pPr>
        <w:pStyle w:val="20"/>
        <w:keepNext w:val="0"/>
        <w:keepLines w:val="0"/>
        <w:pageBreakBefore w:val="0"/>
        <w:kinsoku/>
        <w:wordWrap/>
        <w:overflowPunct/>
        <w:topLinePunct w:val="0"/>
        <w:bidi w:val="0"/>
        <w:adjustRightInd/>
        <w:snapToGrid/>
        <w:spacing w:after="0" w:line="360" w:lineRule="exact"/>
        <w:ind w:left="0" w:leftChars="0"/>
        <w:textAlignment w:val="auto"/>
        <w:rPr>
          <w:rFonts w:hint="eastAsia" w:ascii="宋体" w:hAnsi="宋体" w:eastAsia="宋体" w:cs="宋体"/>
          <w:color w:val="auto"/>
          <w:kern w:val="2"/>
          <w:sz w:val="24"/>
          <w:szCs w:val="21"/>
          <w:lang w:val="en-US"/>
        </w:rPr>
      </w:pPr>
    </w:p>
    <w:p>
      <w:pPr>
        <w:pStyle w:val="20"/>
        <w:keepNext w:val="0"/>
        <w:keepLines w:val="0"/>
        <w:pageBreakBefore w:val="0"/>
        <w:kinsoku/>
        <w:wordWrap/>
        <w:overflowPunct/>
        <w:topLinePunct w:val="0"/>
        <w:bidi w:val="0"/>
        <w:adjustRightInd/>
        <w:snapToGrid/>
        <w:spacing w:after="0" w:line="360" w:lineRule="exact"/>
        <w:ind w:left="0" w:leftChars="0"/>
        <w:textAlignment w:val="auto"/>
        <w:rPr>
          <w:rFonts w:hint="eastAsia" w:ascii="宋体" w:hAnsi="宋体" w:eastAsia="宋体" w:cs="宋体"/>
          <w:color w:val="auto"/>
          <w:kern w:val="2"/>
          <w:sz w:val="24"/>
          <w:szCs w:val="21"/>
          <w:lang w:val="en-US"/>
        </w:rPr>
      </w:pPr>
      <w:r>
        <w:rPr>
          <w:rFonts w:hint="eastAsia" w:ascii="宋体" w:hAnsi="宋体" w:eastAsia="宋体" w:cs="宋体"/>
          <w:color w:val="auto"/>
          <w:kern w:val="2"/>
          <w:sz w:val="24"/>
          <w:szCs w:val="21"/>
          <w:lang w:val="en-US"/>
        </w:rPr>
        <w:t>法定代表人或其授权委托人（签字）：</w:t>
      </w:r>
    </w:p>
    <w:p>
      <w:pPr>
        <w:pStyle w:val="20"/>
        <w:keepNext w:val="0"/>
        <w:keepLines w:val="0"/>
        <w:pageBreakBefore w:val="0"/>
        <w:kinsoku/>
        <w:wordWrap/>
        <w:overflowPunct/>
        <w:topLinePunct w:val="0"/>
        <w:bidi w:val="0"/>
        <w:adjustRightInd/>
        <w:snapToGrid/>
        <w:spacing w:after="0" w:line="360" w:lineRule="exact"/>
        <w:ind w:left="0" w:leftChars="0"/>
        <w:textAlignment w:val="auto"/>
        <w:rPr>
          <w:rFonts w:hint="eastAsia" w:ascii="宋体" w:hAnsi="宋体" w:eastAsia="宋体" w:cs="宋体"/>
          <w:color w:val="auto"/>
          <w:kern w:val="2"/>
          <w:sz w:val="24"/>
          <w:szCs w:val="21"/>
          <w:lang w:val="en-US"/>
        </w:rPr>
      </w:pPr>
    </w:p>
    <w:p>
      <w:pPr>
        <w:pStyle w:val="20"/>
        <w:keepNext w:val="0"/>
        <w:keepLines w:val="0"/>
        <w:pageBreakBefore w:val="0"/>
        <w:kinsoku/>
        <w:wordWrap/>
        <w:overflowPunct/>
        <w:topLinePunct w:val="0"/>
        <w:bidi w:val="0"/>
        <w:adjustRightInd/>
        <w:snapToGrid/>
        <w:spacing w:after="0" w:line="360" w:lineRule="exact"/>
        <w:ind w:left="0" w:leftChars="0" w:firstLine="0" w:firstLineChars="0"/>
        <w:textAlignment w:val="auto"/>
        <w:rPr>
          <w:rFonts w:hint="eastAsia" w:ascii="宋体" w:hAnsi="宋体" w:eastAsia="宋体" w:cs="宋体"/>
          <w:color w:val="auto"/>
          <w:kern w:val="2"/>
          <w:sz w:val="24"/>
          <w:szCs w:val="21"/>
          <w:lang w:val="en-US"/>
        </w:rPr>
      </w:pPr>
    </w:p>
    <w:p>
      <w:pPr>
        <w:keepNext w:val="0"/>
        <w:keepLines w:val="0"/>
        <w:pageBreakBefore w:val="0"/>
        <w:kinsoku/>
        <w:wordWrap/>
        <w:overflowPunct/>
        <w:topLinePunct w:val="0"/>
        <w:bidi w:val="0"/>
        <w:snapToGrid/>
        <w:spacing w:line="360" w:lineRule="exact"/>
        <w:ind w:left="7565" w:leftChars="174" w:hanging="7200" w:hangingChars="3000"/>
        <w:textAlignment w:val="auto"/>
        <w:rPr>
          <w:rFonts w:hint="eastAsia" w:ascii="宋体" w:hAnsi="宋体" w:eastAsia="宋体" w:cs="宋体"/>
          <w:color w:val="auto"/>
          <w:sz w:val="24"/>
          <w:szCs w:val="21"/>
          <w:u w:val="none"/>
          <w:lang w:val="en-US" w:eastAsia="zh-CN"/>
        </w:rPr>
      </w:pPr>
      <w:r>
        <w:rPr>
          <w:rFonts w:hint="eastAsia" w:ascii="宋体" w:hAnsi="宋体" w:eastAsia="宋体" w:cs="宋体"/>
          <w:color w:val="auto"/>
          <w:sz w:val="24"/>
          <w:szCs w:val="21"/>
          <w:lang w:val="en-US"/>
        </w:rPr>
        <w:t>乙方（盖章）：</w:t>
      </w:r>
      <w:r>
        <w:rPr>
          <w:rFonts w:hint="eastAsia" w:ascii="宋体" w:hAnsi="宋体" w:cs="宋体"/>
          <w:color w:val="auto"/>
          <w:sz w:val="24"/>
          <w:szCs w:val="21"/>
          <w:u w:val="none"/>
          <w:lang w:val="en-US" w:eastAsia="zh-CN"/>
        </w:rPr>
        <w:t xml:space="preserve">                         </w:t>
      </w:r>
    </w:p>
    <w:p>
      <w:pPr>
        <w:pStyle w:val="20"/>
        <w:keepNext w:val="0"/>
        <w:keepLines w:val="0"/>
        <w:pageBreakBefore w:val="0"/>
        <w:kinsoku/>
        <w:wordWrap/>
        <w:overflowPunct/>
        <w:topLinePunct w:val="0"/>
        <w:bidi w:val="0"/>
        <w:adjustRightInd/>
        <w:snapToGrid/>
        <w:spacing w:after="0" w:line="360" w:lineRule="exact"/>
        <w:ind w:left="0" w:leftChars="0" w:firstLine="0" w:firstLineChars="0"/>
        <w:textAlignment w:val="auto"/>
        <w:rPr>
          <w:rFonts w:hint="eastAsia" w:ascii="宋体" w:hAnsi="宋体" w:eastAsia="宋体" w:cs="宋体"/>
          <w:color w:val="auto"/>
          <w:kern w:val="2"/>
          <w:sz w:val="24"/>
          <w:szCs w:val="21"/>
          <w:lang w:val="en-US"/>
        </w:rPr>
      </w:pPr>
    </w:p>
    <w:p>
      <w:pPr>
        <w:pStyle w:val="20"/>
        <w:keepNext w:val="0"/>
        <w:keepLines w:val="0"/>
        <w:pageBreakBefore w:val="0"/>
        <w:kinsoku/>
        <w:wordWrap/>
        <w:overflowPunct/>
        <w:topLinePunct w:val="0"/>
        <w:bidi w:val="0"/>
        <w:adjustRightInd/>
        <w:snapToGrid/>
        <w:spacing w:after="0" w:line="360" w:lineRule="exact"/>
        <w:ind w:left="0" w:leftChars="0"/>
        <w:textAlignment w:val="auto"/>
        <w:rPr>
          <w:rFonts w:hAnsi="宋体"/>
          <w:bCs/>
          <w:color w:val="auto"/>
          <w:sz w:val="21"/>
          <w:szCs w:val="21"/>
        </w:rPr>
      </w:pPr>
      <w:r>
        <w:rPr>
          <w:rFonts w:hint="eastAsia" w:ascii="宋体" w:hAnsi="宋体" w:eastAsia="宋体" w:cs="宋体"/>
          <w:color w:val="auto"/>
          <w:kern w:val="2"/>
          <w:sz w:val="24"/>
          <w:szCs w:val="21"/>
          <w:lang w:val="en-US"/>
        </w:rPr>
        <w:t>法定代表人或其授权委托人（签字）：</w:t>
      </w:r>
    </w:p>
    <w:p>
      <w:pPr>
        <w:pStyle w:val="13"/>
        <w:spacing w:line="360" w:lineRule="auto"/>
        <w:rPr>
          <w:rFonts w:hAnsi="宋体"/>
          <w:bCs/>
          <w:color w:val="auto"/>
        </w:rPr>
      </w:pPr>
    </w:p>
    <w:p>
      <w:pPr>
        <w:pStyle w:val="40"/>
        <w:ind w:firstLine="0" w:firstLineChars="0"/>
        <w:jc w:val="left"/>
        <w:outlineLvl w:val="1"/>
        <w:rPr>
          <w:rFonts w:hint="eastAsia" w:eastAsia="黑体"/>
          <w:color w:val="auto"/>
          <w:sz w:val="28"/>
          <w:szCs w:val="44"/>
        </w:rPr>
        <w:sectPr>
          <w:pgSz w:w="11907" w:h="16840"/>
          <w:pgMar w:top="1531" w:right="1588" w:bottom="1418" w:left="1418" w:header="851" w:footer="1191" w:gutter="0"/>
          <w:cols w:space="720" w:num="1"/>
          <w:docGrid w:type="linesAndChars" w:linePitch="332" w:charSpace="0"/>
        </w:sectPr>
      </w:pPr>
    </w:p>
    <w:bookmarkEnd w:id="11"/>
    <w:p>
      <w:pPr>
        <w:keepNext w:val="0"/>
        <w:keepLines w:val="0"/>
        <w:pageBreakBefore w:val="0"/>
        <w:tabs>
          <w:tab w:val="left" w:pos="1695"/>
          <w:tab w:val="left" w:pos="2700"/>
        </w:tabs>
        <w:kinsoku/>
        <w:wordWrap/>
        <w:overflowPunct/>
        <w:topLinePunct w:val="0"/>
        <w:bidi w:val="0"/>
        <w:snapToGrid/>
        <w:spacing w:line="360" w:lineRule="exact"/>
        <w:textAlignment w:val="auto"/>
        <w:outlineLvl w:val="2"/>
        <w:rPr>
          <w:rFonts w:hint="eastAsia" w:ascii="宋体" w:hAnsi="宋体" w:eastAsia="宋体" w:cs="宋体"/>
          <w:b/>
          <w:color w:val="auto"/>
          <w:szCs w:val="21"/>
        </w:rPr>
      </w:pPr>
      <w:r>
        <w:rPr>
          <w:rFonts w:hint="eastAsia" w:ascii="宋体" w:hAnsi="宋体" w:eastAsia="宋体" w:cs="宋体"/>
          <w:b/>
          <w:color w:val="auto"/>
          <w:szCs w:val="21"/>
        </w:rPr>
        <w:t>附件5：中标通知书</w:t>
      </w:r>
    </w:p>
    <w:p>
      <w:pPr>
        <w:rPr>
          <w:rFonts w:hint="eastAsia" w:ascii="宋体" w:hAnsi="宋体" w:eastAsia="宋体" w:cs="宋体"/>
          <w:b/>
          <w:color w:val="auto"/>
          <w:szCs w:val="21"/>
        </w:rPr>
      </w:pPr>
      <w:r>
        <w:rPr>
          <w:rFonts w:hint="eastAsia" w:ascii="宋体" w:hAnsi="宋体" w:eastAsia="宋体" w:cs="宋体"/>
          <w:b/>
          <w:color w:val="auto"/>
          <w:szCs w:val="21"/>
        </w:rPr>
        <w:br w:type="page"/>
      </w:r>
    </w:p>
    <w:p>
      <w:pPr>
        <w:pStyle w:val="10"/>
        <w:rPr>
          <w:rFonts w:hint="eastAsia" w:ascii="宋体" w:hAnsi="宋体" w:eastAsia="宋体" w:cs="宋体"/>
          <w:b/>
          <w:color w:val="auto"/>
          <w:kern w:val="2"/>
          <w:sz w:val="21"/>
          <w:szCs w:val="21"/>
          <w:lang w:val="en-US" w:eastAsia="zh-CN" w:bidi="ar-SA"/>
        </w:rPr>
      </w:pPr>
      <w:r>
        <w:rPr>
          <w:rFonts w:hint="eastAsia" w:ascii="宋体" w:hAnsi="宋体" w:eastAsia="宋体" w:cs="宋体"/>
          <w:b/>
          <w:color w:val="auto"/>
          <w:kern w:val="2"/>
          <w:sz w:val="21"/>
          <w:szCs w:val="21"/>
          <w:lang w:val="en-US" w:eastAsia="zh-CN" w:bidi="ar-SA"/>
        </w:rPr>
        <w:t>附件6：响应文件</w:t>
      </w:r>
    </w:p>
    <w:p>
      <w:pPr>
        <w:rPr>
          <w:rFonts w:hint="eastAsia" w:ascii="宋体" w:hAnsi="宋体" w:eastAsia="宋体" w:cs="宋体"/>
          <w:b/>
          <w:color w:val="auto"/>
          <w:kern w:val="2"/>
          <w:sz w:val="21"/>
          <w:szCs w:val="21"/>
          <w:lang w:val="en-US" w:eastAsia="zh-CN" w:bidi="ar-SA"/>
        </w:rPr>
      </w:pPr>
      <w:r>
        <w:rPr>
          <w:rFonts w:hint="eastAsia" w:ascii="宋体" w:hAnsi="宋体" w:eastAsia="宋体" w:cs="宋体"/>
          <w:b/>
          <w:color w:val="auto"/>
          <w:kern w:val="2"/>
          <w:sz w:val="21"/>
          <w:szCs w:val="21"/>
          <w:lang w:val="en-US" w:eastAsia="zh-CN" w:bidi="ar-SA"/>
        </w:rPr>
        <w:br w:type="page"/>
      </w:r>
    </w:p>
    <w:p>
      <w:pPr>
        <w:pStyle w:val="11"/>
        <w:rPr>
          <w:rFonts w:hint="eastAsia" w:ascii="宋体" w:hAnsi="宋体" w:eastAsia="宋体" w:cs="宋体"/>
          <w:b/>
          <w:color w:val="auto"/>
          <w:kern w:val="2"/>
          <w:sz w:val="21"/>
          <w:szCs w:val="21"/>
          <w:lang w:val="en-US" w:eastAsia="zh-CN" w:bidi="ar-SA"/>
        </w:rPr>
      </w:pPr>
      <w:r>
        <w:rPr>
          <w:rFonts w:hint="eastAsia" w:ascii="宋体" w:hAnsi="宋体" w:eastAsia="宋体" w:cs="宋体"/>
          <w:b/>
          <w:color w:val="auto"/>
          <w:kern w:val="2"/>
          <w:sz w:val="21"/>
          <w:szCs w:val="21"/>
          <w:lang w:val="en-US" w:eastAsia="zh-CN" w:bidi="ar-SA"/>
        </w:rPr>
        <w:t>附件7：磋商文件</w:t>
      </w:r>
    </w:p>
    <w:sectPr>
      <w:pgSz w:w="11907" w:h="16840"/>
      <w:pgMar w:top="1531" w:right="1588" w:bottom="1418" w:left="1418" w:header="851" w:footer="1191" w:gutter="0"/>
      <w:cols w:space="720" w:num="1"/>
      <w:docGrid w:type="linesAndChars" w:linePitch="33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tabs>
        <w:tab w:val="clear" w:pos="4153"/>
      </w:tabs>
      <w:jc w:val="center"/>
      <w:rPr>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5"/>
                            <w:rPr>
                              <w:rFonts w:hint="eastAsia"/>
                            </w:rPr>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R3T+f80BAACpAwAADgAAAAAAAAABACAAAAAeAQAAZHJzL2Uy&#10;b0RvYy54bWxQSwUGAAAAAAYABgBZAQAAXQUAAAAA&#10;">
              <v:fill on="f" focussize="0,0"/>
              <v:stroke on="f"/>
              <v:imagedata o:title=""/>
              <o:lock v:ext="edit" aspectratio="f"/>
              <v:textbox inset="0mm,0mm,0mm,0mm" style="mso-fit-shape-to-text:t;">
                <w:txbxContent>
                  <w:p>
                    <w:pPr>
                      <w:pStyle w:val="15"/>
                      <w:rPr>
                        <w:rFonts w:hint="eastAsia"/>
                      </w:rPr>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tabs>
        <w:tab w:val="clear" w:pos="4153"/>
      </w:tabs>
      <w:jc w:val="center"/>
      <w:rPr>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5"/>
                            <w:rPr>
                              <w:rFonts w:hint="eastAsia"/>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NNft80BAACp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WHJmhaEXv/z8cfn15/L7O6MY&#10;CdR7rKju3lNlHN65gYrnOFIw8R7aYNKXGDHKk7znq7wwRCbTpfVqvS4pJSk3O4RfPFz3AeN7cIYl&#10;o+aB3i/LKk4fMY6lc0nqZt2d0jq/obb/BAhzjEBegul2YjJOnKw47IeJ3t41Z2LX0yLU3NLec6Y/&#10;WNI57cxshNnYz8bRB3XoaNBlnhL97THSSHnS1GGEJYbJoRfMXKdtSyvy2M9VD3/Y9i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oNNft80BAACpAwAADgAAAAAAAAABACAAAAAeAQAAZHJzL2Uy&#10;b0RvYy54bWxQSwUGAAAAAAYABgBZAQAAXQUAAAAA&#10;">
              <v:fill on="f" focussize="0,0"/>
              <v:stroke on="f"/>
              <v:imagedata o:title=""/>
              <o:lock v:ext="edit" aspectratio="f"/>
              <v:textbox inset="0mm,0mm,0mm,0mm" style="mso-fit-shape-to-text:t;">
                <w:txbxContent>
                  <w:p>
                    <w:pPr>
                      <w:pStyle w:val="15"/>
                      <w:rPr>
                        <w:rFonts w:hint="eastAsia"/>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BA4E6F"/>
    <w:multiLevelType w:val="multilevel"/>
    <w:tmpl w:val="02BA4E6F"/>
    <w:lvl w:ilvl="0" w:tentative="0">
      <w:start w:val="1"/>
      <w:numFmt w:val="bullet"/>
      <w:pStyle w:val="57"/>
      <w:lvlText w:val=""/>
      <w:lvlJc w:val="left"/>
      <w:pPr>
        <w:ind w:left="960" w:hanging="480"/>
      </w:pPr>
      <w:rPr>
        <w:rFonts w:hint="default" w:ascii="Symbol" w:hAnsi="Symbol"/>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
    <w:nsid w:val="52CF0B72"/>
    <w:multiLevelType w:val="multilevel"/>
    <w:tmpl w:val="52CF0B7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099A159"/>
    <w:multiLevelType w:val="singleLevel"/>
    <w:tmpl w:val="6099A159"/>
    <w:lvl w:ilvl="0" w:tentative="0">
      <w:start w:val="1"/>
      <w:numFmt w:val="decimal"/>
      <w:suff w:val="nothing"/>
      <w:lvlText w:val="%1、"/>
      <w:lvlJc w:val="left"/>
      <w:rPr>
        <w:rFonts w:cs="Times New Roman"/>
      </w:rPr>
    </w:lvl>
  </w:abstractNum>
  <w:abstractNum w:abstractNumId="3">
    <w:nsid w:val="68B40337"/>
    <w:multiLevelType w:val="multilevel"/>
    <w:tmpl w:val="68B40337"/>
    <w:lvl w:ilvl="0" w:tentative="0">
      <w:start w:val="1"/>
      <w:numFmt w:val="japaneseCounting"/>
      <w:pStyle w:val="48"/>
      <w:lvlText w:val="%1．"/>
      <w:lvlJc w:val="left"/>
      <w:pPr>
        <w:tabs>
          <w:tab w:val="left" w:pos="510"/>
        </w:tabs>
        <w:ind w:left="510" w:hanging="510"/>
      </w:pPr>
      <w:rPr>
        <w:rFonts w:hint="default" w:cs="Times New Roman"/>
        <w:b/>
        <w:sz w:val="21"/>
        <w:szCs w:val="21"/>
      </w:rPr>
    </w:lvl>
    <w:lvl w:ilvl="1" w:tentative="0">
      <w:start w:val="1"/>
      <w:numFmt w:val="decimal"/>
      <w:lvlText w:val="%2."/>
      <w:lvlJc w:val="left"/>
      <w:pPr>
        <w:tabs>
          <w:tab w:val="left" w:pos="840"/>
        </w:tabs>
        <w:ind w:left="840" w:hanging="420"/>
      </w:pPr>
      <w:rPr>
        <w:rFonts w:hint="default" w:cs="Times New Roman"/>
        <w:b w:val="0"/>
        <w:sz w:val="21"/>
        <w:szCs w:val="21"/>
      </w:rPr>
    </w:lvl>
    <w:lvl w:ilvl="2" w:tentative="0">
      <w:start w:val="3"/>
      <w:numFmt w:val="decimal"/>
      <w:lvlText w:val="%3）"/>
      <w:lvlJc w:val="left"/>
      <w:pPr>
        <w:tabs>
          <w:tab w:val="left" w:pos="1200"/>
        </w:tabs>
        <w:ind w:left="1200" w:hanging="360"/>
      </w:pPr>
      <w:rPr>
        <w:rFonts w:hint="default"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dit="readOnly" w:formatting="1" w:enforcement="0"/>
  <w:defaultTabStop w:val="420"/>
  <w:drawingGridVerticalSpacing w:val="159"/>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VmN2JiN2VjODA1MjRmNjE4MTMzMWVhMTNkZWFjNGYifQ=="/>
    <w:docVar w:name="KSO_WPS_MARK_KEY" w:val="5622907b-9639-4554-8415-231ec902afbe"/>
  </w:docVars>
  <w:rsids>
    <w:rsidRoot w:val="00BD5ED0"/>
    <w:rsid w:val="0000437A"/>
    <w:rsid w:val="00005B73"/>
    <w:rsid w:val="00012BFA"/>
    <w:rsid w:val="00024379"/>
    <w:rsid w:val="00035F8F"/>
    <w:rsid w:val="00045122"/>
    <w:rsid w:val="00047001"/>
    <w:rsid w:val="000503CE"/>
    <w:rsid w:val="00053270"/>
    <w:rsid w:val="000535B8"/>
    <w:rsid w:val="00055419"/>
    <w:rsid w:val="000616CD"/>
    <w:rsid w:val="00063883"/>
    <w:rsid w:val="00063F50"/>
    <w:rsid w:val="000679B7"/>
    <w:rsid w:val="00074383"/>
    <w:rsid w:val="00077653"/>
    <w:rsid w:val="000930FE"/>
    <w:rsid w:val="000941B8"/>
    <w:rsid w:val="0009582E"/>
    <w:rsid w:val="0009633D"/>
    <w:rsid w:val="000A0257"/>
    <w:rsid w:val="000A0DFB"/>
    <w:rsid w:val="000B72CC"/>
    <w:rsid w:val="000B7B60"/>
    <w:rsid w:val="000B7FE4"/>
    <w:rsid w:val="000C0834"/>
    <w:rsid w:val="000C2B30"/>
    <w:rsid w:val="000C2D95"/>
    <w:rsid w:val="000C327D"/>
    <w:rsid w:val="000C4264"/>
    <w:rsid w:val="000D2A43"/>
    <w:rsid w:val="000D2D57"/>
    <w:rsid w:val="000D4735"/>
    <w:rsid w:val="000D6353"/>
    <w:rsid w:val="000E7D7C"/>
    <w:rsid w:val="000F2427"/>
    <w:rsid w:val="000F2DF4"/>
    <w:rsid w:val="000F2FC6"/>
    <w:rsid w:val="000F4060"/>
    <w:rsid w:val="000F575A"/>
    <w:rsid w:val="0010706E"/>
    <w:rsid w:val="00115B17"/>
    <w:rsid w:val="001163BB"/>
    <w:rsid w:val="0012090D"/>
    <w:rsid w:val="00124D32"/>
    <w:rsid w:val="001264A1"/>
    <w:rsid w:val="00131E92"/>
    <w:rsid w:val="00132211"/>
    <w:rsid w:val="00132912"/>
    <w:rsid w:val="00136549"/>
    <w:rsid w:val="0013755C"/>
    <w:rsid w:val="00137A41"/>
    <w:rsid w:val="00141896"/>
    <w:rsid w:val="00143273"/>
    <w:rsid w:val="0014433E"/>
    <w:rsid w:val="0014722B"/>
    <w:rsid w:val="0014729E"/>
    <w:rsid w:val="00152F22"/>
    <w:rsid w:val="00153F65"/>
    <w:rsid w:val="00156EF1"/>
    <w:rsid w:val="00157353"/>
    <w:rsid w:val="0016352B"/>
    <w:rsid w:val="0016665E"/>
    <w:rsid w:val="00170C97"/>
    <w:rsid w:val="0017142D"/>
    <w:rsid w:val="00175372"/>
    <w:rsid w:val="00182942"/>
    <w:rsid w:val="001844CB"/>
    <w:rsid w:val="00185440"/>
    <w:rsid w:val="00190F06"/>
    <w:rsid w:val="00191009"/>
    <w:rsid w:val="001925E5"/>
    <w:rsid w:val="00193F95"/>
    <w:rsid w:val="00196FE0"/>
    <w:rsid w:val="001A2C93"/>
    <w:rsid w:val="001A45EA"/>
    <w:rsid w:val="001A5AE5"/>
    <w:rsid w:val="001B09E7"/>
    <w:rsid w:val="001B2CB4"/>
    <w:rsid w:val="001B6B51"/>
    <w:rsid w:val="001C22FD"/>
    <w:rsid w:val="001C279B"/>
    <w:rsid w:val="001C6622"/>
    <w:rsid w:val="001D0EAA"/>
    <w:rsid w:val="001D0FE8"/>
    <w:rsid w:val="001D5CED"/>
    <w:rsid w:val="001D6AB7"/>
    <w:rsid w:val="001E5549"/>
    <w:rsid w:val="001E7603"/>
    <w:rsid w:val="001F7CAF"/>
    <w:rsid w:val="002000CE"/>
    <w:rsid w:val="002008CC"/>
    <w:rsid w:val="00204419"/>
    <w:rsid w:val="00205F12"/>
    <w:rsid w:val="00207A2A"/>
    <w:rsid w:val="00210BCF"/>
    <w:rsid w:val="00213E1F"/>
    <w:rsid w:val="00215784"/>
    <w:rsid w:val="00215DF7"/>
    <w:rsid w:val="00220762"/>
    <w:rsid w:val="0022330A"/>
    <w:rsid w:val="00226BE7"/>
    <w:rsid w:val="00227F02"/>
    <w:rsid w:val="00231A8A"/>
    <w:rsid w:val="002355B4"/>
    <w:rsid w:val="00235976"/>
    <w:rsid w:val="002368CE"/>
    <w:rsid w:val="00236E54"/>
    <w:rsid w:val="00237233"/>
    <w:rsid w:val="0024303B"/>
    <w:rsid w:val="00243458"/>
    <w:rsid w:val="00244C63"/>
    <w:rsid w:val="00244DFC"/>
    <w:rsid w:val="002502B9"/>
    <w:rsid w:val="0025172C"/>
    <w:rsid w:val="00251A1B"/>
    <w:rsid w:val="00254E0E"/>
    <w:rsid w:val="0026670C"/>
    <w:rsid w:val="00266E3D"/>
    <w:rsid w:val="00272C17"/>
    <w:rsid w:val="0027714D"/>
    <w:rsid w:val="002905F7"/>
    <w:rsid w:val="002A05DD"/>
    <w:rsid w:val="002A1D9A"/>
    <w:rsid w:val="002A32EA"/>
    <w:rsid w:val="002A5A03"/>
    <w:rsid w:val="002A6766"/>
    <w:rsid w:val="002B7214"/>
    <w:rsid w:val="002C357D"/>
    <w:rsid w:val="002C3587"/>
    <w:rsid w:val="002C772D"/>
    <w:rsid w:val="002E2198"/>
    <w:rsid w:val="002E2C71"/>
    <w:rsid w:val="002E59B0"/>
    <w:rsid w:val="002E6516"/>
    <w:rsid w:val="002F109A"/>
    <w:rsid w:val="002F1157"/>
    <w:rsid w:val="002F3749"/>
    <w:rsid w:val="002F3DE0"/>
    <w:rsid w:val="003039A2"/>
    <w:rsid w:val="0031424A"/>
    <w:rsid w:val="00314845"/>
    <w:rsid w:val="00327FC7"/>
    <w:rsid w:val="003312E6"/>
    <w:rsid w:val="00331421"/>
    <w:rsid w:val="00332220"/>
    <w:rsid w:val="003432FF"/>
    <w:rsid w:val="003440B1"/>
    <w:rsid w:val="003448D9"/>
    <w:rsid w:val="003467AD"/>
    <w:rsid w:val="003509A1"/>
    <w:rsid w:val="00352F0E"/>
    <w:rsid w:val="0035403B"/>
    <w:rsid w:val="003542F4"/>
    <w:rsid w:val="00354C22"/>
    <w:rsid w:val="00356D07"/>
    <w:rsid w:val="00363811"/>
    <w:rsid w:val="00372BD7"/>
    <w:rsid w:val="00373D87"/>
    <w:rsid w:val="003776A2"/>
    <w:rsid w:val="00393456"/>
    <w:rsid w:val="00393F27"/>
    <w:rsid w:val="00396DB6"/>
    <w:rsid w:val="003A30C0"/>
    <w:rsid w:val="003A7705"/>
    <w:rsid w:val="003B6841"/>
    <w:rsid w:val="003C2315"/>
    <w:rsid w:val="003C349E"/>
    <w:rsid w:val="003C371F"/>
    <w:rsid w:val="003C5F72"/>
    <w:rsid w:val="003E3EEF"/>
    <w:rsid w:val="003E4DE6"/>
    <w:rsid w:val="003F4157"/>
    <w:rsid w:val="003F7A36"/>
    <w:rsid w:val="003F7D43"/>
    <w:rsid w:val="00404AF8"/>
    <w:rsid w:val="00407262"/>
    <w:rsid w:val="004113A9"/>
    <w:rsid w:val="00412BC5"/>
    <w:rsid w:val="0042773C"/>
    <w:rsid w:val="00430F66"/>
    <w:rsid w:val="00431C60"/>
    <w:rsid w:val="004321F7"/>
    <w:rsid w:val="004333CD"/>
    <w:rsid w:val="004407A6"/>
    <w:rsid w:val="00445796"/>
    <w:rsid w:val="004504C6"/>
    <w:rsid w:val="00453C32"/>
    <w:rsid w:val="00454378"/>
    <w:rsid w:val="00455511"/>
    <w:rsid w:val="00460621"/>
    <w:rsid w:val="00472560"/>
    <w:rsid w:val="004732D3"/>
    <w:rsid w:val="00476704"/>
    <w:rsid w:val="0048157A"/>
    <w:rsid w:val="0048198F"/>
    <w:rsid w:val="00481EBF"/>
    <w:rsid w:val="00484829"/>
    <w:rsid w:val="00484B15"/>
    <w:rsid w:val="00485FBD"/>
    <w:rsid w:val="00486C6C"/>
    <w:rsid w:val="00487F75"/>
    <w:rsid w:val="00490A12"/>
    <w:rsid w:val="00491E00"/>
    <w:rsid w:val="004958E7"/>
    <w:rsid w:val="00496744"/>
    <w:rsid w:val="00497C31"/>
    <w:rsid w:val="004A4341"/>
    <w:rsid w:val="004A699E"/>
    <w:rsid w:val="004B145E"/>
    <w:rsid w:val="004B66ED"/>
    <w:rsid w:val="004B7C4E"/>
    <w:rsid w:val="004C3A44"/>
    <w:rsid w:val="004D17EB"/>
    <w:rsid w:val="004D1C1A"/>
    <w:rsid w:val="004D3BC3"/>
    <w:rsid w:val="004E611C"/>
    <w:rsid w:val="004E7081"/>
    <w:rsid w:val="004F2DA5"/>
    <w:rsid w:val="004F3897"/>
    <w:rsid w:val="004F5933"/>
    <w:rsid w:val="0050381E"/>
    <w:rsid w:val="00507325"/>
    <w:rsid w:val="00513E78"/>
    <w:rsid w:val="00514BB3"/>
    <w:rsid w:val="0052004C"/>
    <w:rsid w:val="00520138"/>
    <w:rsid w:val="005210A5"/>
    <w:rsid w:val="0053428C"/>
    <w:rsid w:val="005371FF"/>
    <w:rsid w:val="0054538F"/>
    <w:rsid w:val="00545797"/>
    <w:rsid w:val="005461F1"/>
    <w:rsid w:val="00547182"/>
    <w:rsid w:val="00560A5A"/>
    <w:rsid w:val="00561B95"/>
    <w:rsid w:val="00565B17"/>
    <w:rsid w:val="005711E3"/>
    <w:rsid w:val="0058123D"/>
    <w:rsid w:val="00590112"/>
    <w:rsid w:val="005968DF"/>
    <w:rsid w:val="0059796B"/>
    <w:rsid w:val="005A24AF"/>
    <w:rsid w:val="005A4E94"/>
    <w:rsid w:val="005A74C6"/>
    <w:rsid w:val="005B3EF9"/>
    <w:rsid w:val="005B48FC"/>
    <w:rsid w:val="005B7F8E"/>
    <w:rsid w:val="005C161C"/>
    <w:rsid w:val="005C320D"/>
    <w:rsid w:val="005C6227"/>
    <w:rsid w:val="005E2D48"/>
    <w:rsid w:val="005E3228"/>
    <w:rsid w:val="005F1911"/>
    <w:rsid w:val="005F3328"/>
    <w:rsid w:val="005F55FA"/>
    <w:rsid w:val="005F7D4F"/>
    <w:rsid w:val="00604A1A"/>
    <w:rsid w:val="00605737"/>
    <w:rsid w:val="00610E99"/>
    <w:rsid w:val="00611986"/>
    <w:rsid w:val="006155F4"/>
    <w:rsid w:val="0062329D"/>
    <w:rsid w:val="0063300F"/>
    <w:rsid w:val="00633DF9"/>
    <w:rsid w:val="00635B18"/>
    <w:rsid w:val="00640CD1"/>
    <w:rsid w:val="0064381D"/>
    <w:rsid w:val="0065355D"/>
    <w:rsid w:val="006778F7"/>
    <w:rsid w:val="00677B79"/>
    <w:rsid w:val="00681EC9"/>
    <w:rsid w:val="006942F8"/>
    <w:rsid w:val="0069444D"/>
    <w:rsid w:val="006A260A"/>
    <w:rsid w:val="006A33C7"/>
    <w:rsid w:val="006A720D"/>
    <w:rsid w:val="006A736D"/>
    <w:rsid w:val="006B22E8"/>
    <w:rsid w:val="006B507A"/>
    <w:rsid w:val="006C19C7"/>
    <w:rsid w:val="006C1DD0"/>
    <w:rsid w:val="006C201C"/>
    <w:rsid w:val="006C65B6"/>
    <w:rsid w:val="006D2C51"/>
    <w:rsid w:val="006D2E24"/>
    <w:rsid w:val="006D3754"/>
    <w:rsid w:val="006D4357"/>
    <w:rsid w:val="006D7153"/>
    <w:rsid w:val="006E0C5E"/>
    <w:rsid w:val="006E6A3C"/>
    <w:rsid w:val="006E6C16"/>
    <w:rsid w:val="006E7E05"/>
    <w:rsid w:val="006F2FE4"/>
    <w:rsid w:val="0070054D"/>
    <w:rsid w:val="007021A2"/>
    <w:rsid w:val="00705A9F"/>
    <w:rsid w:val="00707BD7"/>
    <w:rsid w:val="00711644"/>
    <w:rsid w:val="0071376E"/>
    <w:rsid w:val="00714E24"/>
    <w:rsid w:val="00715C2F"/>
    <w:rsid w:val="00715CF6"/>
    <w:rsid w:val="00721328"/>
    <w:rsid w:val="007214BF"/>
    <w:rsid w:val="00725404"/>
    <w:rsid w:val="00725833"/>
    <w:rsid w:val="00727DFA"/>
    <w:rsid w:val="00732A88"/>
    <w:rsid w:val="00733FC8"/>
    <w:rsid w:val="00742F97"/>
    <w:rsid w:val="00743B54"/>
    <w:rsid w:val="0074619F"/>
    <w:rsid w:val="007469CE"/>
    <w:rsid w:val="00750139"/>
    <w:rsid w:val="007564D3"/>
    <w:rsid w:val="00757900"/>
    <w:rsid w:val="00762CB4"/>
    <w:rsid w:val="00770201"/>
    <w:rsid w:val="007722DD"/>
    <w:rsid w:val="00782C1C"/>
    <w:rsid w:val="00786D41"/>
    <w:rsid w:val="00794F11"/>
    <w:rsid w:val="007953EE"/>
    <w:rsid w:val="00797AC3"/>
    <w:rsid w:val="007A5BEF"/>
    <w:rsid w:val="007A6E42"/>
    <w:rsid w:val="007A6F56"/>
    <w:rsid w:val="007B3FFC"/>
    <w:rsid w:val="007C0745"/>
    <w:rsid w:val="007C258B"/>
    <w:rsid w:val="007C518E"/>
    <w:rsid w:val="007C6A68"/>
    <w:rsid w:val="007D10A1"/>
    <w:rsid w:val="007E0968"/>
    <w:rsid w:val="007E314C"/>
    <w:rsid w:val="007E31BF"/>
    <w:rsid w:val="007E751A"/>
    <w:rsid w:val="007E7F57"/>
    <w:rsid w:val="007F6003"/>
    <w:rsid w:val="007F6810"/>
    <w:rsid w:val="007F74D9"/>
    <w:rsid w:val="008028C3"/>
    <w:rsid w:val="00803F4C"/>
    <w:rsid w:val="008040FE"/>
    <w:rsid w:val="00806D35"/>
    <w:rsid w:val="008107BC"/>
    <w:rsid w:val="008139B0"/>
    <w:rsid w:val="00816D3B"/>
    <w:rsid w:val="00833C18"/>
    <w:rsid w:val="0083445B"/>
    <w:rsid w:val="0083540F"/>
    <w:rsid w:val="00837DB1"/>
    <w:rsid w:val="00837F4F"/>
    <w:rsid w:val="008461A8"/>
    <w:rsid w:val="00846B12"/>
    <w:rsid w:val="00847E4A"/>
    <w:rsid w:val="00850429"/>
    <w:rsid w:val="00852823"/>
    <w:rsid w:val="00854E40"/>
    <w:rsid w:val="008558E9"/>
    <w:rsid w:val="0085632D"/>
    <w:rsid w:val="00864EBB"/>
    <w:rsid w:val="00865807"/>
    <w:rsid w:val="00865CC3"/>
    <w:rsid w:val="0087416D"/>
    <w:rsid w:val="00874D13"/>
    <w:rsid w:val="00880ADA"/>
    <w:rsid w:val="00880D0D"/>
    <w:rsid w:val="0088194E"/>
    <w:rsid w:val="00883D24"/>
    <w:rsid w:val="00886C0D"/>
    <w:rsid w:val="008908B3"/>
    <w:rsid w:val="00890C1B"/>
    <w:rsid w:val="008922C7"/>
    <w:rsid w:val="008924EB"/>
    <w:rsid w:val="008A0B99"/>
    <w:rsid w:val="008A17BF"/>
    <w:rsid w:val="008A2C80"/>
    <w:rsid w:val="008A5B56"/>
    <w:rsid w:val="008A5E76"/>
    <w:rsid w:val="008B0C71"/>
    <w:rsid w:val="008B368D"/>
    <w:rsid w:val="008C2811"/>
    <w:rsid w:val="008C6743"/>
    <w:rsid w:val="008D0DC7"/>
    <w:rsid w:val="008D19F7"/>
    <w:rsid w:val="008D4710"/>
    <w:rsid w:val="008D517E"/>
    <w:rsid w:val="008D6B16"/>
    <w:rsid w:val="008E33D0"/>
    <w:rsid w:val="008E4625"/>
    <w:rsid w:val="008E718F"/>
    <w:rsid w:val="008F00D0"/>
    <w:rsid w:val="008F36EF"/>
    <w:rsid w:val="008F44F8"/>
    <w:rsid w:val="008F5E1F"/>
    <w:rsid w:val="008F63E9"/>
    <w:rsid w:val="00902E6B"/>
    <w:rsid w:val="0090741A"/>
    <w:rsid w:val="00911170"/>
    <w:rsid w:val="009137D0"/>
    <w:rsid w:val="009160E2"/>
    <w:rsid w:val="00916250"/>
    <w:rsid w:val="00921906"/>
    <w:rsid w:val="00925020"/>
    <w:rsid w:val="00926ED4"/>
    <w:rsid w:val="00927186"/>
    <w:rsid w:val="0093182D"/>
    <w:rsid w:val="00932531"/>
    <w:rsid w:val="00932C9F"/>
    <w:rsid w:val="00932F10"/>
    <w:rsid w:val="009437E8"/>
    <w:rsid w:val="00943A2D"/>
    <w:rsid w:val="00951AD3"/>
    <w:rsid w:val="009550BD"/>
    <w:rsid w:val="009611ED"/>
    <w:rsid w:val="00964A4B"/>
    <w:rsid w:val="0096611E"/>
    <w:rsid w:val="00966F9C"/>
    <w:rsid w:val="009673AF"/>
    <w:rsid w:val="009772B9"/>
    <w:rsid w:val="00984E18"/>
    <w:rsid w:val="00985E72"/>
    <w:rsid w:val="00987695"/>
    <w:rsid w:val="0099786D"/>
    <w:rsid w:val="009A6631"/>
    <w:rsid w:val="009B38A1"/>
    <w:rsid w:val="009B3D46"/>
    <w:rsid w:val="009B5427"/>
    <w:rsid w:val="009C67B7"/>
    <w:rsid w:val="009C6F7D"/>
    <w:rsid w:val="009D2A2D"/>
    <w:rsid w:val="009D411E"/>
    <w:rsid w:val="009E4761"/>
    <w:rsid w:val="009F03D0"/>
    <w:rsid w:val="009F34D1"/>
    <w:rsid w:val="009F67E6"/>
    <w:rsid w:val="009F7302"/>
    <w:rsid w:val="00A05D8D"/>
    <w:rsid w:val="00A11CF1"/>
    <w:rsid w:val="00A20D53"/>
    <w:rsid w:val="00A2111B"/>
    <w:rsid w:val="00A25FAB"/>
    <w:rsid w:val="00A31649"/>
    <w:rsid w:val="00A34A4A"/>
    <w:rsid w:val="00A36417"/>
    <w:rsid w:val="00A40F11"/>
    <w:rsid w:val="00A43898"/>
    <w:rsid w:val="00A448BD"/>
    <w:rsid w:val="00A450CE"/>
    <w:rsid w:val="00A46C5D"/>
    <w:rsid w:val="00A5612B"/>
    <w:rsid w:val="00A6082D"/>
    <w:rsid w:val="00A63294"/>
    <w:rsid w:val="00A659D4"/>
    <w:rsid w:val="00A71EF2"/>
    <w:rsid w:val="00A72D1C"/>
    <w:rsid w:val="00A74EE0"/>
    <w:rsid w:val="00A76643"/>
    <w:rsid w:val="00A7749C"/>
    <w:rsid w:val="00A7786F"/>
    <w:rsid w:val="00A820BE"/>
    <w:rsid w:val="00A861CA"/>
    <w:rsid w:val="00A87C81"/>
    <w:rsid w:val="00A95B2F"/>
    <w:rsid w:val="00A96A59"/>
    <w:rsid w:val="00AA01F8"/>
    <w:rsid w:val="00AA7451"/>
    <w:rsid w:val="00AB24A2"/>
    <w:rsid w:val="00AB4398"/>
    <w:rsid w:val="00AB7DBB"/>
    <w:rsid w:val="00AC1ADC"/>
    <w:rsid w:val="00AC2E6F"/>
    <w:rsid w:val="00AC3A72"/>
    <w:rsid w:val="00AD016B"/>
    <w:rsid w:val="00AD0A3F"/>
    <w:rsid w:val="00AD0D60"/>
    <w:rsid w:val="00AD2C6E"/>
    <w:rsid w:val="00AF04F6"/>
    <w:rsid w:val="00AF089C"/>
    <w:rsid w:val="00AF20AC"/>
    <w:rsid w:val="00B01550"/>
    <w:rsid w:val="00B02242"/>
    <w:rsid w:val="00B04A3E"/>
    <w:rsid w:val="00B07B72"/>
    <w:rsid w:val="00B12A96"/>
    <w:rsid w:val="00B132E4"/>
    <w:rsid w:val="00B13D15"/>
    <w:rsid w:val="00B148F2"/>
    <w:rsid w:val="00B14C6E"/>
    <w:rsid w:val="00B16EE8"/>
    <w:rsid w:val="00B20140"/>
    <w:rsid w:val="00B218FE"/>
    <w:rsid w:val="00B21C59"/>
    <w:rsid w:val="00B3448D"/>
    <w:rsid w:val="00B34883"/>
    <w:rsid w:val="00B41A9A"/>
    <w:rsid w:val="00B43AE8"/>
    <w:rsid w:val="00B44107"/>
    <w:rsid w:val="00B44693"/>
    <w:rsid w:val="00B54259"/>
    <w:rsid w:val="00B54CE6"/>
    <w:rsid w:val="00B54F0B"/>
    <w:rsid w:val="00B5520B"/>
    <w:rsid w:val="00B553EA"/>
    <w:rsid w:val="00B64CDD"/>
    <w:rsid w:val="00B67CEE"/>
    <w:rsid w:val="00B72957"/>
    <w:rsid w:val="00B73956"/>
    <w:rsid w:val="00B75E79"/>
    <w:rsid w:val="00B8143C"/>
    <w:rsid w:val="00B87690"/>
    <w:rsid w:val="00B87F6F"/>
    <w:rsid w:val="00B9040F"/>
    <w:rsid w:val="00B92C68"/>
    <w:rsid w:val="00B95683"/>
    <w:rsid w:val="00B979FB"/>
    <w:rsid w:val="00BB21E0"/>
    <w:rsid w:val="00BB526C"/>
    <w:rsid w:val="00BC18B3"/>
    <w:rsid w:val="00BC1A2B"/>
    <w:rsid w:val="00BC1BB2"/>
    <w:rsid w:val="00BD568F"/>
    <w:rsid w:val="00BD5ED0"/>
    <w:rsid w:val="00BE5655"/>
    <w:rsid w:val="00BE62B0"/>
    <w:rsid w:val="00BF2792"/>
    <w:rsid w:val="00BF4097"/>
    <w:rsid w:val="00BF4AA9"/>
    <w:rsid w:val="00C11DC8"/>
    <w:rsid w:val="00C139AD"/>
    <w:rsid w:val="00C1766C"/>
    <w:rsid w:val="00C26BEC"/>
    <w:rsid w:val="00C33174"/>
    <w:rsid w:val="00C36E31"/>
    <w:rsid w:val="00C4146E"/>
    <w:rsid w:val="00C446A4"/>
    <w:rsid w:val="00C45995"/>
    <w:rsid w:val="00C54610"/>
    <w:rsid w:val="00C56FFE"/>
    <w:rsid w:val="00C607E8"/>
    <w:rsid w:val="00C60F7D"/>
    <w:rsid w:val="00C77966"/>
    <w:rsid w:val="00C84880"/>
    <w:rsid w:val="00C85381"/>
    <w:rsid w:val="00C85EFB"/>
    <w:rsid w:val="00C85FDF"/>
    <w:rsid w:val="00C86EDD"/>
    <w:rsid w:val="00C87974"/>
    <w:rsid w:val="00C91C90"/>
    <w:rsid w:val="00C9344C"/>
    <w:rsid w:val="00C94273"/>
    <w:rsid w:val="00CA3ADD"/>
    <w:rsid w:val="00CB1476"/>
    <w:rsid w:val="00CB169A"/>
    <w:rsid w:val="00CC5F7C"/>
    <w:rsid w:val="00CD057C"/>
    <w:rsid w:val="00CD1128"/>
    <w:rsid w:val="00CD2C7B"/>
    <w:rsid w:val="00CE2BC2"/>
    <w:rsid w:val="00CE36C4"/>
    <w:rsid w:val="00CE48DB"/>
    <w:rsid w:val="00CE533B"/>
    <w:rsid w:val="00CE582A"/>
    <w:rsid w:val="00CF0841"/>
    <w:rsid w:val="00D01641"/>
    <w:rsid w:val="00D22FB3"/>
    <w:rsid w:val="00D2717E"/>
    <w:rsid w:val="00D320E7"/>
    <w:rsid w:val="00D3269F"/>
    <w:rsid w:val="00D36416"/>
    <w:rsid w:val="00D418BC"/>
    <w:rsid w:val="00D45A27"/>
    <w:rsid w:val="00D46866"/>
    <w:rsid w:val="00D46E62"/>
    <w:rsid w:val="00D52541"/>
    <w:rsid w:val="00D54BA0"/>
    <w:rsid w:val="00D602D3"/>
    <w:rsid w:val="00D608D9"/>
    <w:rsid w:val="00D634C8"/>
    <w:rsid w:val="00D64B79"/>
    <w:rsid w:val="00D66E24"/>
    <w:rsid w:val="00D76D4E"/>
    <w:rsid w:val="00D806A3"/>
    <w:rsid w:val="00D814B6"/>
    <w:rsid w:val="00D8399F"/>
    <w:rsid w:val="00D84FE2"/>
    <w:rsid w:val="00D8664D"/>
    <w:rsid w:val="00D92409"/>
    <w:rsid w:val="00D95914"/>
    <w:rsid w:val="00DA1560"/>
    <w:rsid w:val="00DA3184"/>
    <w:rsid w:val="00DA5DC8"/>
    <w:rsid w:val="00DA5E27"/>
    <w:rsid w:val="00DA65EE"/>
    <w:rsid w:val="00DA7E5B"/>
    <w:rsid w:val="00DB0309"/>
    <w:rsid w:val="00DB6E4E"/>
    <w:rsid w:val="00DC1FD9"/>
    <w:rsid w:val="00DC5744"/>
    <w:rsid w:val="00DC619A"/>
    <w:rsid w:val="00DC6BB1"/>
    <w:rsid w:val="00DC7FC2"/>
    <w:rsid w:val="00DD038C"/>
    <w:rsid w:val="00DD2DB5"/>
    <w:rsid w:val="00DD2E0C"/>
    <w:rsid w:val="00DD3DB6"/>
    <w:rsid w:val="00DD4ED1"/>
    <w:rsid w:val="00DD686B"/>
    <w:rsid w:val="00DE3373"/>
    <w:rsid w:val="00DE654E"/>
    <w:rsid w:val="00DE72B9"/>
    <w:rsid w:val="00DF11FD"/>
    <w:rsid w:val="00DF4ECA"/>
    <w:rsid w:val="00DF5183"/>
    <w:rsid w:val="00DF6451"/>
    <w:rsid w:val="00DF6697"/>
    <w:rsid w:val="00DF7AB5"/>
    <w:rsid w:val="00DF7F0A"/>
    <w:rsid w:val="00E010E9"/>
    <w:rsid w:val="00E11376"/>
    <w:rsid w:val="00E21013"/>
    <w:rsid w:val="00E21941"/>
    <w:rsid w:val="00E30D18"/>
    <w:rsid w:val="00E444B2"/>
    <w:rsid w:val="00E50267"/>
    <w:rsid w:val="00E55C56"/>
    <w:rsid w:val="00E570B0"/>
    <w:rsid w:val="00E604F7"/>
    <w:rsid w:val="00E65011"/>
    <w:rsid w:val="00E65448"/>
    <w:rsid w:val="00E678F0"/>
    <w:rsid w:val="00E71C8B"/>
    <w:rsid w:val="00E75193"/>
    <w:rsid w:val="00E762DB"/>
    <w:rsid w:val="00E76DF9"/>
    <w:rsid w:val="00E76EA8"/>
    <w:rsid w:val="00E82677"/>
    <w:rsid w:val="00E82772"/>
    <w:rsid w:val="00E82B18"/>
    <w:rsid w:val="00E85FE3"/>
    <w:rsid w:val="00E87D58"/>
    <w:rsid w:val="00E91BC8"/>
    <w:rsid w:val="00EA6B31"/>
    <w:rsid w:val="00EC0694"/>
    <w:rsid w:val="00EC17BB"/>
    <w:rsid w:val="00EC1E4F"/>
    <w:rsid w:val="00EC5723"/>
    <w:rsid w:val="00EC5DF0"/>
    <w:rsid w:val="00ED43D8"/>
    <w:rsid w:val="00EE1FB9"/>
    <w:rsid w:val="00EE2A12"/>
    <w:rsid w:val="00EE3F96"/>
    <w:rsid w:val="00EE4BA0"/>
    <w:rsid w:val="00EE5B35"/>
    <w:rsid w:val="00EE7FAE"/>
    <w:rsid w:val="00EF409F"/>
    <w:rsid w:val="00EF491C"/>
    <w:rsid w:val="00EF6DB2"/>
    <w:rsid w:val="00F06DF3"/>
    <w:rsid w:val="00F10281"/>
    <w:rsid w:val="00F12122"/>
    <w:rsid w:val="00F13805"/>
    <w:rsid w:val="00F15584"/>
    <w:rsid w:val="00F163D7"/>
    <w:rsid w:val="00F236A2"/>
    <w:rsid w:val="00F25AA0"/>
    <w:rsid w:val="00F27EC3"/>
    <w:rsid w:val="00F301A1"/>
    <w:rsid w:val="00F35D52"/>
    <w:rsid w:val="00F363B7"/>
    <w:rsid w:val="00F37CA6"/>
    <w:rsid w:val="00F44CA0"/>
    <w:rsid w:val="00F46A70"/>
    <w:rsid w:val="00F51913"/>
    <w:rsid w:val="00F55724"/>
    <w:rsid w:val="00F608BD"/>
    <w:rsid w:val="00F62A26"/>
    <w:rsid w:val="00F67143"/>
    <w:rsid w:val="00F74ABD"/>
    <w:rsid w:val="00F75EF8"/>
    <w:rsid w:val="00F81417"/>
    <w:rsid w:val="00F83FF1"/>
    <w:rsid w:val="00F854B9"/>
    <w:rsid w:val="00F938F5"/>
    <w:rsid w:val="00F94850"/>
    <w:rsid w:val="00F97E28"/>
    <w:rsid w:val="00FA15FA"/>
    <w:rsid w:val="00FA27D8"/>
    <w:rsid w:val="00FA6653"/>
    <w:rsid w:val="00FB1DFB"/>
    <w:rsid w:val="00FB50A2"/>
    <w:rsid w:val="00FB5E05"/>
    <w:rsid w:val="00FB74E0"/>
    <w:rsid w:val="00FC7D84"/>
    <w:rsid w:val="00FD22B3"/>
    <w:rsid w:val="00FD24E2"/>
    <w:rsid w:val="00FD50D4"/>
    <w:rsid w:val="00FD6E74"/>
    <w:rsid w:val="00FE0424"/>
    <w:rsid w:val="00FE3D58"/>
    <w:rsid w:val="00FE793A"/>
    <w:rsid w:val="00FF2CE6"/>
    <w:rsid w:val="00FF40A5"/>
    <w:rsid w:val="00FF64ED"/>
    <w:rsid w:val="026516A8"/>
    <w:rsid w:val="035D4211"/>
    <w:rsid w:val="037D5EE3"/>
    <w:rsid w:val="03CC3F79"/>
    <w:rsid w:val="049802FF"/>
    <w:rsid w:val="04CF6E29"/>
    <w:rsid w:val="059366CF"/>
    <w:rsid w:val="05D00163"/>
    <w:rsid w:val="077C34B8"/>
    <w:rsid w:val="07A209C4"/>
    <w:rsid w:val="080D26DA"/>
    <w:rsid w:val="08190339"/>
    <w:rsid w:val="08284245"/>
    <w:rsid w:val="086F1260"/>
    <w:rsid w:val="0880226D"/>
    <w:rsid w:val="089F2BDE"/>
    <w:rsid w:val="08BB2505"/>
    <w:rsid w:val="08F7507B"/>
    <w:rsid w:val="099A07E1"/>
    <w:rsid w:val="0A535ED7"/>
    <w:rsid w:val="0A9B4FED"/>
    <w:rsid w:val="0B0C0A79"/>
    <w:rsid w:val="0B451F6A"/>
    <w:rsid w:val="0BA37CB5"/>
    <w:rsid w:val="0C6F4C8D"/>
    <w:rsid w:val="0D0E0EB6"/>
    <w:rsid w:val="0DE016F7"/>
    <w:rsid w:val="0DE142CB"/>
    <w:rsid w:val="0E2969CC"/>
    <w:rsid w:val="0E484B44"/>
    <w:rsid w:val="0FDC1CDC"/>
    <w:rsid w:val="10223C48"/>
    <w:rsid w:val="11F13447"/>
    <w:rsid w:val="121C3D86"/>
    <w:rsid w:val="12475EA9"/>
    <w:rsid w:val="133360BD"/>
    <w:rsid w:val="140448DE"/>
    <w:rsid w:val="146E4633"/>
    <w:rsid w:val="150412EA"/>
    <w:rsid w:val="163D0A0A"/>
    <w:rsid w:val="171438BA"/>
    <w:rsid w:val="17230955"/>
    <w:rsid w:val="182770BA"/>
    <w:rsid w:val="18863017"/>
    <w:rsid w:val="18AC6D73"/>
    <w:rsid w:val="19235F3B"/>
    <w:rsid w:val="19305D74"/>
    <w:rsid w:val="1A6B63F2"/>
    <w:rsid w:val="1B4716B4"/>
    <w:rsid w:val="1C08419D"/>
    <w:rsid w:val="1C2C554A"/>
    <w:rsid w:val="1D4D5FFD"/>
    <w:rsid w:val="1F7A0970"/>
    <w:rsid w:val="1FC46A35"/>
    <w:rsid w:val="209E2C67"/>
    <w:rsid w:val="216F32CA"/>
    <w:rsid w:val="22124112"/>
    <w:rsid w:val="2286260F"/>
    <w:rsid w:val="23434CB8"/>
    <w:rsid w:val="23F57352"/>
    <w:rsid w:val="23FB094D"/>
    <w:rsid w:val="249A7996"/>
    <w:rsid w:val="25C66D33"/>
    <w:rsid w:val="26114193"/>
    <w:rsid w:val="267E2359"/>
    <w:rsid w:val="26BC7CBC"/>
    <w:rsid w:val="27447ED5"/>
    <w:rsid w:val="275F3A77"/>
    <w:rsid w:val="284F0253"/>
    <w:rsid w:val="28644870"/>
    <w:rsid w:val="2892501A"/>
    <w:rsid w:val="2AD603C5"/>
    <w:rsid w:val="2AE949DF"/>
    <w:rsid w:val="2B3B474B"/>
    <w:rsid w:val="2B8D044E"/>
    <w:rsid w:val="2C016BB8"/>
    <w:rsid w:val="2D77461B"/>
    <w:rsid w:val="2E400C5F"/>
    <w:rsid w:val="2E5209E3"/>
    <w:rsid w:val="2EB01AFE"/>
    <w:rsid w:val="30592C7B"/>
    <w:rsid w:val="30D1119A"/>
    <w:rsid w:val="30F12F4C"/>
    <w:rsid w:val="3112402E"/>
    <w:rsid w:val="313D3E38"/>
    <w:rsid w:val="32611BF0"/>
    <w:rsid w:val="32894C60"/>
    <w:rsid w:val="329614A6"/>
    <w:rsid w:val="33A83294"/>
    <w:rsid w:val="34011E26"/>
    <w:rsid w:val="341B4D23"/>
    <w:rsid w:val="36A81FB2"/>
    <w:rsid w:val="3722158D"/>
    <w:rsid w:val="375E09FC"/>
    <w:rsid w:val="382A2F37"/>
    <w:rsid w:val="38525FA9"/>
    <w:rsid w:val="38E2156D"/>
    <w:rsid w:val="39003F1D"/>
    <w:rsid w:val="391B745A"/>
    <w:rsid w:val="39276876"/>
    <w:rsid w:val="392B2930"/>
    <w:rsid w:val="396C7F00"/>
    <w:rsid w:val="3AC853CC"/>
    <w:rsid w:val="3C582CD8"/>
    <w:rsid w:val="3D6829B4"/>
    <w:rsid w:val="3E094E14"/>
    <w:rsid w:val="3E2546CD"/>
    <w:rsid w:val="3E355B46"/>
    <w:rsid w:val="40531C58"/>
    <w:rsid w:val="41192D98"/>
    <w:rsid w:val="413E5CD9"/>
    <w:rsid w:val="42186000"/>
    <w:rsid w:val="43425F9D"/>
    <w:rsid w:val="4363599B"/>
    <w:rsid w:val="43F465D0"/>
    <w:rsid w:val="442A053D"/>
    <w:rsid w:val="44440739"/>
    <w:rsid w:val="446F65B8"/>
    <w:rsid w:val="44F057A6"/>
    <w:rsid w:val="452D104C"/>
    <w:rsid w:val="45A95346"/>
    <w:rsid w:val="46416F41"/>
    <w:rsid w:val="46C4203A"/>
    <w:rsid w:val="470E29AE"/>
    <w:rsid w:val="472B55F2"/>
    <w:rsid w:val="47A6062D"/>
    <w:rsid w:val="49CB0CCD"/>
    <w:rsid w:val="4AA610D6"/>
    <w:rsid w:val="4B0C055A"/>
    <w:rsid w:val="4B2058B1"/>
    <w:rsid w:val="4BD423EC"/>
    <w:rsid w:val="4C8B4A7C"/>
    <w:rsid w:val="4CFC368B"/>
    <w:rsid w:val="4E3E7C12"/>
    <w:rsid w:val="4E420F4A"/>
    <w:rsid w:val="4E7D412D"/>
    <w:rsid w:val="4EA778B4"/>
    <w:rsid w:val="4F086AAF"/>
    <w:rsid w:val="4FA90285"/>
    <w:rsid w:val="5069668A"/>
    <w:rsid w:val="50A83CB2"/>
    <w:rsid w:val="50CD289B"/>
    <w:rsid w:val="512B42F2"/>
    <w:rsid w:val="515C0284"/>
    <w:rsid w:val="51F36D3C"/>
    <w:rsid w:val="534D076A"/>
    <w:rsid w:val="538E5DEC"/>
    <w:rsid w:val="56D076DF"/>
    <w:rsid w:val="56E34736"/>
    <w:rsid w:val="56FB15A3"/>
    <w:rsid w:val="57163948"/>
    <w:rsid w:val="572C3C94"/>
    <w:rsid w:val="57806BBC"/>
    <w:rsid w:val="587679B8"/>
    <w:rsid w:val="58963DA7"/>
    <w:rsid w:val="58AD704A"/>
    <w:rsid w:val="58C475F4"/>
    <w:rsid w:val="590673DE"/>
    <w:rsid w:val="592C3305"/>
    <w:rsid w:val="5A2C7551"/>
    <w:rsid w:val="5A400720"/>
    <w:rsid w:val="5C601EB1"/>
    <w:rsid w:val="5CF4139A"/>
    <w:rsid w:val="5D311E27"/>
    <w:rsid w:val="5D693C9C"/>
    <w:rsid w:val="5DE973D6"/>
    <w:rsid w:val="5E4B6C97"/>
    <w:rsid w:val="5E8D2D21"/>
    <w:rsid w:val="5EBD1212"/>
    <w:rsid w:val="5FBF197A"/>
    <w:rsid w:val="623F329A"/>
    <w:rsid w:val="62695E27"/>
    <w:rsid w:val="628242DE"/>
    <w:rsid w:val="636127C3"/>
    <w:rsid w:val="63D4333D"/>
    <w:rsid w:val="63F00412"/>
    <w:rsid w:val="643117F5"/>
    <w:rsid w:val="6505378F"/>
    <w:rsid w:val="6541100E"/>
    <w:rsid w:val="654C0BA8"/>
    <w:rsid w:val="664352EB"/>
    <w:rsid w:val="672079BD"/>
    <w:rsid w:val="675B2171"/>
    <w:rsid w:val="67D11E59"/>
    <w:rsid w:val="683E7EE4"/>
    <w:rsid w:val="69590642"/>
    <w:rsid w:val="696610E4"/>
    <w:rsid w:val="69B950EC"/>
    <w:rsid w:val="6A83721D"/>
    <w:rsid w:val="6AE21101"/>
    <w:rsid w:val="6B4F3B9E"/>
    <w:rsid w:val="6B93647C"/>
    <w:rsid w:val="6BD63153"/>
    <w:rsid w:val="6C5B55DC"/>
    <w:rsid w:val="6CAE03DD"/>
    <w:rsid w:val="6CE56E6B"/>
    <w:rsid w:val="6D032DAA"/>
    <w:rsid w:val="6E005A26"/>
    <w:rsid w:val="6E6329C5"/>
    <w:rsid w:val="6EFF345A"/>
    <w:rsid w:val="6F0E41D6"/>
    <w:rsid w:val="6FB4540B"/>
    <w:rsid w:val="70A23105"/>
    <w:rsid w:val="70C73255"/>
    <w:rsid w:val="71610FBE"/>
    <w:rsid w:val="725008FF"/>
    <w:rsid w:val="72760778"/>
    <w:rsid w:val="743104E3"/>
    <w:rsid w:val="74320C3C"/>
    <w:rsid w:val="74513162"/>
    <w:rsid w:val="75431AF8"/>
    <w:rsid w:val="757B75BC"/>
    <w:rsid w:val="760E5260"/>
    <w:rsid w:val="76634588"/>
    <w:rsid w:val="76A665D3"/>
    <w:rsid w:val="76B64EC4"/>
    <w:rsid w:val="78BD1F9D"/>
    <w:rsid w:val="79201CE1"/>
    <w:rsid w:val="79B14724"/>
    <w:rsid w:val="7A8C4A94"/>
    <w:rsid w:val="7ACB441D"/>
    <w:rsid w:val="7B3E0A41"/>
    <w:rsid w:val="7B794C12"/>
    <w:rsid w:val="7C323980"/>
    <w:rsid w:val="7F470157"/>
    <w:rsid w:val="7FAE499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uiPriority="0" w:name="toc 2" w:locked="1"/>
    <w:lsdException w:uiPriority="0" w:name="toc 3" w:locked="1"/>
    <w:lsdException w:uiPriority="0" w:name="toc 4" w:locked="1"/>
    <w:lsdException w:uiPriority="0" w:name="toc 5" w:locked="1"/>
    <w:lsdException w:uiPriority="0" w:name="toc 6" w:locked="1"/>
    <w:lsdException w:uiPriority="0" w:name="toc 7" w:locked="1"/>
    <w:lsdException w:uiPriority="0" w:name="toc 8" w:locked="1"/>
    <w:lsdException w:uiPriority="0" w:name="toc 9" w:locked="1"/>
    <w:lsdException w:qFormat="1" w:unhideWhenUsed="0" w:uiPriority="99" w:semiHidden="0"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qFormat="1" w:unhideWhenUsed="0" w:uiPriority="99" w:semiHidden="0" w:name="Body Text First Indent"/>
    <w:lsdException w:qFormat="1" w:uiPriority="0" w:semiHidden="0" w:name="Body Text First Indent 2"/>
    <w:lsdException w:uiPriority="99" w:name="Note Heading"/>
    <w:lsdException w:uiPriority="99" w:name="Body Text 2"/>
    <w:lsdException w:qFormat="1" w:unhideWhenUsed="0" w:uiPriority="0" w:semiHidden="0"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semiHidden="0" w:name="Document Map"/>
    <w:lsdException w:qFormat="1" w:unhideWhenUsed="0" w:uiPriority="0" w:semiHidden="0"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27"/>
    <w:qFormat/>
    <w:uiPriority w:val="99"/>
    <w:pPr>
      <w:keepNext/>
      <w:keepLines/>
      <w:spacing w:before="340" w:after="330" w:line="578" w:lineRule="auto"/>
      <w:outlineLvl w:val="0"/>
    </w:pPr>
    <w:rPr>
      <w:b/>
      <w:bCs/>
      <w:kern w:val="44"/>
      <w:sz w:val="44"/>
      <w:szCs w:val="44"/>
    </w:rPr>
  </w:style>
  <w:style w:type="paragraph" w:styleId="4">
    <w:name w:val="heading 2"/>
    <w:basedOn w:val="1"/>
    <w:next w:val="1"/>
    <w:link w:val="28"/>
    <w:qFormat/>
    <w:uiPriority w:val="99"/>
    <w:pPr>
      <w:keepNext/>
      <w:keepLines/>
      <w:spacing w:before="260" w:after="260" w:line="416" w:lineRule="auto"/>
      <w:outlineLvl w:val="1"/>
    </w:pPr>
    <w:rPr>
      <w:rFonts w:ascii="Cambria" w:hAnsi="Cambria"/>
      <w:b/>
      <w:bCs/>
      <w:sz w:val="32"/>
      <w:szCs w:val="32"/>
    </w:rPr>
  </w:style>
  <w:style w:type="paragraph" w:styleId="5">
    <w:name w:val="heading 3"/>
    <w:basedOn w:val="1"/>
    <w:next w:val="1"/>
    <w:link w:val="29"/>
    <w:qFormat/>
    <w:uiPriority w:val="99"/>
    <w:pPr>
      <w:keepNext/>
      <w:keepLines/>
      <w:widowControl/>
      <w:spacing w:before="260" w:after="260" w:line="413" w:lineRule="auto"/>
      <w:outlineLvl w:val="2"/>
    </w:pPr>
    <w:rPr>
      <w:rFonts w:ascii="Calibri" w:hAnsi="Calibri" w:cs="宋体"/>
      <w:b/>
      <w:sz w:val="32"/>
      <w:szCs w:val="22"/>
    </w:rPr>
  </w:style>
  <w:style w:type="paragraph" w:styleId="6">
    <w:name w:val="heading 4"/>
    <w:basedOn w:val="1"/>
    <w:next w:val="1"/>
    <w:link w:val="30"/>
    <w:qFormat/>
    <w:uiPriority w:val="99"/>
    <w:pPr>
      <w:keepNext/>
      <w:keepLines/>
      <w:spacing w:before="280" w:after="290" w:line="376" w:lineRule="auto"/>
      <w:outlineLvl w:val="3"/>
    </w:pPr>
    <w:rPr>
      <w:rFonts w:ascii="Arial" w:hAnsi="Arial" w:eastAsia="黑体"/>
      <w:b/>
      <w:bCs/>
      <w:sz w:val="28"/>
      <w:szCs w:val="28"/>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link w:val="47"/>
    <w:qFormat/>
    <w:uiPriority w:val="99"/>
    <w:pPr>
      <w:widowControl/>
      <w:adjustRightInd w:val="0"/>
      <w:spacing w:line="360" w:lineRule="atLeast"/>
      <w:ind w:firstLine="482"/>
      <w:jc w:val="left"/>
      <w:textAlignment w:val="baseline"/>
    </w:pPr>
    <w:rPr>
      <w:rFonts w:ascii="Calibri" w:hAnsi="Calibri" w:eastAsia="等线"/>
      <w:kern w:val="0"/>
      <w:sz w:val="24"/>
    </w:rPr>
  </w:style>
  <w:style w:type="paragraph" w:styleId="7">
    <w:name w:val="Document Map"/>
    <w:basedOn w:val="1"/>
    <w:link w:val="31"/>
    <w:qFormat/>
    <w:uiPriority w:val="99"/>
    <w:rPr>
      <w:rFonts w:ascii="宋体"/>
      <w:sz w:val="18"/>
      <w:szCs w:val="18"/>
    </w:rPr>
  </w:style>
  <w:style w:type="paragraph" w:styleId="8">
    <w:name w:val="annotation text"/>
    <w:basedOn w:val="1"/>
    <w:link w:val="32"/>
    <w:qFormat/>
    <w:uiPriority w:val="99"/>
    <w:pPr>
      <w:jc w:val="left"/>
    </w:pPr>
  </w:style>
  <w:style w:type="paragraph" w:styleId="9">
    <w:name w:val="Body Text 3"/>
    <w:basedOn w:val="1"/>
    <w:qFormat/>
    <w:uiPriority w:val="0"/>
    <w:pPr>
      <w:ind w:right="-26"/>
      <w:jc w:val="center"/>
    </w:pPr>
    <w:rPr>
      <w:b/>
      <w:bCs/>
      <w:color w:val="3366FF"/>
      <w:kern w:val="2"/>
      <w:sz w:val="52"/>
      <w:szCs w:val="52"/>
      <w:lang w:val="zh-CN"/>
    </w:rPr>
  </w:style>
  <w:style w:type="paragraph" w:styleId="10">
    <w:name w:val="Body Text"/>
    <w:basedOn w:val="1"/>
    <w:next w:val="11"/>
    <w:link w:val="33"/>
    <w:qFormat/>
    <w:uiPriority w:val="99"/>
    <w:pPr>
      <w:spacing w:after="120"/>
    </w:pPr>
  </w:style>
  <w:style w:type="paragraph" w:styleId="11">
    <w:name w:val="Body Text First Indent"/>
    <w:basedOn w:val="10"/>
    <w:link w:val="37"/>
    <w:qFormat/>
    <w:uiPriority w:val="99"/>
    <w:pPr>
      <w:widowControl/>
      <w:ind w:firstLine="420" w:firstLineChars="100"/>
    </w:pPr>
    <w:rPr>
      <w:rFonts w:ascii="Calibri" w:hAnsi="Calibri" w:cs="宋体"/>
      <w:szCs w:val="22"/>
    </w:rPr>
  </w:style>
  <w:style w:type="paragraph" w:styleId="12">
    <w:name w:val="Body Text Indent"/>
    <w:basedOn w:val="1"/>
    <w:qFormat/>
    <w:uiPriority w:val="0"/>
    <w:pPr>
      <w:autoSpaceDE/>
      <w:autoSpaceDN/>
      <w:adjustRightInd/>
      <w:ind w:left="567" w:leftChars="270"/>
      <w:jc w:val="both"/>
    </w:pPr>
    <w:rPr>
      <w:rFonts w:ascii="Times New Roman" w:hAnsi="Calibri" w:eastAsia="宋体" w:cs="Times New Roman"/>
      <w:kern w:val="2"/>
      <w:sz w:val="21"/>
      <w:szCs w:val="20"/>
    </w:rPr>
  </w:style>
  <w:style w:type="paragraph" w:styleId="13">
    <w:name w:val="Plain Text"/>
    <w:basedOn w:val="1"/>
    <w:next w:val="1"/>
    <w:link w:val="49"/>
    <w:qFormat/>
    <w:uiPriority w:val="0"/>
    <w:pPr>
      <w:tabs>
        <w:tab w:val="left" w:pos="-105"/>
      </w:tabs>
      <w:spacing w:line="440" w:lineRule="exact"/>
      <w:ind w:right="-147" w:rightChars="-70"/>
      <w:outlineLvl w:val="2"/>
    </w:pPr>
    <w:rPr>
      <w:rFonts w:ascii="宋体" w:hAnsi="Courier New"/>
      <w:sz w:val="24"/>
      <w:szCs w:val="21"/>
    </w:rPr>
  </w:style>
  <w:style w:type="paragraph" w:styleId="14">
    <w:name w:val="Balloon Text"/>
    <w:basedOn w:val="1"/>
    <w:link w:val="34"/>
    <w:qFormat/>
    <w:uiPriority w:val="99"/>
    <w:rPr>
      <w:sz w:val="18"/>
      <w:szCs w:val="18"/>
    </w:rPr>
  </w:style>
  <w:style w:type="paragraph" w:styleId="15">
    <w:name w:val="footer"/>
    <w:basedOn w:val="1"/>
    <w:link w:val="35"/>
    <w:qFormat/>
    <w:uiPriority w:val="99"/>
    <w:pPr>
      <w:tabs>
        <w:tab w:val="center" w:pos="4153"/>
        <w:tab w:val="right" w:pos="8306"/>
      </w:tabs>
      <w:snapToGrid w:val="0"/>
      <w:jc w:val="left"/>
    </w:pPr>
    <w:rPr>
      <w:sz w:val="18"/>
      <w:szCs w:val="18"/>
    </w:rPr>
  </w:style>
  <w:style w:type="paragraph" w:styleId="16">
    <w:name w:val="header"/>
    <w:basedOn w:val="1"/>
    <w:link w:val="36"/>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qFormat/>
    <w:uiPriority w:val="99"/>
    <w:pPr>
      <w:widowControl/>
      <w:tabs>
        <w:tab w:val="left" w:pos="780"/>
        <w:tab w:val="right" w:leader="dot" w:pos="9400"/>
      </w:tabs>
      <w:jc w:val="left"/>
    </w:pPr>
    <w:rPr>
      <w:rFonts w:ascii="Calibri" w:hAnsi="Calibri"/>
      <w:kern w:val="0"/>
      <w:sz w:val="24"/>
      <w:szCs w:val="24"/>
    </w:rPr>
  </w:style>
  <w:style w:type="paragraph" w:styleId="18">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paragraph" w:styleId="19">
    <w:name w:val="annotation subject"/>
    <w:basedOn w:val="8"/>
    <w:next w:val="8"/>
    <w:link w:val="54"/>
    <w:semiHidden/>
    <w:qFormat/>
    <w:uiPriority w:val="99"/>
    <w:rPr>
      <w:b/>
      <w:bCs/>
    </w:rPr>
  </w:style>
  <w:style w:type="paragraph" w:styleId="20">
    <w:name w:val="Body Text First Indent 2"/>
    <w:basedOn w:val="12"/>
    <w:unhideWhenUsed/>
    <w:qFormat/>
    <w:uiPriority w:val="0"/>
    <w:pPr>
      <w:autoSpaceDE w:val="0"/>
      <w:autoSpaceDN w:val="0"/>
      <w:adjustRightInd w:val="0"/>
      <w:spacing w:after="120"/>
      <w:ind w:left="420" w:leftChars="200" w:firstLine="420" w:firstLineChars="200"/>
      <w:jc w:val="left"/>
    </w:pPr>
    <w:rPr>
      <w:rFonts w:ascii="宋体" w:hAnsi="Times New Roman"/>
      <w:kern w:val="0"/>
      <w:sz w:val="24"/>
      <w:szCs w:val="24"/>
    </w:rPr>
  </w:style>
  <w:style w:type="table" w:styleId="22">
    <w:name w:val="Table Grid"/>
    <w:basedOn w:val="21"/>
    <w:qFormat/>
    <w:uiPriority w:val="5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page number"/>
    <w:basedOn w:val="23"/>
    <w:qFormat/>
    <w:uiPriority w:val="0"/>
  </w:style>
  <w:style w:type="character" w:styleId="25">
    <w:name w:val="Hyperlink"/>
    <w:qFormat/>
    <w:uiPriority w:val="99"/>
    <w:rPr>
      <w:rFonts w:cs="Times New Roman"/>
      <w:color w:val="0000FF"/>
      <w:u w:val="single"/>
    </w:rPr>
  </w:style>
  <w:style w:type="character" w:styleId="26">
    <w:name w:val="annotation reference"/>
    <w:qFormat/>
    <w:uiPriority w:val="99"/>
    <w:rPr>
      <w:rFonts w:cs="Times New Roman"/>
      <w:sz w:val="21"/>
      <w:szCs w:val="21"/>
    </w:rPr>
  </w:style>
  <w:style w:type="character" w:customStyle="1" w:styleId="27">
    <w:name w:val="标题 1 字符"/>
    <w:link w:val="3"/>
    <w:qFormat/>
    <w:locked/>
    <w:uiPriority w:val="99"/>
    <w:rPr>
      <w:rFonts w:ascii="Times New Roman" w:hAnsi="Times New Roman" w:eastAsia="宋体" w:cs="Times New Roman"/>
      <w:b/>
      <w:bCs/>
      <w:kern w:val="44"/>
      <w:sz w:val="44"/>
      <w:szCs w:val="44"/>
    </w:rPr>
  </w:style>
  <w:style w:type="character" w:customStyle="1" w:styleId="28">
    <w:name w:val="标题 2 字符"/>
    <w:link w:val="4"/>
    <w:qFormat/>
    <w:locked/>
    <w:uiPriority w:val="99"/>
    <w:rPr>
      <w:rFonts w:ascii="Cambria" w:hAnsi="Cambria" w:eastAsia="宋体" w:cs="Times New Roman"/>
      <w:b/>
      <w:bCs/>
      <w:kern w:val="2"/>
      <w:sz w:val="32"/>
      <w:szCs w:val="32"/>
    </w:rPr>
  </w:style>
  <w:style w:type="character" w:customStyle="1" w:styleId="29">
    <w:name w:val="标题 3 字符"/>
    <w:link w:val="5"/>
    <w:qFormat/>
    <w:locked/>
    <w:uiPriority w:val="99"/>
    <w:rPr>
      <w:rFonts w:eastAsia="宋体" w:cs="Times New Roman"/>
      <w:b/>
      <w:sz w:val="32"/>
    </w:rPr>
  </w:style>
  <w:style w:type="character" w:customStyle="1" w:styleId="30">
    <w:name w:val="标题 4 字符1"/>
    <w:link w:val="6"/>
    <w:qFormat/>
    <w:locked/>
    <w:uiPriority w:val="99"/>
    <w:rPr>
      <w:rFonts w:ascii="Arial" w:hAnsi="Arial" w:eastAsia="黑体" w:cs="Times New Roman"/>
      <w:b/>
      <w:bCs/>
      <w:kern w:val="2"/>
      <w:sz w:val="28"/>
      <w:szCs w:val="28"/>
    </w:rPr>
  </w:style>
  <w:style w:type="character" w:customStyle="1" w:styleId="31">
    <w:name w:val="文档结构图 字符"/>
    <w:link w:val="7"/>
    <w:qFormat/>
    <w:locked/>
    <w:uiPriority w:val="99"/>
    <w:rPr>
      <w:rFonts w:ascii="宋体" w:hAnsi="Times New Roman" w:eastAsia="宋体" w:cs="Times New Roman"/>
      <w:kern w:val="2"/>
      <w:sz w:val="18"/>
      <w:szCs w:val="18"/>
    </w:rPr>
  </w:style>
  <w:style w:type="character" w:customStyle="1" w:styleId="32">
    <w:name w:val="批注文字 字符"/>
    <w:link w:val="8"/>
    <w:qFormat/>
    <w:locked/>
    <w:uiPriority w:val="99"/>
    <w:rPr>
      <w:rFonts w:ascii="Times New Roman" w:hAnsi="Times New Roman" w:cs="Times New Roman"/>
      <w:kern w:val="2"/>
      <w:sz w:val="21"/>
    </w:rPr>
  </w:style>
  <w:style w:type="character" w:customStyle="1" w:styleId="33">
    <w:name w:val="正文文本 字符"/>
    <w:link w:val="10"/>
    <w:qFormat/>
    <w:locked/>
    <w:uiPriority w:val="99"/>
    <w:rPr>
      <w:rFonts w:ascii="Times New Roman" w:hAnsi="Times New Roman" w:eastAsia="宋体" w:cs="Times New Roman"/>
      <w:sz w:val="20"/>
      <w:szCs w:val="20"/>
    </w:rPr>
  </w:style>
  <w:style w:type="character" w:customStyle="1" w:styleId="34">
    <w:name w:val="批注框文本 字符"/>
    <w:link w:val="14"/>
    <w:qFormat/>
    <w:locked/>
    <w:uiPriority w:val="99"/>
    <w:rPr>
      <w:rFonts w:ascii="Times New Roman" w:hAnsi="Times New Roman" w:eastAsia="宋体" w:cs="Times New Roman"/>
      <w:kern w:val="2"/>
      <w:sz w:val="18"/>
      <w:szCs w:val="18"/>
    </w:rPr>
  </w:style>
  <w:style w:type="character" w:customStyle="1" w:styleId="35">
    <w:name w:val="页脚 字符"/>
    <w:link w:val="15"/>
    <w:qFormat/>
    <w:locked/>
    <w:uiPriority w:val="99"/>
    <w:rPr>
      <w:rFonts w:ascii="Times New Roman" w:hAnsi="Times New Roman" w:eastAsia="宋体" w:cs="Times New Roman"/>
      <w:sz w:val="18"/>
      <w:szCs w:val="18"/>
    </w:rPr>
  </w:style>
  <w:style w:type="character" w:customStyle="1" w:styleId="36">
    <w:name w:val="页眉 字符"/>
    <w:link w:val="16"/>
    <w:qFormat/>
    <w:locked/>
    <w:uiPriority w:val="99"/>
    <w:rPr>
      <w:rFonts w:ascii="Times New Roman" w:hAnsi="Times New Roman" w:eastAsia="宋体" w:cs="Times New Roman"/>
      <w:sz w:val="18"/>
      <w:szCs w:val="18"/>
    </w:rPr>
  </w:style>
  <w:style w:type="character" w:customStyle="1" w:styleId="37">
    <w:name w:val="正文首行缩进 字符"/>
    <w:link w:val="11"/>
    <w:qFormat/>
    <w:locked/>
    <w:uiPriority w:val="99"/>
    <w:rPr>
      <w:rFonts w:ascii="Times New Roman" w:hAnsi="Times New Roman" w:eastAsia="宋体" w:cs="Times New Roman"/>
      <w:sz w:val="20"/>
      <w:szCs w:val="20"/>
    </w:rPr>
  </w:style>
  <w:style w:type="character" w:customStyle="1" w:styleId="38">
    <w:name w:val="正文缩进2格 Char"/>
    <w:link w:val="39"/>
    <w:qFormat/>
    <w:locked/>
    <w:uiPriority w:val="99"/>
    <w:rPr>
      <w:rFonts w:ascii="仿宋_GB2312" w:hAnsi="宋体" w:eastAsia="仿宋_GB2312"/>
      <w:sz w:val="31"/>
    </w:rPr>
  </w:style>
  <w:style w:type="paragraph" w:customStyle="1" w:styleId="39">
    <w:name w:val="正文缩进2格"/>
    <w:basedOn w:val="1"/>
    <w:link w:val="38"/>
    <w:qFormat/>
    <w:uiPriority w:val="99"/>
    <w:pPr>
      <w:spacing w:line="600" w:lineRule="exact"/>
      <w:ind w:firstLine="639" w:firstLineChars="206"/>
    </w:pPr>
    <w:rPr>
      <w:rFonts w:ascii="仿宋_GB2312" w:hAnsi="宋体" w:eastAsia="仿宋_GB2312"/>
      <w:kern w:val="0"/>
      <w:sz w:val="31"/>
      <w:szCs w:val="31"/>
    </w:rPr>
  </w:style>
  <w:style w:type="paragraph" w:customStyle="1" w:styleId="40">
    <w:name w:val="列出段落1"/>
    <w:basedOn w:val="1"/>
    <w:qFormat/>
    <w:uiPriority w:val="99"/>
    <w:pPr>
      <w:ind w:firstLine="420" w:firstLineChars="200"/>
    </w:pPr>
  </w:style>
  <w:style w:type="paragraph" w:customStyle="1" w:styleId="41">
    <w:name w:val="列出段落2"/>
    <w:basedOn w:val="1"/>
    <w:qFormat/>
    <w:uiPriority w:val="99"/>
    <w:pPr>
      <w:ind w:firstLine="420" w:firstLineChars="200"/>
    </w:pPr>
  </w:style>
  <w:style w:type="paragraph" w:styleId="42">
    <w:name w:val="List Paragraph"/>
    <w:basedOn w:val="1"/>
    <w:qFormat/>
    <w:uiPriority w:val="99"/>
    <w:pPr>
      <w:ind w:firstLine="420" w:firstLineChars="200"/>
    </w:pPr>
  </w:style>
  <w:style w:type="character" w:customStyle="1" w:styleId="43">
    <w:name w:val="fontstyle01"/>
    <w:qFormat/>
    <w:uiPriority w:val="99"/>
    <w:rPr>
      <w:rFonts w:ascii="仿宋" w:hAnsi="仿宋" w:eastAsia="仿宋" w:cs="Times New Roman"/>
      <w:color w:val="000000"/>
      <w:sz w:val="28"/>
      <w:szCs w:val="28"/>
    </w:rPr>
  </w:style>
  <w:style w:type="character" w:customStyle="1" w:styleId="44">
    <w:name w:val="！正文 Char"/>
    <w:link w:val="45"/>
    <w:qFormat/>
    <w:locked/>
    <w:uiPriority w:val="99"/>
    <w:rPr>
      <w:rFonts w:ascii="Arial" w:hAnsi="Arial"/>
      <w:sz w:val="24"/>
    </w:rPr>
  </w:style>
  <w:style w:type="paragraph" w:customStyle="1" w:styleId="45">
    <w:name w:val="！正文"/>
    <w:basedOn w:val="1"/>
    <w:link w:val="44"/>
    <w:qFormat/>
    <w:uiPriority w:val="99"/>
    <w:pPr>
      <w:spacing w:line="360" w:lineRule="auto"/>
      <w:ind w:firstLine="200" w:firstLineChars="200"/>
    </w:pPr>
    <w:rPr>
      <w:rFonts w:ascii="Arial" w:hAnsi="Arial" w:eastAsia="等线"/>
      <w:kern w:val="0"/>
      <w:sz w:val="24"/>
      <w:szCs w:val="24"/>
    </w:rPr>
  </w:style>
  <w:style w:type="paragraph" w:customStyle="1" w:styleId="46">
    <w:name w:val="！标题1 Alt+1"/>
    <w:basedOn w:val="1"/>
    <w:next w:val="1"/>
    <w:qFormat/>
    <w:uiPriority w:val="99"/>
    <w:pPr>
      <w:tabs>
        <w:tab w:val="left" w:pos="3261"/>
      </w:tabs>
      <w:spacing w:beforeLines="100"/>
      <w:jc w:val="left"/>
      <w:outlineLvl w:val="0"/>
    </w:pPr>
    <w:rPr>
      <w:rFonts w:eastAsia="黑体"/>
      <w:b/>
      <w:spacing w:val="20"/>
      <w:w w:val="110"/>
      <w:sz w:val="32"/>
      <w:szCs w:val="32"/>
    </w:rPr>
  </w:style>
  <w:style w:type="character" w:customStyle="1" w:styleId="47">
    <w:name w:val="正文缩进 字符"/>
    <w:link w:val="2"/>
    <w:qFormat/>
    <w:locked/>
    <w:uiPriority w:val="99"/>
    <w:rPr>
      <w:sz w:val="24"/>
    </w:rPr>
  </w:style>
  <w:style w:type="paragraph" w:customStyle="1" w:styleId="48">
    <w:name w:val="标准书脚_奇数页"/>
    <w:qFormat/>
    <w:uiPriority w:val="99"/>
    <w:pPr>
      <w:numPr>
        <w:ilvl w:val="0"/>
        <w:numId w:val="1"/>
      </w:numPr>
      <w:spacing w:before="120"/>
      <w:ind w:left="0" w:firstLine="0"/>
      <w:jc w:val="right"/>
    </w:pPr>
    <w:rPr>
      <w:rFonts w:ascii="Times New Roman" w:hAnsi="Times New Roman" w:eastAsia="宋体" w:cs="Times New Roman"/>
      <w:sz w:val="18"/>
      <w:lang w:val="en-US" w:eastAsia="zh-CN" w:bidi="ar-SA"/>
    </w:rPr>
  </w:style>
  <w:style w:type="character" w:customStyle="1" w:styleId="49">
    <w:name w:val="纯文本 字符"/>
    <w:link w:val="13"/>
    <w:qFormat/>
    <w:locked/>
    <w:uiPriority w:val="0"/>
    <w:rPr>
      <w:rFonts w:ascii="宋体" w:hAnsi="Courier New" w:eastAsia="宋体" w:cs="Times New Roman"/>
      <w:kern w:val="2"/>
      <w:sz w:val="21"/>
      <w:szCs w:val="21"/>
    </w:rPr>
  </w:style>
  <w:style w:type="character" w:customStyle="1" w:styleId="50">
    <w:name w:val="未处理的提及1"/>
    <w:semiHidden/>
    <w:qFormat/>
    <w:uiPriority w:val="99"/>
    <w:rPr>
      <w:rFonts w:cs="Times New Roman"/>
      <w:color w:val="605E5C"/>
      <w:shd w:val="clear" w:color="auto" w:fill="E1DFDD"/>
    </w:rPr>
  </w:style>
  <w:style w:type="paragraph" w:customStyle="1" w:styleId="51">
    <w:name w:val="样式"/>
    <w:basedOn w:val="1"/>
    <w:next w:val="42"/>
    <w:qFormat/>
    <w:uiPriority w:val="99"/>
    <w:pPr>
      <w:ind w:firstLine="420" w:firstLineChars="200"/>
    </w:pPr>
    <w:rPr>
      <w:rFonts w:ascii="Calibri" w:hAnsi="Calibri"/>
      <w:szCs w:val="22"/>
    </w:rPr>
  </w:style>
  <w:style w:type="character" w:customStyle="1" w:styleId="52">
    <w:name w:val="Body Text Indent 2 Char Char"/>
    <w:link w:val="53"/>
    <w:qFormat/>
    <w:locked/>
    <w:uiPriority w:val="99"/>
  </w:style>
  <w:style w:type="paragraph" w:customStyle="1" w:styleId="53">
    <w:name w:val="正文文本缩进 21"/>
    <w:basedOn w:val="1"/>
    <w:link w:val="52"/>
    <w:qFormat/>
    <w:uiPriority w:val="99"/>
    <w:pPr>
      <w:adjustRightInd w:val="0"/>
      <w:spacing w:line="480" w:lineRule="auto"/>
      <w:ind w:firstLine="540"/>
    </w:pPr>
    <w:rPr>
      <w:rFonts w:ascii="Calibri" w:hAnsi="Calibri" w:eastAsia="等线"/>
      <w:kern w:val="0"/>
      <w:sz w:val="20"/>
    </w:rPr>
  </w:style>
  <w:style w:type="character" w:customStyle="1" w:styleId="54">
    <w:name w:val="批注主题 字符"/>
    <w:link w:val="19"/>
    <w:semiHidden/>
    <w:qFormat/>
    <w:locked/>
    <w:uiPriority w:val="99"/>
    <w:rPr>
      <w:rFonts w:ascii="Times New Roman" w:hAnsi="Times New Roman" w:eastAsia="宋体" w:cs="Times New Roman"/>
      <w:b/>
      <w:bCs/>
      <w:kern w:val="2"/>
      <w:sz w:val="21"/>
    </w:rPr>
  </w:style>
  <w:style w:type="character" w:customStyle="1" w:styleId="55">
    <w:name w:val="标题 4 字符"/>
    <w:semiHidden/>
    <w:qFormat/>
    <w:uiPriority w:val="99"/>
    <w:rPr>
      <w:rFonts w:ascii="Cambria" w:hAnsi="Cambria" w:eastAsia="宋体" w:cs="Times New Roman"/>
      <w:b/>
      <w:bCs/>
      <w:kern w:val="2"/>
      <w:sz w:val="28"/>
      <w:szCs w:val="28"/>
    </w:rPr>
  </w:style>
  <w:style w:type="paragraph" w:customStyle="1" w:styleId="56">
    <w:name w:val="正文_0"/>
    <w:qFormat/>
    <w:uiPriority w:val="99"/>
    <w:pPr>
      <w:widowControl w:val="0"/>
      <w:spacing w:line="360" w:lineRule="auto"/>
      <w:jc w:val="both"/>
    </w:pPr>
    <w:rPr>
      <w:rFonts w:ascii="宋体" w:hAnsi="宋体" w:eastAsia="宋体" w:cs="Times New Roman"/>
      <w:kern w:val="2"/>
      <w:sz w:val="24"/>
      <w:szCs w:val="24"/>
      <w:lang w:val="en-US" w:eastAsia="zh-CN" w:bidi="ar-SA"/>
    </w:rPr>
  </w:style>
  <w:style w:type="paragraph" w:customStyle="1" w:styleId="57">
    <w:name w:val="致远要点"/>
    <w:basedOn w:val="42"/>
    <w:link w:val="58"/>
    <w:qFormat/>
    <w:uiPriority w:val="99"/>
    <w:pPr>
      <w:numPr>
        <w:ilvl w:val="0"/>
        <w:numId w:val="2"/>
      </w:numPr>
      <w:spacing w:before="120" w:after="120" w:line="360" w:lineRule="auto"/>
      <w:ind w:firstLine="0" w:firstLineChars="0"/>
    </w:pPr>
    <w:rPr>
      <w:rFonts w:ascii="黑体" w:hAnsi="黑体" w:eastAsia="黑体" w:cs="宋体"/>
      <w:sz w:val="24"/>
      <w:szCs w:val="22"/>
    </w:rPr>
  </w:style>
  <w:style w:type="character" w:customStyle="1" w:styleId="58">
    <w:name w:val="致远要点 字符"/>
    <w:link w:val="57"/>
    <w:qFormat/>
    <w:locked/>
    <w:uiPriority w:val="99"/>
    <w:rPr>
      <w:rFonts w:ascii="黑体" w:hAnsi="黑体" w:eastAsia="黑体" w:cs="宋体"/>
      <w:kern w:val="2"/>
      <w:sz w:val="22"/>
      <w:szCs w:val="22"/>
    </w:rPr>
  </w:style>
  <w:style w:type="paragraph" w:customStyle="1" w:styleId="59">
    <w:name w:val="SANGFOR_6_正文"/>
    <w:basedOn w:val="1"/>
    <w:qFormat/>
    <w:uiPriority w:val="99"/>
    <w:pPr>
      <w:spacing w:line="360" w:lineRule="auto"/>
    </w:pPr>
    <w:rPr>
      <w:szCs w:val="24"/>
    </w:rPr>
  </w:style>
  <w:style w:type="paragraph" w:customStyle="1" w:styleId="60">
    <w:name w:val="列表段落1"/>
    <w:basedOn w:val="1"/>
    <w:qFormat/>
    <w:uiPriority w:val="34"/>
    <w:pPr>
      <w:ind w:firstLine="420" w:firstLineChars="200"/>
    </w:pPr>
  </w:style>
  <w:style w:type="paragraph" w:customStyle="1" w:styleId="61">
    <w:name w:val="_Style 10"/>
    <w:basedOn w:val="1"/>
    <w:next w:val="42"/>
    <w:qFormat/>
    <w:uiPriority w:val="34"/>
    <w:pPr>
      <w:ind w:firstLine="420" w:firstLineChars="200"/>
    </w:pPr>
    <w:rPr>
      <w:rFonts w:ascii="Times New Roman"/>
    </w:rPr>
  </w:style>
  <w:style w:type="paragraph" w:customStyle="1" w:styleId="62">
    <w:name w:val="首行缩进"/>
    <w:basedOn w:val="1"/>
    <w:qFormat/>
    <w:uiPriority w:val="0"/>
    <w:pPr>
      <w:ind w:firstLine="480" w:firstLineChars="200"/>
    </w:pPr>
    <w:rPr>
      <w:lang w:val="zh-CN"/>
    </w:rPr>
  </w:style>
  <w:style w:type="paragraph" w:customStyle="1" w:styleId="63">
    <w:name w:val="表格文字"/>
    <w:basedOn w:val="1"/>
    <w:qFormat/>
    <w:uiPriority w:val="0"/>
    <w:pPr>
      <w:autoSpaceDE/>
      <w:autoSpaceDN/>
      <w:adjustRightInd/>
      <w:spacing w:before="25" w:after="25"/>
    </w:pPr>
    <w:rPr>
      <w:rFonts w:ascii="Times New Roman"/>
      <w:bCs/>
      <w:spacing w:val="10"/>
      <w:szCs w:val="20"/>
    </w:rPr>
  </w:style>
  <w:style w:type="paragraph" w:customStyle="1" w:styleId="64">
    <w:name w:val="标题 3.1"/>
    <w:basedOn w:val="5"/>
    <w:qFormat/>
    <w:uiPriority w:val="0"/>
    <w:pPr>
      <w:tabs>
        <w:tab w:val="left" w:pos="1440"/>
        <w:tab w:val="left" w:pos="1620"/>
      </w:tabs>
      <w:jc w:val="both"/>
    </w:pPr>
    <w:rPr>
      <w:rFonts w:ascii="宋体" w:hAnsi="宋体" w:eastAsia="宋体"/>
      <w:color w:val="FF0000"/>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42</Pages>
  <Words>20782</Words>
  <Characters>21556</Characters>
  <Lines>73</Lines>
  <Paragraphs>20</Paragraphs>
  <TotalTime>1</TotalTime>
  <ScaleCrop>false</ScaleCrop>
  <LinksUpToDate>false</LinksUpToDate>
  <CharactersWithSpaces>22134</CharactersWithSpaces>
  <Application>WPS Office_11.1.0.12970_F1E327BC-269C-435d-A152-05C5408002CA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2022-09-29T08:51:00Z</dcterms:created>
  <dc:creator>yy z</dc:creator>
  <cp:lastModifiedBy>东北孤虎</cp:lastModifiedBy>
  <cp:lastPrinted>2023-02-20T11:49:00Z</cp:lastPrinted>
  <dcterms:modified xsi:type="dcterms:W3CDTF">2023-02-21T14:09:17Z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32A189FACB1846EA8D291728303211B1</vt:lpwstr>
  </property>
</Properties>
</file>